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河北龙志管道设备制造有限公司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管件生产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项目</w:t>
      </w:r>
    </w:p>
    <w:p>
      <w:pPr>
        <w:adjustRightInd w:val="0"/>
        <w:snapToGrid w:val="0"/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竣工环境保护验收意见</w:t>
      </w:r>
    </w:p>
    <w:p>
      <w:pPr>
        <w:spacing w:line="460" w:lineRule="exact"/>
        <w:jc w:val="both"/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2019年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河北龙志管道设备制造有限公司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根据《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eastAsia="zh-CN"/>
        </w:rPr>
        <w:t>河北龙志管道设备制造有限公司管件生产项目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竣工环境保护验收监测报告》，并依照《建设项目竣工环境</w:t>
      </w:r>
      <w:r>
        <w:rPr>
          <w:rFonts w:hint="default" w:ascii="Times New Roman" w:hAnsi="Times New Roman" w:eastAsia="宋体" w:cs="Times New Roman"/>
          <w:sz w:val="24"/>
          <w:szCs w:val="24"/>
        </w:rPr>
        <w:t>保护验收暂行管理办法》等法律法规、建设项目竣工环境保护验收技术规范、审批部门要求等要求组织项目竣工环保验收，形成验收意见如下：</w:t>
      </w:r>
    </w:p>
    <w:p>
      <w:pPr>
        <w:adjustRightInd w:val="0"/>
        <w:snapToGrid w:val="0"/>
        <w:spacing w:line="460" w:lineRule="exact"/>
        <w:ind w:firstLine="482" w:firstLineChars="200"/>
        <w:jc w:val="both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一、工程建设基本情况</w:t>
      </w:r>
    </w:p>
    <w:p>
      <w:pPr>
        <w:adjustRightInd w:val="0"/>
        <w:snapToGrid w:val="0"/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河北龙志管道设备制造有限公司</w:t>
      </w:r>
      <w:r>
        <w:rPr>
          <w:rFonts w:hint="default" w:ascii="Times New Roman" w:hAnsi="Times New Roman" w:eastAsia="宋体" w:cs="Times New Roman"/>
          <w:sz w:val="24"/>
          <w:szCs w:val="24"/>
        </w:rPr>
        <w:t>位于沧州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盐山县五里窑金锁园区</w:t>
      </w:r>
      <w:r>
        <w:rPr>
          <w:rFonts w:hint="default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项目分为两个车间，生厂车间一</w:t>
      </w:r>
      <w:r>
        <w:rPr>
          <w:rFonts w:hint="default" w:ascii="Times New Roman" w:hAnsi="Times New Roman" w:eastAsia="宋体" w:cs="Times New Roman"/>
          <w:sz w:val="24"/>
          <w:szCs w:val="24"/>
        </w:rPr>
        <w:t>中心地理坐标为东经11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4"/>
          <w:szCs w:val="24"/>
        </w:rPr>
        <w:t>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4"/>
          <w:szCs w:val="24"/>
        </w:rPr>
        <w:t>′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27.32</w:t>
      </w:r>
      <w:r>
        <w:rPr>
          <w:rFonts w:hint="default" w:ascii="Times New Roman" w:hAnsi="Times New Roman" w:eastAsia="宋体" w:cs="Times New Roman"/>
          <w:sz w:val="24"/>
          <w:szCs w:val="24"/>
        </w:rPr>
        <w:t>″，北纬38°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′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55.33</w:t>
      </w:r>
      <w:r>
        <w:rPr>
          <w:rFonts w:hint="default" w:ascii="Times New Roman" w:hAnsi="Times New Roman" w:eastAsia="宋体" w:cs="Times New Roman"/>
          <w:sz w:val="24"/>
          <w:szCs w:val="24"/>
        </w:rPr>
        <w:t>″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，生产车间二中心地理坐标为北纬</w:t>
      </w:r>
      <w:r>
        <w:rPr>
          <w:rFonts w:hint="default" w:ascii="Times New Roman" w:hAnsi="Times New Roman" w:eastAsia="宋体" w:cs="Times New Roman"/>
          <w:sz w:val="24"/>
          <w:szCs w:val="24"/>
        </w:rPr>
        <w:t>38°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′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51.39</w:t>
      </w:r>
      <w:r>
        <w:rPr>
          <w:rFonts w:hint="default" w:ascii="Times New Roman" w:hAnsi="Times New Roman" w:eastAsia="宋体" w:cs="Times New Roman"/>
          <w:sz w:val="24"/>
          <w:szCs w:val="24"/>
        </w:rPr>
        <w:t>″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东经11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4"/>
          <w:szCs w:val="24"/>
        </w:rPr>
        <w:t>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4"/>
          <w:szCs w:val="24"/>
        </w:rPr>
        <w:t>′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30.05</w:t>
      </w:r>
      <w:r>
        <w:rPr>
          <w:rFonts w:hint="default" w:ascii="Times New Roman" w:hAnsi="Times New Roman" w:eastAsia="宋体" w:cs="Times New Roman"/>
          <w:sz w:val="24"/>
          <w:szCs w:val="24"/>
        </w:rPr>
        <w:t>″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建设内容主要为生产车间2座，主要设备为冲床、钻床、压力机等共41台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。</w:t>
      </w:r>
    </w:p>
    <w:p>
      <w:pPr>
        <w:spacing w:line="460" w:lineRule="exact"/>
        <w:jc w:val="both"/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《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河北龙志管道设备制造有限公司管件生产项目</w:t>
      </w:r>
      <w:r>
        <w:rPr>
          <w:rFonts w:hint="default" w:ascii="Times New Roman" w:hAnsi="Times New Roman" w:eastAsia="宋体" w:cs="Times New Roman"/>
          <w:sz w:val="24"/>
          <w:szCs w:val="24"/>
        </w:rPr>
        <w:t>环境影响报告表》</w:t>
      </w:r>
      <w:bookmarkStart w:id="0" w:name="_Hlk496980272"/>
      <w:r>
        <w:rPr>
          <w:rFonts w:hint="default" w:ascii="Times New Roman" w:hAnsi="Times New Roman" w:eastAsia="宋体" w:cs="Times New Roman"/>
          <w:sz w:val="24"/>
          <w:szCs w:val="24"/>
        </w:rPr>
        <w:t>于201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sz w:val="24"/>
          <w:szCs w:val="24"/>
        </w:rPr>
        <w:t>日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通过了沧州市生态环境局盐山县分局</w:t>
      </w:r>
      <w:r>
        <w:rPr>
          <w:rFonts w:hint="default" w:ascii="Times New Roman" w:hAnsi="Times New Roman" w:eastAsia="宋体" w:cs="Times New Roman"/>
          <w:sz w:val="24"/>
          <w:szCs w:val="24"/>
        </w:rPr>
        <w:t>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审批</w:t>
      </w:r>
      <w:r>
        <w:rPr>
          <w:rFonts w:hint="default" w:ascii="Times New Roman" w:hAnsi="Times New Roman" w:eastAsia="宋体" w:cs="Times New Roman"/>
          <w:sz w:val="24"/>
          <w:szCs w:val="24"/>
        </w:rPr>
        <w:t>，审批文号：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盐环表</w:t>
      </w:r>
      <w:r>
        <w:rPr>
          <w:rFonts w:hint="default" w:ascii="Times New Roman" w:hAnsi="Times New Roman" w:eastAsia="宋体" w:cs="Times New Roman"/>
          <w:sz w:val="24"/>
          <w:szCs w:val="24"/>
        </w:rPr>
        <w:t>[201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t>]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71</w:t>
      </w:r>
      <w:r>
        <w:rPr>
          <w:rFonts w:hint="default" w:ascii="Times New Roman" w:hAnsi="Times New Roman" w:eastAsia="宋体" w:cs="Times New Roman"/>
          <w:sz w:val="24"/>
          <w:szCs w:val="24"/>
        </w:rPr>
        <w:t>号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。</w:t>
      </w:r>
    </w:p>
    <w:bookmarkEnd w:id="0"/>
    <w:p>
      <w:pPr>
        <w:adjustRightInd w:val="0"/>
        <w:snapToGrid w:val="0"/>
        <w:spacing w:line="460" w:lineRule="exact"/>
        <w:ind w:firstLine="480" w:firstLineChars="200"/>
        <w:jc w:val="both"/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本项目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实际总投资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>380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万元，其中环境保护投资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万元，占实际总投资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>1.3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%。</w:t>
      </w:r>
    </w:p>
    <w:p>
      <w:pPr>
        <w:pStyle w:val="26"/>
        <w:adjustRightInd w:val="0"/>
        <w:snapToGrid w:val="0"/>
        <w:spacing w:line="460" w:lineRule="exact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二、工程变动情况</w:t>
      </w:r>
    </w:p>
    <w:p>
      <w:pPr>
        <w:adjustRightInd w:val="0"/>
        <w:snapToGrid w:val="0"/>
        <w:spacing w:line="460" w:lineRule="exact"/>
        <w:ind w:firstLine="480" w:firstLineChars="200"/>
        <w:jc w:val="both"/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项目环评文件中建设内容有压力机5台、冲床4台、锯床4台、卷管机2台、折弯机0台，现场实际为压力机4台、冲床3台、锯床3台、卷管机1台、折弯机1台，其他建设内容与环评及批复文件要求基本一致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>
      <w:pPr>
        <w:adjustRightInd w:val="0"/>
        <w:snapToGrid w:val="0"/>
        <w:spacing w:line="460" w:lineRule="exact"/>
        <w:ind w:firstLine="482" w:firstLineChars="200"/>
        <w:jc w:val="both"/>
        <w:rPr>
          <w:rFonts w:hint="default" w:ascii="Times New Roman" w:hAnsi="Times New Roman" w:eastAsia="宋体" w:cs="Times New Roman"/>
          <w:b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 w:val="24"/>
          <w:szCs w:val="24"/>
        </w:rPr>
        <w:t>三、环境保护设施建设情况</w:t>
      </w:r>
    </w:p>
    <w:p>
      <w:pPr>
        <w:adjustRightInd w:val="0"/>
        <w:snapToGrid w:val="0"/>
        <w:spacing w:line="460" w:lineRule="exact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1、废水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本项目的废水主要是生活废水，厂区设防渗旱厕，定期清掏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adjustRightInd w:val="0"/>
        <w:snapToGrid w:val="0"/>
        <w:spacing w:line="460" w:lineRule="exact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2、废气</w:t>
      </w:r>
    </w:p>
    <w:p>
      <w:pPr>
        <w:adjustRightInd w:val="0"/>
        <w:snapToGrid w:val="0"/>
        <w:spacing w:line="460" w:lineRule="exact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该项目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焊接工序焊接烟尘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经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移动式焊接烟尘净化器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处理后排放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。</w:t>
      </w:r>
    </w:p>
    <w:p>
      <w:pPr>
        <w:adjustRightInd w:val="0"/>
        <w:snapToGrid w:val="0"/>
        <w:spacing w:line="460" w:lineRule="exact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3、噪声</w:t>
      </w:r>
    </w:p>
    <w:p>
      <w:pPr>
        <w:spacing w:line="480" w:lineRule="atLeast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噪声污染主要来源于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生产设备运行时产生的机械</w:t>
      </w:r>
      <w:r>
        <w:rPr>
          <w:rFonts w:hint="default" w:ascii="Times New Roman" w:hAnsi="Times New Roman" w:eastAsia="宋体" w:cs="Times New Roman"/>
          <w:sz w:val="24"/>
          <w:szCs w:val="24"/>
        </w:rPr>
        <w:t>噪声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adjustRightInd w:val="0"/>
        <w:snapToGrid w:val="0"/>
        <w:spacing w:line="460" w:lineRule="exact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4、固体废物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eastAsia="zh-CN"/>
        </w:rPr>
        <w:t>该项目产生的固体废物主要是边角料和生活垃圾。边角料集中收集后外售；</w:t>
      </w:r>
      <w:r>
        <w:rPr>
          <w:rFonts w:hint="default" w:ascii="Times New Roman" w:hAnsi="Times New Roman" w:eastAsia="宋体" w:cs="Times New Roman"/>
          <w:sz w:val="24"/>
          <w:szCs w:val="24"/>
        </w:rPr>
        <w:t>生活垃圾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收</w:t>
      </w:r>
      <w:r>
        <w:rPr>
          <w:rFonts w:hint="default" w:ascii="Times New Roman" w:hAnsi="Times New Roman" w:eastAsia="宋体" w:cs="Times New Roman"/>
          <w:sz w:val="24"/>
          <w:szCs w:val="24"/>
        </w:rPr>
        <w:t>集后由环卫部门统一清运处理。</w:t>
      </w:r>
    </w:p>
    <w:p>
      <w:pPr>
        <w:adjustRightInd w:val="0"/>
        <w:snapToGrid w:val="0"/>
        <w:spacing w:line="460" w:lineRule="exact"/>
        <w:ind w:firstLine="482" w:firstLineChars="200"/>
        <w:jc w:val="both"/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  <w:t>四、环保设施监测结果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河北海蓝环境检测服务有限公司</w:t>
      </w:r>
      <w:r>
        <w:rPr>
          <w:rFonts w:hint="default" w:ascii="Times New Roman" w:hAnsi="Times New Roman" w:eastAsia="宋体" w:cs="Times New Roman"/>
          <w:sz w:val="24"/>
          <w:szCs w:val="24"/>
        </w:rPr>
        <w:t>于2019年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27</w:t>
      </w:r>
      <w:r>
        <w:rPr>
          <w:rFonts w:hint="default" w:ascii="Times New Roman" w:hAnsi="Times New Roman" w:eastAsia="宋体" w:cs="Times New Roman"/>
          <w:sz w:val="24"/>
          <w:szCs w:val="24"/>
        </w:rPr>
        <w:t>日至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28</w:t>
      </w:r>
      <w:r>
        <w:rPr>
          <w:rFonts w:hint="default" w:ascii="Times New Roman" w:hAnsi="Times New Roman" w:eastAsia="宋体" w:cs="Times New Roman"/>
          <w:sz w:val="24"/>
          <w:szCs w:val="24"/>
        </w:rPr>
        <w:t>日对该项目进行了验收检测并出具了检测报告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海蓝（检）字YS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201910-0964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号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。检测结果如下：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color w:val="000000"/>
          <w:sz w:val="24"/>
          <w:lang w:val="en-US" w:eastAsia="zh-CN"/>
        </w:rPr>
        <w:t>1、废气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Cs/>
          <w:color w:val="auto"/>
          <w:sz w:val="24"/>
          <w:lang w:val="en-US" w:eastAsia="zh-CN"/>
        </w:rPr>
        <w:t>厂界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>无组织</w:t>
      </w:r>
      <w:r>
        <w:rPr>
          <w:rFonts w:hint="eastAsia" w:ascii="Times New Roman" w:hAnsi="Times New Roman" w:cs="Times New Roman"/>
          <w:bCs/>
          <w:color w:val="auto"/>
          <w:sz w:val="24"/>
          <w:lang w:val="en-US" w:eastAsia="zh-CN"/>
        </w:rPr>
        <w:t>废气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>排放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颗粒物浓度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最大值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0.617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mg/m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满足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《大气污染物综合排放标准》（GB16297-1996）中表2无组织排放监控浓度限值。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eastAsia" w:ascii="Times New Roman" w:hAnsi="Times New Roman" w:eastAsia="宋体" w:cs="Times New Roman"/>
          <w:bCs/>
          <w:color w:val="auto"/>
          <w:sz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>、噪声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>本项目</w:t>
      </w:r>
      <w:r>
        <w:rPr>
          <w:rFonts w:hint="eastAsia" w:ascii="Times New Roman" w:hAnsi="Times New Roman" w:cs="Times New Roman"/>
          <w:bCs/>
          <w:color w:val="auto"/>
          <w:sz w:val="24"/>
          <w:lang w:val="en-US" w:eastAsia="zh-CN"/>
        </w:rPr>
        <w:t>昼间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噪声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值范围为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53.7～57.1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dB（A）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，夜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不生产，检测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结果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符合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《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工业企业厂界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环境噪声排放标准》（GB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12348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-2008）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类标准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。</w:t>
      </w:r>
    </w:p>
    <w:p>
      <w:pPr>
        <w:adjustRightInd w:val="0"/>
        <w:snapToGrid w:val="0"/>
        <w:spacing w:line="460" w:lineRule="exact"/>
        <w:ind w:firstLine="482" w:firstLineChars="200"/>
        <w:jc w:val="both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/>
          <w:sz w:val="24"/>
          <w:szCs w:val="24"/>
        </w:rPr>
        <w:t>、验收结论</w:t>
      </w:r>
    </w:p>
    <w:p>
      <w:pPr>
        <w:adjustRightInd w:val="0"/>
        <w:snapToGrid w:val="0"/>
        <w:spacing w:line="460" w:lineRule="exact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河北龙志管道设备制造有限公司管件生产项目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基本落实了环评和批复文件的要求，</w:t>
      </w:r>
      <w:r>
        <w:rPr>
          <w:rFonts w:hint="default" w:ascii="Times New Roman" w:hAnsi="Times New Roman" w:eastAsia="宋体" w:cs="Times New Roman"/>
          <w:sz w:val="24"/>
          <w:szCs w:val="24"/>
        </w:rPr>
        <w:t>验收监测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报告表明各污染物排放均满足国家相关标准</w:t>
      </w:r>
      <w:r>
        <w:rPr>
          <w:rFonts w:hint="default" w:ascii="Times New Roman" w:hAnsi="Times New Roman" w:eastAsia="宋体" w:cs="Times New Roman"/>
          <w:sz w:val="24"/>
          <w:szCs w:val="24"/>
        </w:rPr>
        <w:t>，项目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符合</w:t>
      </w:r>
      <w:r>
        <w:rPr>
          <w:rFonts w:hint="default" w:ascii="Times New Roman" w:hAnsi="Times New Roman" w:eastAsia="宋体" w:cs="Times New Roman"/>
          <w:sz w:val="24"/>
          <w:szCs w:val="24"/>
        </w:rPr>
        <w:t>竣工环境保护验收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要求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color w:val="auto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 xml:space="preserve">                                      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二〇一九年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十一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</w:t>
      </w:r>
    </w:p>
    <w:p>
      <w:pPr>
        <w:adjustRightInd w:val="0"/>
        <w:snapToGrid w:val="0"/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eastAsia="zh-CN"/>
        </w:rPr>
        <w:t>河北龙志管道设备制造有限公司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eastAsia="zh-CN"/>
        </w:rPr>
        <w:t>管件生产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eastAsia="zh-CN"/>
        </w:rPr>
        <w:t>项目</w:t>
      </w:r>
    </w:p>
    <w:p>
      <w:pPr>
        <w:adjustRightInd w:val="0"/>
        <w:snapToGrid w:val="0"/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竣工环境保护验收组名单</w:t>
      </w:r>
    </w:p>
    <w:tbl>
      <w:tblPr>
        <w:tblStyle w:val="12"/>
        <w:tblW w:w="143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1420"/>
        <w:gridCol w:w="4853"/>
        <w:gridCol w:w="1560"/>
        <w:gridCol w:w="1860"/>
        <w:gridCol w:w="1878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验收组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姓  名</w:t>
            </w:r>
          </w:p>
        </w:tc>
        <w:tc>
          <w:tcPr>
            <w:tcW w:w="48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工 作 单 位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职务/职称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电话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签  字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组长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eastAsia="zh-CN"/>
              </w:rPr>
              <w:t>张忠利</w:t>
            </w:r>
          </w:p>
        </w:tc>
        <w:tc>
          <w:tcPr>
            <w:tcW w:w="48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eastAsia="zh-CN"/>
              </w:rPr>
              <w:t>河北龙志管道设备制造有限公司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总经理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val="en-US" w:eastAsia="zh-CN"/>
              </w:rPr>
              <w:t>15833777837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建设单位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136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成  员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踅军</w:t>
            </w:r>
          </w:p>
        </w:tc>
        <w:tc>
          <w:tcPr>
            <w:tcW w:w="48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沧州市碧蓝环保科技有限公司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bookmarkStart w:id="1" w:name="_GoBack"/>
            <w:bookmarkEnd w:id="1"/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eastAsia="zh-CN"/>
              </w:rPr>
              <w:t>正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高工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val="en-US" w:eastAsia="zh-CN"/>
              </w:rPr>
              <w:t>17731786960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李晓粤</w:t>
            </w:r>
          </w:p>
        </w:tc>
        <w:tc>
          <w:tcPr>
            <w:tcW w:w="48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河北水利电力学院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eastAsia="zh-CN"/>
              </w:rPr>
              <w:t>教授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val="en-US" w:eastAsia="zh-CN"/>
              </w:rPr>
              <w:t>13315745711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王雪彦</w:t>
            </w:r>
          </w:p>
        </w:tc>
        <w:tc>
          <w:tcPr>
            <w:tcW w:w="48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河北圣洁环境生物科技工程有限公司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高工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15031733960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exact"/>
          <w:jc w:val="center"/>
        </w:trPr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eastAsia="zh-CN"/>
              </w:rPr>
              <w:t>杨丽杰</w:t>
            </w:r>
          </w:p>
        </w:tc>
        <w:tc>
          <w:tcPr>
            <w:tcW w:w="48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eastAsia="zh-CN"/>
              </w:rPr>
              <w:t>河北海蓝环境检测服务有限公司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经理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val="en-US" w:eastAsia="zh-CN"/>
              </w:rPr>
              <w:t>13722753560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检测单位</w:t>
            </w:r>
          </w:p>
        </w:tc>
      </w:tr>
    </w:tbl>
    <w:p>
      <w:pPr>
        <w:pStyle w:val="2"/>
        <w:ind w:left="0" w:leftChars="0" w:firstLine="0" w:firstLineChars="0"/>
        <w:jc w:val="both"/>
        <w:rPr>
          <w:rFonts w:hint="default" w:ascii="Times New Roman" w:hAnsi="Times New Roman" w:cs="Times New Roman"/>
        </w:rPr>
      </w:pPr>
    </w:p>
    <w:sectPr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ascii="宋体" w:hAnsi="宋体" w:eastAsia="宋体"/>
        <w:sz w:val="24"/>
        <w:szCs w:val="24"/>
      </w:rPr>
    </w:pPr>
    <w:r>
      <w:rPr>
        <w:rFonts w:hint="eastAsia" w:ascii="宋体" w:hAnsi="宋体" w:eastAsia="宋体"/>
        <w:sz w:val="24"/>
        <w:szCs w:val="24"/>
      </w:rPr>
      <w:t>验收组：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??" w:hAnsi="??" w:eastAsia="宋体" w:cs="Times New Roman"/>
        <w:kern w:val="2"/>
        <w:sz w:val="18"/>
        <w:szCs w:val="18"/>
        <w:lang w:val="en-US" w:eastAsia="zh-CN" w:bidi="ar-SA"/>
      </w:rPr>
    </w:pPr>
    <w:r>
      <w:rPr>
        <w:rFonts w:hint="eastAsia" w:ascii="??" w:hAnsi="??" w:eastAsia="宋体" w:cs="Times New Roman"/>
        <w:kern w:val="2"/>
        <w:sz w:val="18"/>
        <w:szCs w:val="18"/>
        <w:lang w:val="en-US" w:eastAsia="zh-CN" w:bidi="ar-SA"/>
      </w:rPr>
      <w:t>专家组：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B07"/>
    <w:rsid w:val="00065166"/>
    <w:rsid w:val="0007309C"/>
    <w:rsid w:val="00080736"/>
    <w:rsid w:val="00090B43"/>
    <w:rsid w:val="00091D41"/>
    <w:rsid w:val="000A64D0"/>
    <w:rsid w:val="000B3300"/>
    <w:rsid w:val="000B7876"/>
    <w:rsid w:val="000D57D4"/>
    <w:rsid w:val="0011055A"/>
    <w:rsid w:val="001121F2"/>
    <w:rsid w:val="001441DB"/>
    <w:rsid w:val="00150C4F"/>
    <w:rsid w:val="00174143"/>
    <w:rsid w:val="0018756C"/>
    <w:rsid w:val="001A2D0C"/>
    <w:rsid w:val="001E12FD"/>
    <w:rsid w:val="001E4310"/>
    <w:rsid w:val="001F3151"/>
    <w:rsid w:val="00204624"/>
    <w:rsid w:val="00222837"/>
    <w:rsid w:val="00295B07"/>
    <w:rsid w:val="00352B38"/>
    <w:rsid w:val="00392261"/>
    <w:rsid w:val="003938E8"/>
    <w:rsid w:val="003A10EF"/>
    <w:rsid w:val="003A54B3"/>
    <w:rsid w:val="003A5B2F"/>
    <w:rsid w:val="003B1749"/>
    <w:rsid w:val="003F4EA4"/>
    <w:rsid w:val="00422A2B"/>
    <w:rsid w:val="004276A4"/>
    <w:rsid w:val="00433B70"/>
    <w:rsid w:val="00453A2D"/>
    <w:rsid w:val="00455739"/>
    <w:rsid w:val="00502ACA"/>
    <w:rsid w:val="00524277"/>
    <w:rsid w:val="00544B73"/>
    <w:rsid w:val="00574B20"/>
    <w:rsid w:val="005A2E9E"/>
    <w:rsid w:val="005C1D9F"/>
    <w:rsid w:val="005E1106"/>
    <w:rsid w:val="00616643"/>
    <w:rsid w:val="006217D8"/>
    <w:rsid w:val="00653273"/>
    <w:rsid w:val="006A2855"/>
    <w:rsid w:val="006C0917"/>
    <w:rsid w:val="00774F9F"/>
    <w:rsid w:val="00784E7A"/>
    <w:rsid w:val="007C309F"/>
    <w:rsid w:val="007C5231"/>
    <w:rsid w:val="007D0B67"/>
    <w:rsid w:val="007E2924"/>
    <w:rsid w:val="007F0035"/>
    <w:rsid w:val="008058AE"/>
    <w:rsid w:val="00846B8E"/>
    <w:rsid w:val="00876640"/>
    <w:rsid w:val="008B1C17"/>
    <w:rsid w:val="008B30D8"/>
    <w:rsid w:val="008C4959"/>
    <w:rsid w:val="008E592E"/>
    <w:rsid w:val="008E7424"/>
    <w:rsid w:val="009021F0"/>
    <w:rsid w:val="00935E17"/>
    <w:rsid w:val="00940D24"/>
    <w:rsid w:val="00970983"/>
    <w:rsid w:val="009B4C44"/>
    <w:rsid w:val="009C50C1"/>
    <w:rsid w:val="009D2972"/>
    <w:rsid w:val="009D4E0D"/>
    <w:rsid w:val="009F6467"/>
    <w:rsid w:val="00A36FC6"/>
    <w:rsid w:val="00A54194"/>
    <w:rsid w:val="00A6370B"/>
    <w:rsid w:val="00AC025B"/>
    <w:rsid w:val="00AC1021"/>
    <w:rsid w:val="00AE49CA"/>
    <w:rsid w:val="00B01231"/>
    <w:rsid w:val="00B21C67"/>
    <w:rsid w:val="00B85659"/>
    <w:rsid w:val="00BF0A68"/>
    <w:rsid w:val="00C360C1"/>
    <w:rsid w:val="00C8726A"/>
    <w:rsid w:val="00C91754"/>
    <w:rsid w:val="00C92E4F"/>
    <w:rsid w:val="00C95DDB"/>
    <w:rsid w:val="00CF155F"/>
    <w:rsid w:val="00D27B00"/>
    <w:rsid w:val="00D4758F"/>
    <w:rsid w:val="00D6614C"/>
    <w:rsid w:val="00D8588E"/>
    <w:rsid w:val="00DC431D"/>
    <w:rsid w:val="00DE0EFE"/>
    <w:rsid w:val="00DE4CFD"/>
    <w:rsid w:val="00DF77B8"/>
    <w:rsid w:val="00E1126E"/>
    <w:rsid w:val="00E1514C"/>
    <w:rsid w:val="00E27B28"/>
    <w:rsid w:val="00E7568E"/>
    <w:rsid w:val="00E926D1"/>
    <w:rsid w:val="00EA1A93"/>
    <w:rsid w:val="00EA4F5E"/>
    <w:rsid w:val="00EA7FB2"/>
    <w:rsid w:val="00EB0704"/>
    <w:rsid w:val="00ED70C9"/>
    <w:rsid w:val="00EE4B8E"/>
    <w:rsid w:val="00F13F21"/>
    <w:rsid w:val="00F41C21"/>
    <w:rsid w:val="00F653A6"/>
    <w:rsid w:val="00F6698C"/>
    <w:rsid w:val="00F8399C"/>
    <w:rsid w:val="00F93B77"/>
    <w:rsid w:val="00FC0882"/>
    <w:rsid w:val="00FC3857"/>
    <w:rsid w:val="00FE20AF"/>
    <w:rsid w:val="04E523D6"/>
    <w:rsid w:val="0BE16D47"/>
    <w:rsid w:val="0DE83D0C"/>
    <w:rsid w:val="11BA5424"/>
    <w:rsid w:val="129C1486"/>
    <w:rsid w:val="1671124A"/>
    <w:rsid w:val="182670F8"/>
    <w:rsid w:val="1BA97425"/>
    <w:rsid w:val="202A00EA"/>
    <w:rsid w:val="231F4576"/>
    <w:rsid w:val="23A05946"/>
    <w:rsid w:val="25D77AB5"/>
    <w:rsid w:val="29F229AF"/>
    <w:rsid w:val="2BA77516"/>
    <w:rsid w:val="2C0D13A8"/>
    <w:rsid w:val="2C7D7E04"/>
    <w:rsid w:val="2E9D32E3"/>
    <w:rsid w:val="341F312E"/>
    <w:rsid w:val="34775EB0"/>
    <w:rsid w:val="353B6F30"/>
    <w:rsid w:val="37231DCB"/>
    <w:rsid w:val="393C41D7"/>
    <w:rsid w:val="3A3F5C25"/>
    <w:rsid w:val="3E1A3DA9"/>
    <w:rsid w:val="458665E9"/>
    <w:rsid w:val="488555B3"/>
    <w:rsid w:val="4A031BD1"/>
    <w:rsid w:val="4ADD2FF7"/>
    <w:rsid w:val="4C853125"/>
    <w:rsid w:val="4D473758"/>
    <w:rsid w:val="50701F86"/>
    <w:rsid w:val="51572244"/>
    <w:rsid w:val="51C32DFA"/>
    <w:rsid w:val="54B83851"/>
    <w:rsid w:val="56C24AE7"/>
    <w:rsid w:val="589B1AEB"/>
    <w:rsid w:val="5D214E4B"/>
    <w:rsid w:val="623871DE"/>
    <w:rsid w:val="641F04E5"/>
    <w:rsid w:val="6AC8379B"/>
    <w:rsid w:val="6E321BC8"/>
    <w:rsid w:val="72C961C2"/>
    <w:rsid w:val="7C7871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8"/>
    <w:qFormat/>
    <w:uiPriority w:val="0"/>
    <w:pPr>
      <w:spacing w:line="480" w:lineRule="atLeast"/>
      <w:outlineLvl w:val="2"/>
    </w:pPr>
    <w:rPr>
      <w:rFonts w:ascii="宋体" w:hAnsi="宋体" w:eastAsia="宋体"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ind w:firstLine="420" w:firstLineChars="200"/>
    </w:pPr>
    <w:rPr>
      <w:rFonts w:eastAsia="宋体"/>
      <w:szCs w:val="24"/>
    </w:rPr>
  </w:style>
  <w:style w:type="paragraph" w:styleId="4">
    <w:name w:val="Document Map"/>
    <w:basedOn w:val="1"/>
    <w:link w:val="27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annotation text"/>
    <w:basedOn w:val="1"/>
    <w:link w:val="23"/>
    <w:unhideWhenUsed/>
    <w:qFormat/>
    <w:uiPriority w:val="99"/>
    <w:pPr>
      <w:jc w:val="left"/>
    </w:pPr>
  </w:style>
  <w:style w:type="paragraph" w:styleId="6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7">
    <w:name w:val="Body Text"/>
    <w:basedOn w:val="1"/>
    <w:link w:val="28"/>
    <w:semiHidden/>
    <w:unhideWhenUsed/>
    <w:qFormat/>
    <w:uiPriority w:val="99"/>
    <w:pPr>
      <w:spacing w:after="120"/>
    </w:pPr>
  </w:style>
  <w:style w:type="paragraph" w:styleId="8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4"/>
    <w:unhideWhenUsed/>
    <w:qFormat/>
    <w:uiPriority w:val="99"/>
    <w:rPr>
      <w:b/>
      <w:bCs/>
    </w:rPr>
  </w:style>
  <w:style w:type="table" w:styleId="13">
    <w:name w:val="Table Grid"/>
    <w:basedOn w:val="12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annotation reference"/>
    <w:basedOn w:val="14"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4"/>
    <w:link w:val="10"/>
    <w:qFormat/>
    <w:uiPriority w:val="0"/>
    <w:rPr>
      <w:sz w:val="18"/>
      <w:szCs w:val="18"/>
    </w:rPr>
  </w:style>
  <w:style w:type="character" w:customStyle="1" w:styleId="17">
    <w:name w:val="页脚 Char"/>
    <w:basedOn w:val="14"/>
    <w:link w:val="9"/>
    <w:qFormat/>
    <w:uiPriority w:val="99"/>
    <w:rPr>
      <w:sz w:val="18"/>
      <w:szCs w:val="18"/>
    </w:rPr>
  </w:style>
  <w:style w:type="character" w:customStyle="1" w:styleId="18">
    <w:name w:val="标题 3 Char"/>
    <w:basedOn w:val="14"/>
    <w:link w:val="3"/>
    <w:qFormat/>
    <w:uiPriority w:val="0"/>
    <w:rPr>
      <w:rFonts w:ascii="宋体" w:hAnsi="宋体" w:eastAsia="宋体"/>
      <w:sz w:val="24"/>
      <w:szCs w:val="24"/>
    </w:rPr>
  </w:style>
  <w:style w:type="character" w:customStyle="1" w:styleId="19">
    <w:name w:val="正文2 Char Char"/>
    <w:basedOn w:val="14"/>
    <w:link w:val="20"/>
    <w:qFormat/>
    <w:uiPriority w:val="0"/>
    <w:rPr>
      <w:spacing w:val="18"/>
      <w:sz w:val="32"/>
    </w:rPr>
  </w:style>
  <w:style w:type="paragraph" w:customStyle="1" w:styleId="20">
    <w:name w:val="正文2"/>
    <w:link w:val="19"/>
    <w:qFormat/>
    <w:uiPriority w:val="0"/>
    <w:pPr>
      <w:widowControl w:val="0"/>
      <w:suppressAutoHyphens/>
      <w:spacing w:line="520" w:lineRule="atLeast"/>
      <w:ind w:firstLine="680"/>
      <w:jc w:val="both"/>
    </w:pPr>
    <w:rPr>
      <w:rFonts w:asciiTheme="minorHAnsi" w:hAnsiTheme="minorHAnsi" w:eastAsiaTheme="minorEastAsia" w:cstheme="minorBidi"/>
      <w:spacing w:val="18"/>
      <w:kern w:val="2"/>
      <w:sz w:val="32"/>
      <w:szCs w:val="22"/>
      <w:lang w:val="en-US" w:eastAsia="zh-CN" w:bidi="ar-SA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批注文字 Char"/>
    <w:basedOn w:val="14"/>
    <w:link w:val="5"/>
    <w:semiHidden/>
    <w:qFormat/>
    <w:uiPriority w:val="99"/>
  </w:style>
  <w:style w:type="character" w:customStyle="1" w:styleId="24">
    <w:name w:val="批注主题 Char"/>
    <w:basedOn w:val="23"/>
    <w:link w:val="11"/>
    <w:semiHidden/>
    <w:qFormat/>
    <w:uiPriority w:val="99"/>
    <w:rPr>
      <w:b/>
      <w:bCs/>
    </w:rPr>
  </w:style>
  <w:style w:type="character" w:customStyle="1" w:styleId="25">
    <w:name w:val="批注框文本 Char"/>
    <w:basedOn w:val="14"/>
    <w:link w:val="8"/>
    <w:semiHidden/>
    <w:qFormat/>
    <w:uiPriority w:val="99"/>
    <w:rPr>
      <w:sz w:val="18"/>
      <w:szCs w:val="18"/>
    </w:rPr>
  </w:style>
  <w:style w:type="paragraph" w:customStyle="1" w:styleId="26">
    <w:name w:val="普通(网站)1"/>
    <w:basedOn w:val="1"/>
    <w:qFormat/>
    <w:uiPriority w:val="0"/>
    <w:pPr>
      <w:widowControl/>
      <w:spacing w:line="480" w:lineRule="exact"/>
      <w:ind w:firstLine="482" w:firstLineChars="200"/>
      <w:outlineLvl w:val="0"/>
    </w:pPr>
    <w:rPr>
      <w:rFonts w:ascii="宋体" w:hAnsi="宋体" w:eastAsia="宋体" w:cs="宋体"/>
      <w:b/>
      <w:kern w:val="0"/>
      <w:sz w:val="24"/>
      <w:szCs w:val="24"/>
    </w:rPr>
  </w:style>
  <w:style w:type="character" w:customStyle="1" w:styleId="27">
    <w:name w:val="文档结构图 Char"/>
    <w:basedOn w:val="14"/>
    <w:link w:val="4"/>
    <w:semiHidden/>
    <w:qFormat/>
    <w:uiPriority w:val="99"/>
    <w:rPr>
      <w:rFonts w:ascii="宋体" w:hAnsiTheme="minorHAnsi" w:cstheme="minorBidi"/>
      <w:kern w:val="2"/>
      <w:sz w:val="18"/>
      <w:szCs w:val="18"/>
    </w:rPr>
  </w:style>
  <w:style w:type="character" w:customStyle="1" w:styleId="28">
    <w:name w:val="正文文本 Char"/>
    <w:basedOn w:val="14"/>
    <w:link w:val="7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232</Words>
  <Characters>1324</Characters>
  <Lines>11</Lines>
  <Paragraphs>3</Paragraphs>
  <TotalTime>4</TotalTime>
  <ScaleCrop>false</ScaleCrop>
  <LinksUpToDate>false</LinksUpToDate>
  <CharactersWithSpaces>1553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2017-12-16T03:37:00Z</dcterms:created>
  <dc:creator>雷国伟</dc:creator>
  <cp:lastModifiedBy>lenovo</cp:lastModifiedBy>
  <cp:lastPrinted>2018-10-09T09:54:00Z</cp:lastPrinted>
  <dcterms:modified xsi:type="dcterms:W3CDTF">2019-11-03T04:25:40Z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