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60" w:lineRule="exact"/>
        <w:jc w:val="center"/>
        <w:rPr>
          <w:rFonts w:hint="eastAsia" w:ascii="Times New Roman" w:hAnsi="Times New Roman"/>
          <w:b/>
          <w:bCs/>
          <w:sz w:val="30"/>
          <w:szCs w:val="30"/>
          <w:lang w:eastAsia="zh-CN"/>
        </w:rPr>
      </w:pPr>
      <w:r>
        <w:rPr>
          <w:rFonts w:hint="eastAsia" w:ascii="Times New Roman" w:hAnsi="Times New Roman"/>
          <w:b/>
          <w:bCs/>
          <w:sz w:val="30"/>
          <w:szCs w:val="30"/>
          <w:lang w:eastAsia="zh-CN"/>
        </w:rPr>
        <w:t>沧州久耐特耐磨管件制造有限公司管件系列产品项目</w:t>
      </w:r>
    </w:p>
    <w:p>
      <w:pPr>
        <w:adjustRightInd w:val="0"/>
        <w:snapToGrid w:val="0"/>
        <w:spacing w:line="460" w:lineRule="exact"/>
        <w:jc w:val="center"/>
        <w:rPr>
          <w:rFonts w:ascii="Times New Roman" w:hAnsi="Times New Roman"/>
          <w:b/>
          <w:bCs/>
          <w:sz w:val="30"/>
          <w:szCs w:val="30"/>
        </w:rPr>
      </w:pPr>
      <w:r>
        <w:rPr>
          <w:rFonts w:hint="eastAsia" w:ascii="Times New Roman" w:hAnsi="Times New Roman"/>
          <w:b/>
          <w:bCs/>
          <w:sz w:val="30"/>
          <w:szCs w:val="30"/>
          <w:lang w:eastAsia="zh-CN"/>
        </w:rPr>
        <w:t>（阶段验收）</w:t>
      </w:r>
      <w:r>
        <w:rPr>
          <w:rFonts w:hint="eastAsia" w:ascii="Times New Roman" w:hAnsi="Times New Roman"/>
          <w:b/>
          <w:bCs/>
          <w:sz w:val="30"/>
          <w:szCs w:val="30"/>
        </w:rPr>
        <w:t>竣工环境保护验收意见</w:t>
      </w:r>
    </w:p>
    <w:p>
      <w:pPr>
        <w:spacing w:line="460" w:lineRule="exact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FF"/>
          <w:sz w:val="24"/>
          <w:szCs w:val="24"/>
        </w:rPr>
        <w:t>2019</w:t>
      </w:r>
      <w:r>
        <w:rPr>
          <w:rFonts w:hint="eastAsia" w:ascii="Times New Roman" w:hAnsi="Times New Roman"/>
          <w:color w:val="0000FF"/>
          <w:sz w:val="24"/>
          <w:szCs w:val="24"/>
        </w:rPr>
        <w:t>年</w:t>
      </w:r>
      <w:r>
        <w:rPr>
          <w:rFonts w:hint="eastAsia" w:ascii="Times New Roman" w:hAnsi="Times New Roman"/>
          <w:color w:val="0000FF"/>
          <w:sz w:val="24"/>
          <w:szCs w:val="24"/>
          <w:lang w:val="en-US" w:eastAsia="zh-CN"/>
        </w:rPr>
        <w:t>7</w:t>
      </w:r>
      <w:r>
        <w:rPr>
          <w:rFonts w:hint="eastAsia" w:ascii="Times New Roman" w:hAnsi="Times New Roman"/>
          <w:color w:val="0000FF"/>
          <w:sz w:val="24"/>
          <w:szCs w:val="24"/>
        </w:rPr>
        <w:t>月</w:t>
      </w:r>
      <w:r>
        <w:rPr>
          <w:rFonts w:hint="eastAsia" w:ascii="Times New Roman" w:hAnsi="Times New Roman"/>
          <w:color w:val="0000FF"/>
          <w:sz w:val="24"/>
          <w:szCs w:val="24"/>
          <w:lang w:val="en-US" w:eastAsia="zh-CN"/>
        </w:rPr>
        <w:t>17</w:t>
      </w:r>
      <w:r>
        <w:rPr>
          <w:rFonts w:hint="eastAsia" w:ascii="Times New Roman" w:hAnsi="Times New Roman"/>
          <w:color w:val="0000FF"/>
          <w:sz w:val="24"/>
          <w:szCs w:val="24"/>
        </w:rPr>
        <w:t>日</w:t>
      </w:r>
      <w:r>
        <w:rPr>
          <w:rFonts w:hint="eastAsia" w:ascii="Times New Roman" w:hAnsi="Times New Roman"/>
          <w:color w:val="000000"/>
          <w:sz w:val="24"/>
          <w:szCs w:val="24"/>
        </w:rPr>
        <w:t>，</w:t>
      </w:r>
      <w:r>
        <w:rPr>
          <w:rFonts w:hint="eastAsia" w:ascii="Times New Roman" w:hAnsi="Times New Roman"/>
          <w:sz w:val="24"/>
          <w:szCs w:val="24"/>
          <w:lang w:eastAsia="zh-CN"/>
        </w:rPr>
        <w:t>沧州久耐特耐磨管件制造有限公司</w:t>
      </w:r>
      <w:r>
        <w:rPr>
          <w:rFonts w:hint="eastAsia" w:ascii="Times New Roman" w:hAnsi="Times New Roman"/>
          <w:sz w:val="24"/>
          <w:szCs w:val="24"/>
        </w:rPr>
        <w:t>根据《</w:t>
      </w:r>
      <w:r>
        <w:rPr>
          <w:rFonts w:hint="eastAsia" w:ascii="Times New Roman" w:hAnsi="Times New Roman"/>
          <w:sz w:val="24"/>
          <w:szCs w:val="24"/>
          <w:lang w:eastAsia="zh-CN"/>
        </w:rPr>
        <w:t>沧州久耐特耐磨管件制造有限公司件管件系列产品项目（阶段验收）</w:t>
      </w:r>
      <w:r>
        <w:rPr>
          <w:rFonts w:hint="eastAsia" w:ascii="Times New Roman" w:hAnsi="Times New Roman"/>
          <w:sz w:val="24"/>
          <w:szCs w:val="24"/>
        </w:rPr>
        <w:t>竣工环境保护验收监测报告》，并对照《建设项目竣工环境保护验收暂行管理办法》，严格依照国家有关法律法规、建设项目竣工环境保护验收技术规范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hint="eastAsia" w:ascii="Times New Roman" w:hAnsi="Times New Roman"/>
          <w:sz w:val="24"/>
          <w:szCs w:val="24"/>
        </w:rPr>
        <w:t>指南、本项目环境影响评价报告表和审批部门审批意见等要求，组织相关单位人员对本项目进行了环保验收，提出意见如下：</w:t>
      </w:r>
    </w:p>
    <w:p>
      <w:pPr>
        <w:adjustRightInd w:val="0"/>
        <w:snapToGrid w:val="0"/>
        <w:spacing w:line="460" w:lineRule="exact"/>
        <w:ind w:firstLine="562" w:firstLineChars="200"/>
        <w:rPr>
          <w:rFonts w:ascii="Times New Roman" w:hAnsi="Times New Roman"/>
          <w:b/>
          <w:sz w:val="28"/>
          <w:szCs w:val="28"/>
        </w:rPr>
      </w:pPr>
      <w:r>
        <w:rPr>
          <w:rFonts w:hint="eastAsia" w:ascii="Times New Roman" w:hAnsi="宋体"/>
          <w:b/>
          <w:sz w:val="28"/>
          <w:szCs w:val="28"/>
        </w:rPr>
        <w:t>一、工程建设基本情况</w:t>
      </w:r>
    </w:p>
    <w:p>
      <w:pPr>
        <w:adjustRightInd w:val="0"/>
        <w:snapToGrid w:val="0"/>
        <w:spacing w:line="460" w:lineRule="exact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  <w:lang w:eastAsia="zh-CN"/>
        </w:rPr>
        <w:t>沧州久耐特耐磨管件制造有限公司</w:t>
      </w:r>
      <w:r>
        <w:rPr>
          <w:rFonts w:hint="eastAsia" w:ascii="Times New Roman" w:hAnsi="Times New Roman"/>
          <w:sz w:val="24"/>
          <w:szCs w:val="24"/>
        </w:rPr>
        <w:t>位于</w:t>
      </w:r>
      <w:r>
        <w:rPr>
          <w:rFonts w:hint="eastAsia" w:ascii="Times New Roman" w:hAnsi="Times New Roman"/>
          <w:sz w:val="24"/>
          <w:szCs w:val="24"/>
          <w:lang w:eastAsia="zh-CN"/>
        </w:rPr>
        <w:t>盐山经济开发区正港园区</w:t>
      </w:r>
      <w:r>
        <w:rPr>
          <w:rFonts w:hint="eastAsia" w:ascii="Times New Roman" w:hAnsi="Times New Roman"/>
          <w:sz w:val="24"/>
          <w:szCs w:val="24"/>
        </w:rPr>
        <w:t>，厂区中心地理坐标为东</w:t>
      </w:r>
      <w:r>
        <w:rPr>
          <w:rFonts w:hint="eastAsia" w:ascii="Times New Roman" w:hAnsi="Times New Roman"/>
          <w:sz w:val="24"/>
          <w:szCs w:val="24"/>
          <w:lang w:eastAsia="zh-CN"/>
        </w:rPr>
        <w:t>经:11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7</w:t>
      </w:r>
      <w:r>
        <w:rPr>
          <w:rFonts w:hint="eastAsia" w:ascii="Times New Roman" w:hAnsi="Times New Roman"/>
          <w:sz w:val="24"/>
          <w:szCs w:val="24"/>
          <w:lang w:eastAsia="zh-CN"/>
        </w:rPr>
        <w:t>°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20</w:t>
      </w:r>
      <w:r>
        <w:rPr>
          <w:rFonts w:hint="eastAsia" w:ascii="Times New Roman" w:hAnsi="Times New Roman"/>
          <w:sz w:val="24"/>
          <w:szCs w:val="24"/>
          <w:lang w:eastAsia="zh-CN"/>
        </w:rPr>
        <w:t>'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47.85</w:t>
      </w:r>
      <w:r>
        <w:rPr>
          <w:rFonts w:hint="eastAsia" w:ascii="Times New Roman" w:hAnsi="Times New Roman"/>
          <w:sz w:val="24"/>
          <w:szCs w:val="24"/>
          <w:lang w:eastAsia="zh-CN"/>
        </w:rPr>
        <w:t>"、北纬: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38</w:t>
      </w:r>
      <w:r>
        <w:rPr>
          <w:rFonts w:hint="eastAsia" w:ascii="Times New Roman" w:hAnsi="Times New Roman"/>
          <w:sz w:val="24"/>
          <w:szCs w:val="24"/>
          <w:lang w:eastAsia="zh-CN"/>
        </w:rPr>
        <w:t>°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3</w:t>
      </w:r>
      <w:r>
        <w:rPr>
          <w:rFonts w:hint="eastAsia" w:ascii="Times New Roman" w:hAnsi="Times New Roman"/>
          <w:sz w:val="24"/>
          <w:szCs w:val="24"/>
          <w:lang w:eastAsia="zh-CN"/>
        </w:rPr>
        <w:t>'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57.14</w:t>
      </w:r>
      <w:r>
        <w:rPr>
          <w:rFonts w:hint="eastAsia" w:ascii="Times New Roman" w:hAnsi="Times New Roman"/>
          <w:sz w:val="24"/>
          <w:szCs w:val="24"/>
          <w:lang w:eastAsia="zh-CN"/>
        </w:rPr>
        <w:t>"。项目西侧为河北三工耐磨管件制造有限公司，南侧为河北天惠钢管制造有限公司，北侧和东侧为工业区道路</w:t>
      </w:r>
      <w:r>
        <w:rPr>
          <w:rFonts w:hint="eastAsia" w:ascii="Times New Roman" w:hAnsi="Times New Roman"/>
          <w:sz w:val="24"/>
          <w:szCs w:val="24"/>
        </w:rPr>
        <w:t>。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为建设管件系列产品生产线，包括普通钢管生产线、喷涂钢管生产线、喷水性漆钢管生产线、喷油性漆钢管生产线。项目已建成普通钢管生产线、喷水性漆钢管生产线、喷油性漆钢管生产线，年普通钢管20300t/a、喷水性漆钢管7000t/a、喷油性漆钢管3000t/a。</w:t>
      </w:r>
      <w:r>
        <w:rPr>
          <w:rFonts w:hint="eastAsia" w:ascii="Times New Roman" w:hAnsi="Times New Roman"/>
          <w:sz w:val="24"/>
          <w:szCs w:val="24"/>
        </w:rPr>
        <w:t>根据《固定污染物排污许可证分类管理名录》，目前该企业无需办理排污许可证。</w:t>
      </w:r>
    </w:p>
    <w:p>
      <w:pPr>
        <w:spacing w:line="460" w:lineRule="exact"/>
        <w:ind w:firstLine="480" w:firstLineChars="200"/>
        <w:rPr>
          <w:rFonts w:ascii="宋体" w:cs="宋体"/>
          <w:color w:val="FF0000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  <w:lang w:eastAsia="zh-CN"/>
        </w:rPr>
        <w:t>沧州久耐特耐磨管件制造有限公司</w:t>
      </w:r>
      <w:r>
        <w:rPr>
          <w:rFonts w:hint="eastAsia" w:ascii="Times New Roman" w:hAnsi="Times New Roman"/>
          <w:color w:val="000000"/>
          <w:sz w:val="24"/>
          <w:szCs w:val="24"/>
        </w:rPr>
        <w:t>于</w:t>
      </w:r>
      <w:r>
        <w:rPr>
          <w:rFonts w:ascii="Times New Roman" w:hAnsi="Times New Roman"/>
          <w:color w:val="000000"/>
          <w:sz w:val="24"/>
          <w:szCs w:val="24"/>
        </w:rPr>
        <w:t>2019</w:t>
      </w:r>
      <w:r>
        <w:rPr>
          <w:rFonts w:hint="eastAsia" w:ascii="Times New Roman" w:hAnsi="宋体"/>
          <w:color w:val="000000"/>
          <w:sz w:val="24"/>
          <w:szCs w:val="24"/>
        </w:rPr>
        <w:t>年</w:t>
      </w: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4</w:t>
      </w:r>
      <w:r>
        <w:rPr>
          <w:rFonts w:hint="eastAsia" w:ascii="Times New Roman" w:hAnsi="宋体"/>
          <w:color w:val="000000"/>
          <w:sz w:val="24"/>
          <w:szCs w:val="24"/>
        </w:rPr>
        <w:t>月委托</w:t>
      </w:r>
      <w:r>
        <w:rPr>
          <w:rFonts w:hint="eastAsia" w:ascii="Times New Roman" w:hAnsi="Times New Roman"/>
          <w:sz w:val="24"/>
          <w:szCs w:val="24"/>
          <w:lang w:eastAsia="zh-CN"/>
        </w:rPr>
        <w:t>河北欣众环保科技有限公司</w:t>
      </w:r>
      <w:r>
        <w:rPr>
          <w:rFonts w:hint="eastAsia" w:ascii="宋体" w:hAnsi="宋体" w:cs="宋体"/>
          <w:color w:val="000000"/>
          <w:sz w:val="24"/>
          <w:szCs w:val="24"/>
        </w:rPr>
        <w:t>编制了</w:t>
      </w:r>
      <w:r>
        <w:rPr>
          <w:rFonts w:hint="eastAsia" w:ascii="Times New Roman" w:hAnsi="Times New Roman"/>
          <w:sz w:val="24"/>
          <w:szCs w:val="24"/>
        </w:rPr>
        <w:t>《</w:t>
      </w:r>
      <w:r>
        <w:rPr>
          <w:rFonts w:hint="eastAsia" w:ascii="Times New Roman" w:hAnsi="Times New Roman"/>
          <w:sz w:val="24"/>
          <w:szCs w:val="24"/>
          <w:lang w:eastAsia="zh-CN"/>
        </w:rPr>
        <w:t>沧州久耐特耐磨管件制造有限公司管件系列产品项目</w:t>
      </w:r>
      <w:r>
        <w:rPr>
          <w:rFonts w:hint="eastAsia" w:ascii="Times New Roman" w:hAnsi="Times New Roman"/>
          <w:sz w:val="24"/>
          <w:szCs w:val="24"/>
        </w:rPr>
        <w:t>环境影响报告表》</w:t>
      </w:r>
      <w:r>
        <w:rPr>
          <w:rFonts w:hint="eastAsia" w:ascii="宋体" w:hAnsi="宋体" w:cs="宋体"/>
          <w:color w:val="000000"/>
          <w:sz w:val="24"/>
          <w:szCs w:val="24"/>
        </w:rPr>
        <w:t>，</w:t>
      </w:r>
      <w:r>
        <w:rPr>
          <w:rFonts w:hint="eastAsia" w:ascii="宋体" w:hAnsi="宋体" w:cs="宋体"/>
          <w:sz w:val="24"/>
          <w:szCs w:val="24"/>
        </w:rPr>
        <w:t>报告</w:t>
      </w:r>
      <w:bookmarkStart w:id="0" w:name="_Hlk496980272"/>
      <w:r>
        <w:rPr>
          <w:rFonts w:hint="eastAsia" w:ascii="宋体" w:hAnsi="宋体" w:cs="宋体"/>
          <w:sz w:val="24"/>
          <w:szCs w:val="24"/>
        </w:rPr>
        <w:t>表</w:t>
      </w:r>
      <w:r>
        <w:rPr>
          <w:rFonts w:hint="eastAsia" w:ascii="Times New Roman" w:hAnsi="Times New Roman"/>
          <w:sz w:val="24"/>
          <w:szCs w:val="24"/>
        </w:rPr>
        <w:t>于</w:t>
      </w:r>
      <w:r>
        <w:rPr>
          <w:rFonts w:ascii="Times New Roman" w:hAnsi="Times New Roman"/>
          <w:sz w:val="24"/>
          <w:szCs w:val="24"/>
        </w:rPr>
        <w:t>2019</w:t>
      </w:r>
      <w:r>
        <w:rPr>
          <w:rFonts w:hint="eastAsia" w:ascii="Times New Roman" w:hAnsi="Times New Roman"/>
          <w:sz w:val="24"/>
          <w:szCs w:val="24"/>
        </w:rPr>
        <w:t>年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4</w:t>
      </w:r>
      <w:r>
        <w:rPr>
          <w:rFonts w:hint="eastAsia" w:ascii="Times New Roman" w:hAnsi="Times New Roman"/>
          <w:sz w:val="24"/>
          <w:szCs w:val="24"/>
        </w:rPr>
        <w:t>月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28</w:t>
      </w:r>
      <w:r>
        <w:rPr>
          <w:rFonts w:hint="eastAsia" w:ascii="Times New Roman" w:hAnsi="Times New Roman"/>
          <w:sz w:val="24"/>
          <w:szCs w:val="24"/>
        </w:rPr>
        <w:t>日获得沧州市生态环境保护局盐山县分局的批复，审批文号为盐环表</w:t>
      </w:r>
      <w:r>
        <w:rPr>
          <w:rFonts w:ascii="Times New Roman" w:hAnsi="Times New Roman"/>
          <w:sz w:val="24"/>
          <w:szCs w:val="24"/>
        </w:rPr>
        <w:t>[2019]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32</w:t>
      </w:r>
      <w:r>
        <w:rPr>
          <w:rFonts w:hint="eastAsia" w:ascii="Times New Roman" w:hAnsi="Times New Roman"/>
          <w:sz w:val="24"/>
          <w:szCs w:val="24"/>
        </w:rPr>
        <w:t>号</w:t>
      </w:r>
      <w:r>
        <w:rPr>
          <w:rFonts w:hint="eastAsia" w:ascii="宋体" w:hAnsi="宋体" w:cs="宋体"/>
          <w:sz w:val="24"/>
          <w:szCs w:val="24"/>
        </w:rPr>
        <w:t>。</w:t>
      </w:r>
    </w:p>
    <w:bookmarkEnd w:id="0"/>
    <w:p>
      <w:pPr>
        <w:adjustRightInd w:val="0"/>
        <w:snapToGrid w:val="0"/>
        <w:spacing w:line="460" w:lineRule="exact"/>
        <w:ind w:firstLine="480" w:firstLineChars="200"/>
        <w:rPr>
          <w:rFonts w:ascii="Times New Roman" w:hAnsi="宋体"/>
          <w:color w:val="000000"/>
          <w:sz w:val="24"/>
          <w:szCs w:val="24"/>
        </w:rPr>
      </w:pPr>
      <w:r>
        <w:rPr>
          <w:rFonts w:hint="eastAsia" w:ascii="Times New Roman" w:hAnsi="宋体"/>
          <w:sz w:val="24"/>
          <w:szCs w:val="24"/>
        </w:rPr>
        <w:t>本项目</w:t>
      </w:r>
      <w:r>
        <w:rPr>
          <w:rFonts w:hint="eastAsia" w:ascii="Times New Roman" w:hAnsi="宋体"/>
          <w:color w:val="000000"/>
          <w:sz w:val="24"/>
          <w:szCs w:val="24"/>
        </w:rPr>
        <w:t>总投资</w:t>
      </w:r>
      <w:r>
        <w:rPr>
          <w:rFonts w:hint="default" w:ascii="Times New Roman" w:hAnsi="Times New Roman"/>
          <w:color w:val="000000"/>
          <w:sz w:val="24"/>
          <w:szCs w:val="24"/>
          <w:lang w:val="en-US" w:eastAsia="zh-CN"/>
        </w:rPr>
        <w:t>15600</w:t>
      </w:r>
      <w:r>
        <w:rPr>
          <w:rFonts w:hint="eastAsia" w:ascii="Times New Roman" w:hAnsi="宋体"/>
          <w:color w:val="000000"/>
          <w:sz w:val="24"/>
          <w:szCs w:val="24"/>
        </w:rPr>
        <w:t>万元，其中环保投资</w:t>
      </w:r>
      <w:r>
        <w:rPr>
          <w:rFonts w:hint="eastAsia" w:ascii="Times New Roman" w:hAnsi="宋体"/>
          <w:color w:val="000000"/>
          <w:sz w:val="24"/>
          <w:szCs w:val="24"/>
          <w:lang w:val="en-US" w:eastAsia="zh-CN"/>
        </w:rPr>
        <w:t>50</w:t>
      </w:r>
      <w:r>
        <w:rPr>
          <w:rFonts w:hint="eastAsia" w:ascii="Times New Roman" w:hAnsi="宋体"/>
          <w:color w:val="000000"/>
          <w:sz w:val="24"/>
          <w:szCs w:val="24"/>
        </w:rPr>
        <w:t>万元，占总投资的</w:t>
      </w: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0.32</w:t>
      </w:r>
      <w:r>
        <w:rPr>
          <w:rFonts w:ascii="Times New Roman" w:hAnsi="Times New Roman"/>
          <w:color w:val="000000"/>
          <w:sz w:val="24"/>
          <w:szCs w:val="24"/>
        </w:rPr>
        <w:t>%</w:t>
      </w:r>
      <w:r>
        <w:rPr>
          <w:rFonts w:hint="eastAsia" w:ascii="Times New Roman" w:hAnsi="宋体"/>
          <w:color w:val="000000"/>
          <w:sz w:val="24"/>
          <w:szCs w:val="24"/>
        </w:rPr>
        <w:t>。</w:t>
      </w:r>
    </w:p>
    <w:p>
      <w:pPr>
        <w:pStyle w:val="29"/>
        <w:adjustRightInd w:val="0"/>
        <w:snapToGrid w:val="0"/>
        <w:spacing w:line="460" w:lineRule="exact"/>
        <w:ind w:firstLine="31680"/>
        <w:rPr>
          <w:rFonts w:ascii="Times New Roman" w:hAnsi="Times New Roman"/>
          <w:sz w:val="28"/>
          <w:szCs w:val="28"/>
        </w:rPr>
      </w:pPr>
      <w:r>
        <w:rPr>
          <w:rFonts w:hint="eastAsia" w:ascii="Times New Roman"/>
          <w:sz w:val="28"/>
          <w:szCs w:val="28"/>
        </w:rPr>
        <w:t>二、工程变动情况</w:t>
      </w:r>
    </w:p>
    <w:p>
      <w:pPr>
        <w:adjustRightInd w:val="0"/>
        <w:snapToGrid w:val="0"/>
        <w:spacing w:line="460" w:lineRule="exact"/>
        <w:ind w:firstLine="480" w:firstLineChars="200"/>
        <w:rPr>
          <w:rFonts w:ascii="Times New Roman" w:hAnsi="Times New Roman"/>
          <w:color w:val="000000"/>
          <w:sz w:val="24"/>
          <w:szCs w:val="24"/>
        </w:rPr>
      </w:pPr>
      <w:r>
        <w:rPr>
          <w:rFonts w:hint="eastAsia" w:ascii="Times New Roman" w:hAnsi="宋体"/>
          <w:color w:val="000000"/>
          <w:sz w:val="24"/>
          <w:szCs w:val="24"/>
        </w:rPr>
        <w:t>工程建设地点、产品方案、生产工艺及污染物防治措施与环评阶段对比没有重大变动。</w:t>
      </w:r>
    </w:p>
    <w:p>
      <w:pPr>
        <w:adjustRightInd w:val="0"/>
        <w:snapToGrid w:val="0"/>
        <w:spacing w:line="460" w:lineRule="exact"/>
        <w:ind w:firstLine="562" w:firstLineChars="20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hint="eastAsia" w:ascii="Times New Roman" w:hAnsi="宋体"/>
          <w:b/>
          <w:color w:val="000000"/>
          <w:sz w:val="28"/>
          <w:szCs w:val="28"/>
        </w:rPr>
        <w:t>三、环境保护设施建设情况</w:t>
      </w:r>
    </w:p>
    <w:p>
      <w:pPr>
        <w:adjustRightInd w:val="0"/>
        <w:snapToGrid w:val="0"/>
        <w:spacing w:line="460" w:lineRule="exact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hint="eastAsia" w:ascii="Times New Roman" w:hAnsi="宋体"/>
          <w:sz w:val="24"/>
          <w:szCs w:val="24"/>
        </w:rPr>
        <w:t>、废水</w:t>
      </w:r>
    </w:p>
    <w:p>
      <w:pPr>
        <w:spacing w:line="480" w:lineRule="atLeast"/>
        <w:ind w:firstLine="480" w:firstLineChars="200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该建成项目废水主要来源于锯床（水切割）冷却水、喷淋水、生活污水。其中锯床（水切割）冷却水，循环使用不外排；喷漆废气处理水喷淋塔喷淋产生废水，每年定期更换一次，更换后作为危险废物处理；生活废水经化粪池处理后由当地村民定期清掏作为农肥使用，不外排。</w:t>
      </w:r>
    </w:p>
    <w:p>
      <w:pPr>
        <w:adjustRightInd w:val="0"/>
        <w:snapToGrid w:val="0"/>
        <w:spacing w:line="460" w:lineRule="exact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hint="eastAsia" w:ascii="Times New Roman" w:hAnsi="Times New Roman"/>
          <w:sz w:val="24"/>
          <w:szCs w:val="24"/>
        </w:rPr>
        <w:t>、废气</w:t>
      </w:r>
    </w:p>
    <w:p>
      <w:pPr>
        <w:adjustRightInd w:val="0"/>
        <w:snapToGrid w:val="0"/>
        <w:spacing w:line="460" w:lineRule="exact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该建成项目废气主要为焊接+等离子切割工序1#产生的废气，经滤芯除尘器处理后由1根15m高排气筒排放，焊接+等离子切割工序2#产生的废气，经滤芯除尘器处理后由1根15m高排气筒排放。调漆、喷漆、晾干工序均在喷漆房中进行，喷漆房密间，每条喷漆线喷漆房配备一套喷淋塔+过滤棉+UV光氧化催化设备+活性炭吸附装置对调漆、喷漆、晾干工序产生有机废气进行处理，处理后经15m排气筒排放。未收集的废气无组织排放。</w:t>
      </w:r>
    </w:p>
    <w:p>
      <w:pPr>
        <w:adjustRightInd w:val="0"/>
        <w:snapToGrid w:val="0"/>
        <w:spacing w:line="460" w:lineRule="exact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hint="eastAsia" w:ascii="Times New Roman" w:hAnsi="Times New Roman"/>
          <w:sz w:val="24"/>
          <w:szCs w:val="24"/>
        </w:rPr>
        <w:t>、噪声</w:t>
      </w:r>
    </w:p>
    <w:p>
      <w:pPr>
        <w:spacing w:line="480" w:lineRule="atLeast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该建成项目噪声主要来源于切割机、机加工设备、电焊机等设备运行时产生的噪声，通过优选低噪设备、加装基础减振、厂房隔声和距离衰减等措施降噪。</w:t>
      </w:r>
    </w:p>
    <w:p>
      <w:pPr>
        <w:adjustRightInd w:val="0"/>
        <w:snapToGrid w:val="0"/>
        <w:spacing w:line="460" w:lineRule="exact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>
        <w:rPr>
          <w:rFonts w:hint="eastAsia" w:ascii="Times New Roman" w:hAnsi="Times New Roman"/>
          <w:sz w:val="24"/>
          <w:szCs w:val="24"/>
        </w:rPr>
        <w:t>、固体废物</w:t>
      </w:r>
    </w:p>
    <w:p>
      <w:pPr>
        <w:adjustRightInd w:val="0"/>
        <w:snapToGrid w:val="0"/>
        <w:spacing w:line="460" w:lineRule="exact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本项目主要的固体废物为喷砂、除锈、等离子切割、自动焊接工序收集的粉尘外售综合利用；喷涂工序布袋除尘器收集后回用；机加工工序产生下脚料统一收集后外售；漆渣、废毡垫、废过滤棉、废活性炭由专用容器盛放，暂存于危废暂存间，委托有资质单位处理；废油漆桶由厂家回收，焊烟净化器收集的粉尘、项目员工产生生活垃圾和含机油的废抹布由环卫部门统一处理。</w:t>
      </w:r>
    </w:p>
    <w:p>
      <w:pPr>
        <w:adjustRightInd w:val="0"/>
        <w:snapToGrid w:val="0"/>
        <w:spacing w:line="460" w:lineRule="exact"/>
        <w:ind w:firstLine="562" w:firstLineChars="200"/>
        <w:rPr>
          <w:rFonts w:ascii="Times New Roman" w:hAnsi="Times New Roman"/>
          <w:b/>
          <w:sz w:val="28"/>
          <w:szCs w:val="28"/>
        </w:rPr>
      </w:pPr>
      <w:r>
        <w:rPr>
          <w:rFonts w:hint="eastAsia" w:ascii="Times New Roman" w:hAnsi="宋体"/>
          <w:b/>
          <w:sz w:val="28"/>
          <w:szCs w:val="28"/>
        </w:rPr>
        <w:t>四、环保设施监测结果</w:t>
      </w:r>
    </w:p>
    <w:p>
      <w:pPr>
        <w:adjustRightInd w:val="0"/>
        <w:snapToGrid w:val="0"/>
        <w:spacing w:line="460" w:lineRule="exact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宋体"/>
          <w:sz w:val="24"/>
          <w:szCs w:val="24"/>
          <w:lang w:eastAsia="zh-CN"/>
        </w:rPr>
        <w:t>河北海蓝环境检测服务有限公司</w:t>
      </w:r>
      <w:r>
        <w:rPr>
          <w:rFonts w:hint="eastAsia" w:ascii="Times New Roman" w:hAnsi="宋体"/>
          <w:sz w:val="24"/>
          <w:szCs w:val="24"/>
        </w:rPr>
        <w:t>于</w:t>
      </w:r>
      <w:bookmarkStart w:id="1" w:name="_Hlk496985984"/>
      <w:r>
        <w:rPr>
          <w:rFonts w:ascii="Times New Roman" w:hAnsi="宋体"/>
          <w:sz w:val="24"/>
          <w:szCs w:val="24"/>
        </w:rPr>
        <w:t>201</w:t>
      </w:r>
      <w:r>
        <w:rPr>
          <w:rFonts w:hint="eastAsia" w:ascii="Times New Roman" w:hAnsi="宋体"/>
          <w:sz w:val="24"/>
          <w:szCs w:val="24"/>
          <w:lang w:val="en-US" w:eastAsia="zh-CN"/>
        </w:rPr>
        <w:t>9</w:t>
      </w:r>
      <w:r>
        <w:rPr>
          <w:rFonts w:hint="eastAsia" w:ascii="Times New Roman" w:hAnsi="宋体"/>
          <w:sz w:val="24"/>
          <w:szCs w:val="24"/>
        </w:rPr>
        <w:t>年</w:t>
      </w:r>
      <w:r>
        <w:rPr>
          <w:rFonts w:hint="eastAsia" w:ascii="Times New Roman" w:hAnsi="宋体"/>
          <w:sz w:val="24"/>
          <w:szCs w:val="24"/>
          <w:lang w:val="en-US" w:eastAsia="zh-CN"/>
        </w:rPr>
        <w:t>10</w:t>
      </w:r>
      <w:r>
        <w:rPr>
          <w:rFonts w:hint="eastAsia" w:ascii="Times New Roman" w:hAnsi="宋体"/>
          <w:sz w:val="24"/>
          <w:szCs w:val="24"/>
        </w:rPr>
        <w:t>月</w:t>
      </w:r>
      <w:r>
        <w:rPr>
          <w:rFonts w:hint="eastAsia" w:ascii="Times New Roman" w:hAnsi="宋体"/>
          <w:sz w:val="24"/>
          <w:szCs w:val="24"/>
          <w:lang w:val="en-US" w:eastAsia="zh-CN"/>
        </w:rPr>
        <w:t>28</w:t>
      </w:r>
      <w:r>
        <w:rPr>
          <w:rFonts w:hint="eastAsia" w:ascii="Times New Roman" w:hAnsi="宋体"/>
          <w:sz w:val="24"/>
          <w:szCs w:val="24"/>
        </w:rPr>
        <w:t>日至</w:t>
      </w:r>
      <w:r>
        <w:rPr>
          <w:rFonts w:hint="eastAsia" w:ascii="Times New Roman" w:hAnsi="宋体"/>
          <w:sz w:val="24"/>
          <w:szCs w:val="24"/>
          <w:lang w:val="en-US" w:eastAsia="zh-CN"/>
        </w:rPr>
        <w:t>29</w:t>
      </w:r>
      <w:r>
        <w:rPr>
          <w:rFonts w:hint="eastAsia" w:ascii="Times New Roman" w:hAnsi="宋体"/>
          <w:sz w:val="24"/>
          <w:szCs w:val="24"/>
        </w:rPr>
        <w:t>日</w:t>
      </w:r>
      <w:bookmarkEnd w:id="1"/>
      <w:r>
        <w:rPr>
          <w:rFonts w:hint="eastAsia" w:ascii="Times New Roman" w:hAnsi="宋体"/>
          <w:sz w:val="24"/>
          <w:szCs w:val="24"/>
        </w:rPr>
        <w:t>进行了竣工验收检测并出具检测报告，报告编号为：</w:t>
      </w:r>
      <w:r>
        <w:rPr>
          <w:rFonts w:hint="eastAsia" w:ascii="Times New Roman" w:hAnsi="宋体"/>
          <w:sz w:val="24"/>
          <w:szCs w:val="24"/>
          <w:lang w:eastAsia="zh-CN"/>
        </w:rPr>
        <w:t>海蓝（检）字</w:t>
      </w:r>
      <w:r>
        <w:rPr>
          <w:rFonts w:hint="eastAsia" w:ascii="Times New Roman" w:hAnsi="宋体"/>
          <w:sz w:val="24"/>
          <w:szCs w:val="24"/>
          <w:lang w:val="en-US" w:eastAsia="zh-CN"/>
        </w:rPr>
        <w:t>WT201910-0966</w:t>
      </w:r>
      <w:r>
        <w:rPr>
          <w:rFonts w:hint="eastAsia" w:ascii="Times New Roman" w:hAnsi="宋体"/>
          <w:sz w:val="24"/>
          <w:szCs w:val="24"/>
        </w:rPr>
        <w:t>。检测结果如下：</w:t>
      </w:r>
    </w:p>
    <w:p>
      <w:pPr>
        <w:pStyle w:val="28"/>
        <w:widowControl/>
        <w:numPr>
          <w:ilvl w:val="0"/>
          <w:numId w:val="1"/>
        </w:numPr>
        <w:adjustRightInd w:val="0"/>
        <w:snapToGrid w:val="0"/>
        <w:spacing w:line="460" w:lineRule="exact"/>
        <w:ind w:firstLine="31680"/>
        <w:rPr>
          <w:rFonts w:ascii="Times New Roman" w:hAnsi="宋体"/>
          <w:sz w:val="24"/>
          <w:szCs w:val="24"/>
        </w:rPr>
      </w:pPr>
      <w:r>
        <w:rPr>
          <w:rFonts w:hint="eastAsia" w:ascii="Times New Roman" w:hAnsi="宋体"/>
          <w:sz w:val="24"/>
          <w:szCs w:val="24"/>
        </w:rPr>
        <w:t>废气</w:t>
      </w:r>
    </w:p>
    <w:p>
      <w:pPr>
        <w:pStyle w:val="28"/>
        <w:widowControl/>
        <w:adjustRightInd w:val="0"/>
        <w:snapToGrid w:val="0"/>
        <w:spacing w:line="460" w:lineRule="exact"/>
        <w:ind w:firstLine="31680"/>
        <w:rPr>
          <w:rFonts w:hint="eastAsia" w:ascii="Times New Roman" w:hAnsi="宋体"/>
          <w:sz w:val="24"/>
          <w:szCs w:val="24"/>
          <w:lang w:val="en-US" w:eastAsia="zh-CN"/>
        </w:rPr>
      </w:pPr>
      <w:r>
        <w:rPr>
          <w:rFonts w:hint="eastAsia" w:ascii="Times New Roman" w:hAnsi="宋体"/>
          <w:sz w:val="24"/>
          <w:szCs w:val="24"/>
          <w:lang w:val="en-US" w:eastAsia="zh-CN"/>
        </w:rPr>
        <w:t>1#调漆、喷漆、晾干工序排气筒排放的废气中，非甲烷总烃浓度最大值为4.31mg/m</w:t>
      </w:r>
      <w:r>
        <w:rPr>
          <w:rFonts w:hint="eastAsia" w:ascii="Times New Roman" w:hAnsi="宋体"/>
          <w:sz w:val="24"/>
          <w:szCs w:val="24"/>
          <w:vertAlign w:val="superscript"/>
          <w:lang w:val="en-US" w:eastAsia="zh-CN"/>
        </w:rPr>
        <w:t>3</w:t>
      </w:r>
      <w:r>
        <w:rPr>
          <w:rFonts w:hint="eastAsia" w:ascii="Times New Roman" w:hAnsi="宋体"/>
          <w:sz w:val="24"/>
          <w:szCs w:val="24"/>
          <w:lang w:val="en-US" w:eastAsia="zh-CN"/>
        </w:rPr>
        <w:t>，最低去除率为41.50%，甲苯与二甲苯合计浓度最大值为0.682mg/m</w:t>
      </w:r>
      <w:r>
        <w:rPr>
          <w:rFonts w:hint="eastAsia" w:ascii="Times New Roman" w:hAnsi="宋体"/>
          <w:sz w:val="24"/>
          <w:szCs w:val="24"/>
          <w:vertAlign w:val="superscript"/>
          <w:lang w:val="en-US" w:eastAsia="zh-CN"/>
        </w:rPr>
        <w:t>3</w:t>
      </w:r>
      <w:r>
        <w:rPr>
          <w:rFonts w:hint="eastAsia" w:ascii="Times New Roman" w:hAnsi="宋体"/>
          <w:sz w:val="24"/>
          <w:szCs w:val="24"/>
          <w:lang w:val="en-US" w:eastAsia="zh-CN"/>
        </w:rPr>
        <w:t>；2#调漆、喷漆、晾干工序排气筒排放的废气中，非甲烷总烃浓度最大值为4.11mg/m</w:t>
      </w:r>
      <w:r>
        <w:rPr>
          <w:rFonts w:hint="eastAsia" w:ascii="Times New Roman" w:hAnsi="宋体"/>
          <w:sz w:val="24"/>
          <w:szCs w:val="24"/>
          <w:vertAlign w:val="superscript"/>
          <w:lang w:val="en-US" w:eastAsia="zh-CN"/>
        </w:rPr>
        <w:t>3</w:t>
      </w:r>
      <w:r>
        <w:rPr>
          <w:rFonts w:hint="eastAsia" w:ascii="Times New Roman" w:hAnsi="宋体"/>
          <w:sz w:val="24"/>
          <w:szCs w:val="24"/>
          <w:lang w:val="en-US" w:eastAsia="zh-CN"/>
        </w:rPr>
        <w:t>，最低去除率为48.23%，甲苯与二甲苯合计浓度最大值为0.659mg/m</w:t>
      </w:r>
      <w:r>
        <w:rPr>
          <w:rFonts w:hint="eastAsia" w:ascii="Times New Roman" w:hAnsi="宋体"/>
          <w:sz w:val="24"/>
          <w:szCs w:val="24"/>
          <w:vertAlign w:val="superscript"/>
          <w:lang w:val="en-US" w:eastAsia="zh-CN"/>
        </w:rPr>
        <w:t>3</w:t>
      </w:r>
      <w:r>
        <w:rPr>
          <w:rFonts w:hint="eastAsia" w:ascii="Times New Roman" w:hAnsi="宋体"/>
          <w:sz w:val="24"/>
          <w:szCs w:val="24"/>
          <w:lang w:val="en-US" w:eastAsia="zh-CN"/>
        </w:rPr>
        <w:t>，均满足《工业企业挥发性有机物排放控制标准》（DB13/2332-2016）表1表面涂装行业标准要求，最低去除率，不满足《工业企业挥发性有机物排放控制标准》（DB13/2332-2016）表1表面涂装行业最低去除率标准要求，车间加测点非甲烷总烃浓度最大值为1.27mg/m</w:t>
      </w:r>
      <w:r>
        <w:rPr>
          <w:rFonts w:hint="eastAsia" w:ascii="Times New Roman" w:hAnsi="宋体"/>
          <w:sz w:val="24"/>
          <w:szCs w:val="24"/>
          <w:vertAlign w:val="superscript"/>
          <w:lang w:val="en-US" w:eastAsia="zh-CN"/>
        </w:rPr>
        <w:t>3</w:t>
      </w:r>
      <w:r>
        <w:rPr>
          <w:rFonts w:hint="eastAsia" w:ascii="Times New Roman" w:hAnsi="宋体"/>
          <w:sz w:val="24"/>
          <w:szCs w:val="24"/>
          <w:lang w:val="en-US" w:eastAsia="zh-CN"/>
        </w:rPr>
        <w:t>，满足《工业企业挥发性有机物排放控制标准》（DB13/2332-2016）表3标准要求；1#调漆、喷漆、晾干工序排气筒排放的废气中，颗粒物浓度最大值为11.6mg/m</w:t>
      </w:r>
      <w:r>
        <w:rPr>
          <w:rFonts w:hint="eastAsia" w:ascii="Times New Roman" w:hAnsi="宋体"/>
          <w:sz w:val="24"/>
          <w:szCs w:val="24"/>
          <w:vertAlign w:val="superscript"/>
          <w:lang w:val="en-US" w:eastAsia="zh-CN"/>
        </w:rPr>
        <w:t>3</w:t>
      </w:r>
      <w:r>
        <w:rPr>
          <w:rFonts w:hint="eastAsia" w:ascii="Times New Roman" w:hAnsi="宋体"/>
          <w:sz w:val="24"/>
          <w:szCs w:val="24"/>
          <w:lang w:val="en-US" w:eastAsia="zh-CN"/>
        </w:rPr>
        <w:t>、最大排放速率为0.07kg/h，2#调漆、喷漆、晾干工序排气筒排放的废气中，颗粒物浓度最大值为10.0mg/m</w:t>
      </w:r>
      <w:r>
        <w:rPr>
          <w:rFonts w:hint="eastAsia" w:ascii="Times New Roman" w:hAnsi="宋体"/>
          <w:sz w:val="24"/>
          <w:szCs w:val="24"/>
          <w:vertAlign w:val="superscript"/>
          <w:lang w:val="en-US" w:eastAsia="zh-CN"/>
        </w:rPr>
        <w:t>3</w:t>
      </w:r>
      <w:r>
        <w:rPr>
          <w:rFonts w:hint="eastAsia" w:ascii="Times New Roman" w:hAnsi="宋体"/>
          <w:sz w:val="24"/>
          <w:szCs w:val="24"/>
          <w:lang w:val="en-US" w:eastAsia="zh-CN"/>
        </w:rPr>
        <w:t>、最大排放速率为0.07kg/h，均满足《大气污染物综合排放标准》（GB16297-1996）表2（染料尘）二级标准要求；</w:t>
      </w:r>
    </w:p>
    <w:p>
      <w:pPr>
        <w:pStyle w:val="28"/>
        <w:widowControl/>
        <w:adjustRightInd w:val="0"/>
        <w:snapToGrid w:val="0"/>
        <w:spacing w:line="460" w:lineRule="exact"/>
        <w:ind w:firstLine="31680"/>
        <w:rPr>
          <w:rFonts w:hint="eastAsia" w:ascii="Times New Roman" w:hAnsi="宋体"/>
          <w:sz w:val="24"/>
          <w:szCs w:val="24"/>
          <w:lang w:val="en-US" w:eastAsia="zh-CN"/>
        </w:rPr>
      </w:pPr>
      <w:r>
        <w:rPr>
          <w:rFonts w:hint="eastAsia" w:ascii="Times New Roman" w:hAnsi="宋体"/>
          <w:sz w:val="24"/>
          <w:szCs w:val="24"/>
          <w:lang w:val="en-US" w:eastAsia="zh-CN"/>
        </w:rPr>
        <w:t>该企业1#焊接+等离子切割工序排气筒排放的废气中，颗粒物浓度最大值为25.1mg/m</w:t>
      </w:r>
      <w:r>
        <w:rPr>
          <w:rFonts w:hint="eastAsia" w:ascii="Times New Roman" w:hAnsi="宋体"/>
          <w:sz w:val="24"/>
          <w:szCs w:val="24"/>
          <w:vertAlign w:val="superscript"/>
          <w:lang w:val="en-US" w:eastAsia="zh-CN"/>
        </w:rPr>
        <w:t>3</w:t>
      </w:r>
      <w:r>
        <w:rPr>
          <w:rFonts w:hint="eastAsia" w:ascii="Times New Roman" w:hAnsi="宋体"/>
          <w:sz w:val="24"/>
          <w:szCs w:val="24"/>
          <w:lang w:val="en-US" w:eastAsia="zh-CN"/>
        </w:rPr>
        <w:t>、最大排放速率为0.13kg/h，2#焊接+等离子切割工序排气筒排放的废气中，颗粒物浓度最大值为33.9mg/m</w:t>
      </w:r>
      <w:r>
        <w:rPr>
          <w:rFonts w:hint="eastAsia" w:ascii="Times New Roman" w:hAnsi="宋体"/>
          <w:sz w:val="24"/>
          <w:szCs w:val="24"/>
          <w:vertAlign w:val="superscript"/>
          <w:lang w:val="en-US" w:eastAsia="zh-CN"/>
        </w:rPr>
        <w:t>3</w:t>
      </w:r>
      <w:r>
        <w:rPr>
          <w:rFonts w:hint="eastAsia" w:ascii="Times New Roman" w:hAnsi="宋体"/>
          <w:sz w:val="24"/>
          <w:szCs w:val="24"/>
          <w:lang w:val="en-US" w:eastAsia="zh-CN"/>
        </w:rPr>
        <w:t>、最大排放速率为0.18kg/h，均满足《大气污染物综合排放标准》（GB16297-1996）表2二级标准要求；</w:t>
      </w:r>
    </w:p>
    <w:p>
      <w:pPr>
        <w:pStyle w:val="28"/>
        <w:widowControl/>
        <w:adjustRightInd w:val="0"/>
        <w:snapToGrid w:val="0"/>
        <w:spacing w:line="460" w:lineRule="exact"/>
        <w:ind w:firstLine="31680"/>
        <w:rPr>
          <w:rFonts w:ascii="Times New Roman" w:hAnsi="宋体"/>
          <w:sz w:val="24"/>
          <w:szCs w:val="24"/>
        </w:rPr>
      </w:pPr>
      <w:r>
        <w:rPr>
          <w:rFonts w:hint="eastAsia" w:ascii="Times New Roman" w:hAnsi="宋体"/>
          <w:sz w:val="24"/>
          <w:szCs w:val="24"/>
          <w:lang w:val="en-US" w:eastAsia="zh-CN"/>
        </w:rPr>
        <w:t>该企业无组织排放废气中，总悬浮颗粒物浓度最大值为0.617mg/m</w:t>
      </w:r>
      <w:r>
        <w:rPr>
          <w:rFonts w:hint="eastAsia" w:ascii="Times New Roman" w:hAnsi="宋体"/>
          <w:sz w:val="24"/>
          <w:szCs w:val="24"/>
          <w:vertAlign w:val="superscript"/>
          <w:lang w:val="en-US" w:eastAsia="zh-CN"/>
        </w:rPr>
        <w:t>3</w:t>
      </w:r>
      <w:r>
        <w:rPr>
          <w:rFonts w:hint="eastAsia" w:ascii="Times New Roman" w:hAnsi="宋体"/>
          <w:sz w:val="24"/>
          <w:szCs w:val="24"/>
          <w:lang w:val="en-US" w:eastAsia="zh-CN"/>
        </w:rPr>
        <w:t>，满足《大气污染物综合排放标准》（GB16297-1996）中表2无组织排放监控浓度限值；非甲烷总烃浓度最大值为0.66mg/m</w:t>
      </w:r>
      <w:r>
        <w:rPr>
          <w:rFonts w:hint="eastAsia" w:ascii="Times New Roman" w:hAnsi="宋体"/>
          <w:sz w:val="24"/>
          <w:szCs w:val="24"/>
          <w:vertAlign w:val="superscript"/>
          <w:lang w:val="en-US" w:eastAsia="zh-CN"/>
        </w:rPr>
        <w:t>3</w:t>
      </w:r>
      <w:r>
        <w:rPr>
          <w:rFonts w:hint="eastAsia" w:ascii="Times New Roman" w:hAnsi="宋体"/>
          <w:sz w:val="24"/>
          <w:szCs w:val="24"/>
          <w:lang w:val="en-US" w:eastAsia="zh-CN"/>
        </w:rPr>
        <w:t>，甲苯浓度最大值为0.0195mg/m</w:t>
      </w:r>
      <w:r>
        <w:rPr>
          <w:rFonts w:hint="eastAsia" w:ascii="Times New Roman" w:hAnsi="宋体"/>
          <w:sz w:val="24"/>
          <w:szCs w:val="24"/>
          <w:vertAlign w:val="superscript"/>
          <w:lang w:val="en-US" w:eastAsia="zh-CN"/>
        </w:rPr>
        <w:t>3</w:t>
      </w:r>
      <w:r>
        <w:rPr>
          <w:rFonts w:hint="eastAsia" w:ascii="Times New Roman" w:hAnsi="宋体"/>
          <w:sz w:val="24"/>
          <w:szCs w:val="24"/>
          <w:lang w:val="en-US" w:eastAsia="zh-CN"/>
        </w:rPr>
        <w:t>，二甲苯浓度最大值为0.0096mg/m</w:t>
      </w:r>
      <w:r>
        <w:rPr>
          <w:rFonts w:hint="eastAsia" w:ascii="Times New Roman" w:hAnsi="宋体"/>
          <w:sz w:val="24"/>
          <w:szCs w:val="24"/>
          <w:vertAlign w:val="superscript"/>
          <w:lang w:val="en-US" w:eastAsia="zh-CN"/>
        </w:rPr>
        <w:t>3</w:t>
      </w:r>
      <w:r>
        <w:rPr>
          <w:rFonts w:hint="eastAsia" w:ascii="Times New Roman" w:hAnsi="宋体"/>
          <w:sz w:val="24"/>
          <w:szCs w:val="24"/>
          <w:lang w:val="en-US" w:eastAsia="zh-CN"/>
        </w:rPr>
        <w:t>，均满足《工业企业挥发性有机物排放控制标准》（DB13/2332-2016）表2无组织排放标准；经监测，该建成项目车间门口无组织排放废气中非甲烷总烃排放浓度符合《工业企业挥发性有机物排放控制标准》（</w:t>
      </w:r>
      <w:r>
        <w:rPr>
          <w:rFonts w:hint="default" w:ascii="Times New Roman" w:hAnsi="宋体"/>
          <w:sz w:val="24"/>
          <w:szCs w:val="24"/>
          <w:lang w:val="en-US" w:eastAsia="zh-CN"/>
        </w:rPr>
        <w:t>DB13/ 2322-2016</w:t>
      </w:r>
      <w:r>
        <w:rPr>
          <w:rFonts w:hint="eastAsia" w:ascii="Times New Roman" w:hAnsi="宋体"/>
          <w:sz w:val="24"/>
          <w:szCs w:val="24"/>
          <w:lang w:val="en-US" w:eastAsia="zh-CN"/>
        </w:rPr>
        <w:t>）表</w:t>
      </w:r>
      <w:r>
        <w:rPr>
          <w:rFonts w:hint="default" w:ascii="Times New Roman" w:hAnsi="宋体"/>
          <w:sz w:val="24"/>
          <w:szCs w:val="24"/>
          <w:lang w:val="en-US" w:eastAsia="zh-CN"/>
        </w:rPr>
        <w:t>3</w:t>
      </w:r>
      <w:r>
        <w:rPr>
          <w:rFonts w:hint="eastAsia" w:ascii="Times New Roman" w:hAnsi="宋体"/>
          <w:sz w:val="24"/>
          <w:szCs w:val="24"/>
          <w:lang w:val="en-US" w:eastAsia="zh-CN"/>
        </w:rPr>
        <w:t>标准。</w:t>
      </w:r>
    </w:p>
    <w:p>
      <w:pPr>
        <w:pStyle w:val="28"/>
        <w:widowControl/>
        <w:adjustRightInd w:val="0"/>
        <w:snapToGrid w:val="0"/>
        <w:spacing w:line="460" w:lineRule="exact"/>
        <w:ind w:firstLine="31680"/>
        <w:rPr>
          <w:rFonts w:ascii="Times New Roman" w:hAnsi="宋体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hint="eastAsia" w:ascii="Times New Roman" w:hAnsi="Times New Roman"/>
          <w:sz w:val="24"/>
          <w:szCs w:val="24"/>
        </w:rPr>
        <w:t>、厂界</w:t>
      </w:r>
      <w:r>
        <w:rPr>
          <w:rFonts w:hint="eastAsia" w:ascii="Times New Roman" w:hAnsi="宋体"/>
          <w:sz w:val="24"/>
          <w:szCs w:val="24"/>
        </w:rPr>
        <w:t>噪声</w:t>
      </w:r>
    </w:p>
    <w:p>
      <w:pPr>
        <w:pStyle w:val="28"/>
        <w:widowControl/>
        <w:adjustRightInd w:val="0"/>
        <w:snapToGrid w:val="0"/>
        <w:spacing w:line="460" w:lineRule="exact"/>
        <w:ind w:firstLine="31680"/>
        <w:rPr>
          <w:rFonts w:hint="default" w:ascii="Times New Roman" w:hAnsi="Times New Roman"/>
          <w:sz w:val="24"/>
          <w:szCs w:val="24"/>
          <w:lang w:val="en-US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经监测，该建成项目厂界各检测点位昼间噪声监测结果均符合《工业企业厂环境噪声排放标准》（GB 12348-2008）表1中3类标准。</w:t>
      </w:r>
    </w:p>
    <w:p>
      <w:pPr>
        <w:adjustRightInd w:val="0"/>
        <w:snapToGrid w:val="0"/>
        <w:spacing w:line="460" w:lineRule="exact"/>
        <w:ind w:firstLine="562" w:firstLineChars="200"/>
        <w:rPr>
          <w:rFonts w:ascii="Times New Roman" w:hAnsi="Times New Roman"/>
          <w:b/>
          <w:sz w:val="28"/>
          <w:szCs w:val="28"/>
        </w:rPr>
      </w:pPr>
      <w:r>
        <w:rPr>
          <w:rFonts w:hint="eastAsia" w:ascii="Times New Roman" w:hAnsi="宋体"/>
          <w:b/>
          <w:sz w:val="28"/>
          <w:szCs w:val="28"/>
        </w:rPr>
        <w:t>五、工程建设对环境的影响</w:t>
      </w:r>
    </w:p>
    <w:p>
      <w:pPr>
        <w:spacing w:line="460" w:lineRule="exact"/>
        <w:ind w:firstLine="480" w:firstLineChars="200"/>
        <w:textAlignment w:val="baseline"/>
        <w:rPr>
          <w:rFonts w:ascii="宋体"/>
          <w:sz w:val="24"/>
          <w:szCs w:val="24"/>
        </w:rPr>
      </w:pPr>
      <w:r>
        <w:rPr>
          <w:rFonts w:hint="eastAsia" w:ascii="Times New Roman" w:hAnsi="Times New Roman"/>
          <w:bCs/>
          <w:sz w:val="24"/>
        </w:rPr>
        <w:t>项目废气、厂界噪声均达标，</w:t>
      </w:r>
      <w:r>
        <w:rPr>
          <w:rFonts w:hint="eastAsia" w:ascii="宋体" w:hAnsi="宋体"/>
          <w:sz w:val="24"/>
          <w:szCs w:val="24"/>
        </w:rPr>
        <w:t>固体废物全部得到合理处置。</w:t>
      </w:r>
    </w:p>
    <w:p>
      <w:pPr>
        <w:adjustRightInd w:val="0"/>
        <w:snapToGrid w:val="0"/>
        <w:spacing w:line="460" w:lineRule="exact"/>
        <w:ind w:firstLine="562" w:firstLineChars="200"/>
        <w:rPr>
          <w:rFonts w:ascii="Times New Roman" w:hAnsi="Times New Roman"/>
          <w:b/>
          <w:sz w:val="28"/>
          <w:szCs w:val="28"/>
        </w:rPr>
      </w:pPr>
      <w:r>
        <w:rPr>
          <w:rFonts w:hint="eastAsia" w:ascii="Times New Roman" w:hAnsi="宋体"/>
          <w:b/>
          <w:sz w:val="28"/>
          <w:szCs w:val="28"/>
        </w:rPr>
        <w:t>六、验收结论</w:t>
      </w:r>
    </w:p>
    <w:p>
      <w:pPr>
        <w:adjustRightInd w:val="0"/>
        <w:snapToGrid w:val="0"/>
        <w:spacing w:line="460" w:lineRule="exact"/>
        <w:ind w:firstLine="480" w:firstLineChars="200"/>
        <w:rPr>
          <w:rFonts w:ascii="Times New Roman" w:hAnsi="宋体"/>
          <w:sz w:val="24"/>
          <w:szCs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Times New Roman" w:hAnsi="宋体"/>
          <w:sz w:val="24"/>
          <w:szCs w:val="24"/>
        </w:rPr>
        <w:t>项目执行了环保“三同时”制度，落实了污染防治措施，根据现场检查、验收检测及项目竣工环境保护验收报告结果，项目基本符合环评及审批意见的要求，项目可以通过竣工环境保护验收。</w:t>
      </w:r>
    </w:p>
    <w:p>
      <w:pPr>
        <w:adjustRightInd w:val="0"/>
        <w:snapToGrid w:val="0"/>
        <w:spacing w:line="460" w:lineRule="exact"/>
        <w:jc w:val="center"/>
        <w:rPr>
          <w:rFonts w:ascii="Times New Roman" w:hAnsi="Times New Roman"/>
          <w:b/>
          <w:bCs/>
          <w:sz w:val="30"/>
          <w:szCs w:val="30"/>
        </w:rPr>
      </w:pPr>
      <w:r>
        <w:rPr>
          <w:rFonts w:hint="eastAsia" w:ascii="Times New Roman" w:hAnsi="Times New Roman"/>
          <w:b/>
          <w:bCs/>
          <w:sz w:val="30"/>
          <w:szCs w:val="30"/>
          <w:lang w:eastAsia="zh-CN"/>
        </w:rPr>
        <w:t>沧州久耐特耐磨管件制造有限公司管件系列产品项目（阶段验收）</w:t>
      </w:r>
    </w:p>
    <w:p>
      <w:pPr>
        <w:adjustRightInd w:val="0"/>
        <w:snapToGrid w:val="0"/>
        <w:spacing w:line="460" w:lineRule="exact"/>
        <w:jc w:val="center"/>
        <w:rPr>
          <w:rFonts w:ascii="Times New Roman" w:hAnsi="Times New Roman"/>
          <w:b/>
          <w:bCs/>
          <w:sz w:val="30"/>
          <w:szCs w:val="30"/>
        </w:rPr>
      </w:pPr>
      <w:r>
        <w:rPr>
          <w:rFonts w:hint="eastAsia" w:ascii="Times New Roman" w:hAnsi="Times New Roman"/>
          <w:b/>
          <w:bCs/>
          <w:sz w:val="30"/>
          <w:szCs w:val="30"/>
        </w:rPr>
        <w:t>竣工环境保护验收组名单</w:t>
      </w:r>
    </w:p>
    <w:tbl>
      <w:tblPr>
        <w:tblStyle w:val="12"/>
        <w:tblW w:w="143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0"/>
        <w:gridCol w:w="1418"/>
        <w:gridCol w:w="5156"/>
        <w:gridCol w:w="1594"/>
        <w:gridCol w:w="1936"/>
        <w:gridCol w:w="1450"/>
        <w:gridCol w:w="1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36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验收组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宋体"/>
                <w:sz w:val="28"/>
                <w:szCs w:val="28"/>
              </w:rPr>
              <w:t>名</w:t>
            </w:r>
          </w:p>
        </w:tc>
        <w:tc>
          <w:tcPr>
            <w:tcW w:w="515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工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sz w:val="28"/>
                <w:szCs w:val="28"/>
              </w:rPr>
              <w:t>作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sz w:val="28"/>
                <w:szCs w:val="28"/>
              </w:rPr>
              <w:t>单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sz w:val="28"/>
                <w:szCs w:val="28"/>
              </w:rPr>
              <w:t>位</w:t>
            </w:r>
          </w:p>
        </w:tc>
        <w:tc>
          <w:tcPr>
            <w:tcW w:w="1594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职务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hint="eastAsia" w:ascii="宋体" w:hAnsi="宋体" w:cs="宋体"/>
                <w:sz w:val="28"/>
                <w:szCs w:val="28"/>
              </w:rPr>
              <w:t>职称</w:t>
            </w:r>
          </w:p>
        </w:tc>
        <w:tc>
          <w:tcPr>
            <w:tcW w:w="193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电话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宋体"/>
                <w:sz w:val="28"/>
                <w:szCs w:val="28"/>
              </w:rPr>
              <w:t>字</w:t>
            </w: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36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组长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eastAsia="zh-CN"/>
              </w:rPr>
              <w:t>高玉峰</w:t>
            </w:r>
          </w:p>
        </w:tc>
        <w:tc>
          <w:tcPr>
            <w:tcW w:w="515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沧州久耐特耐磨管件制造有限公司</w:t>
            </w:r>
          </w:p>
        </w:tc>
        <w:tc>
          <w:tcPr>
            <w:tcW w:w="1594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总经理</w:t>
            </w:r>
          </w:p>
        </w:tc>
        <w:tc>
          <w:tcPr>
            <w:tcW w:w="193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18931717088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建设单位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36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成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宋体"/>
                <w:sz w:val="28"/>
                <w:szCs w:val="28"/>
              </w:rPr>
              <w:t>员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李晓粤</w:t>
            </w:r>
          </w:p>
        </w:tc>
        <w:tc>
          <w:tcPr>
            <w:tcW w:w="515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河北水利电力学院</w:t>
            </w:r>
          </w:p>
        </w:tc>
        <w:tc>
          <w:tcPr>
            <w:tcW w:w="1594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eastAsia="zh-CN"/>
              </w:rPr>
              <w:t>教授</w:t>
            </w:r>
          </w:p>
        </w:tc>
        <w:tc>
          <w:tcPr>
            <w:tcW w:w="193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13315745711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2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专家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36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踅军</w:t>
            </w:r>
          </w:p>
        </w:tc>
        <w:tc>
          <w:tcPr>
            <w:tcW w:w="515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沧州市碧蓝环保科技有限公司</w:t>
            </w:r>
          </w:p>
        </w:tc>
        <w:tc>
          <w:tcPr>
            <w:tcW w:w="159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正</w:t>
            </w:r>
            <w:r>
              <w:rPr>
                <w:rFonts w:hint="eastAsia" w:ascii="宋体" w:hAnsi="宋体" w:cs="宋体"/>
                <w:sz w:val="28"/>
                <w:szCs w:val="28"/>
              </w:rPr>
              <w:t>高工</w:t>
            </w:r>
          </w:p>
        </w:tc>
        <w:tc>
          <w:tcPr>
            <w:tcW w:w="193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17731786960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36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5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4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36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杨丽杰</w:t>
            </w:r>
          </w:p>
        </w:tc>
        <w:tc>
          <w:tcPr>
            <w:tcW w:w="5156" w:type="dxa"/>
            <w:vAlign w:val="center"/>
          </w:tcPr>
          <w:p>
            <w:pPr>
              <w:jc w:val="center"/>
              <w:rPr>
                <w:rFonts w:hint="eastAsia" w:ascii="宋体" w:eastAsia="宋体" w:cs="宋体"/>
                <w:color w:val="FF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河北海蓝环境检测服务有限公司</w:t>
            </w:r>
          </w:p>
        </w:tc>
        <w:tc>
          <w:tcPr>
            <w:tcW w:w="1594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经理</w:t>
            </w:r>
          </w:p>
        </w:tc>
        <w:tc>
          <w:tcPr>
            <w:tcW w:w="193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13722753560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检测单位</w:t>
            </w:r>
          </w:p>
        </w:tc>
      </w:tr>
    </w:tbl>
    <w:p>
      <w:pPr>
        <w:jc w:val="center"/>
        <w:rPr>
          <w:sz w:val="28"/>
          <w:szCs w:val="28"/>
        </w:rPr>
      </w:pPr>
    </w:p>
    <w:p>
      <w:pPr>
        <w:adjustRightInd w:val="0"/>
        <w:snapToGrid w:val="0"/>
        <w:spacing w:line="360" w:lineRule="auto"/>
        <w:ind w:firstLine="560" w:firstLineChars="200"/>
        <w:jc w:val="center"/>
        <w:rPr>
          <w:rFonts w:ascii="Times New Roman" w:hAnsi="Times New Roman"/>
          <w:sz w:val="28"/>
          <w:szCs w:val="28"/>
        </w:rPr>
      </w:pPr>
      <w:bookmarkStart w:id="2" w:name="_GoBack"/>
      <w:bookmarkEnd w:id="2"/>
    </w:p>
    <w:sectPr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rPr>
        <w:b/>
        <w:bCs/>
        <w:sz w:val="24"/>
        <w:szCs w:val="24"/>
      </w:rPr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  <w:r>
      <w:rPr>
        <w:rFonts w:hint="eastAsia"/>
        <w:b/>
        <w:bCs/>
        <w:sz w:val="24"/>
        <w:szCs w:val="24"/>
      </w:rPr>
      <w:t>专家组：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rPr>
        <w:rFonts w:hint="eastAsia"/>
      </w:rPr>
      <w:t>专家组：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983F5E"/>
    <w:multiLevelType w:val="singleLevel"/>
    <w:tmpl w:val="5F983F5E"/>
    <w:lvl w:ilvl="0" w:tentative="0">
      <w:start w:val="1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5B07"/>
    <w:rsid w:val="00065166"/>
    <w:rsid w:val="00067AD2"/>
    <w:rsid w:val="0007309C"/>
    <w:rsid w:val="00074259"/>
    <w:rsid w:val="000767D6"/>
    <w:rsid w:val="00080736"/>
    <w:rsid w:val="000864B3"/>
    <w:rsid w:val="00090B43"/>
    <w:rsid w:val="00091D41"/>
    <w:rsid w:val="000A64D0"/>
    <w:rsid w:val="000B3300"/>
    <w:rsid w:val="000B7876"/>
    <w:rsid w:val="000D57D4"/>
    <w:rsid w:val="000D6D56"/>
    <w:rsid w:val="000E371A"/>
    <w:rsid w:val="0011055A"/>
    <w:rsid w:val="001121F2"/>
    <w:rsid w:val="001441DB"/>
    <w:rsid w:val="00150C4F"/>
    <w:rsid w:val="00174143"/>
    <w:rsid w:val="0018756C"/>
    <w:rsid w:val="001A2D0C"/>
    <w:rsid w:val="001B3349"/>
    <w:rsid w:val="001E12FD"/>
    <w:rsid w:val="001E4310"/>
    <w:rsid w:val="001F3151"/>
    <w:rsid w:val="00204624"/>
    <w:rsid w:val="00222837"/>
    <w:rsid w:val="00261202"/>
    <w:rsid w:val="00295B07"/>
    <w:rsid w:val="002A42C6"/>
    <w:rsid w:val="0031555D"/>
    <w:rsid w:val="00352B38"/>
    <w:rsid w:val="00392261"/>
    <w:rsid w:val="003938E8"/>
    <w:rsid w:val="003A10EF"/>
    <w:rsid w:val="003A54B3"/>
    <w:rsid w:val="003A5B2F"/>
    <w:rsid w:val="003B1749"/>
    <w:rsid w:val="003F4EA4"/>
    <w:rsid w:val="00422A2B"/>
    <w:rsid w:val="004276A4"/>
    <w:rsid w:val="00433B70"/>
    <w:rsid w:val="004418B4"/>
    <w:rsid w:val="00453A2D"/>
    <w:rsid w:val="00455739"/>
    <w:rsid w:val="004837DB"/>
    <w:rsid w:val="004964B8"/>
    <w:rsid w:val="004A1044"/>
    <w:rsid w:val="004B6DE1"/>
    <w:rsid w:val="00502ACA"/>
    <w:rsid w:val="00524277"/>
    <w:rsid w:val="00544B73"/>
    <w:rsid w:val="00574B20"/>
    <w:rsid w:val="00577AE5"/>
    <w:rsid w:val="005A0124"/>
    <w:rsid w:val="005A2E9E"/>
    <w:rsid w:val="005A5715"/>
    <w:rsid w:val="005C1D9F"/>
    <w:rsid w:val="005E1106"/>
    <w:rsid w:val="005E3605"/>
    <w:rsid w:val="00616643"/>
    <w:rsid w:val="006217D8"/>
    <w:rsid w:val="00653273"/>
    <w:rsid w:val="0069145D"/>
    <w:rsid w:val="006A2855"/>
    <w:rsid w:val="006C0917"/>
    <w:rsid w:val="007348C5"/>
    <w:rsid w:val="007730DA"/>
    <w:rsid w:val="00774F9F"/>
    <w:rsid w:val="007752B4"/>
    <w:rsid w:val="00784E7A"/>
    <w:rsid w:val="007C309F"/>
    <w:rsid w:val="007C5231"/>
    <w:rsid w:val="007D0B67"/>
    <w:rsid w:val="007E0915"/>
    <w:rsid w:val="007E2924"/>
    <w:rsid w:val="007F0035"/>
    <w:rsid w:val="008058AE"/>
    <w:rsid w:val="00846B8E"/>
    <w:rsid w:val="00870B64"/>
    <w:rsid w:val="00876640"/>
    <w:rsid w:val="00897E7F"/>
    <w:rsid w:val="008B1C17"/>
    <w:rsid w:val="008B30D8"/>
    <w:rsid w:val="008C062B"/>
    <w:rsid w:val="008C1ED4"/>
    <w:rsid w:val="008C4959"/>
    <w:rsid w:val="008E592E"/>
    <w:rsid w:val="008E7424"/>
    <w:rsid w:val="009021F0"/>
    <w:rsid w:val="00935E17"/>
    <w:rsid w:val="0094073F"/>
    <w:rsid w:val="00940D24"/>
    <w:rsid w:val="00970983"/>
    <w:rsid w:val="009B4C44"/>
    <w:rsid w:val="009C0278"/>
    <w:rsid w:val="009C50C1"/>
    <w:rsid w:val="009D2972"/>
    <w:rsid w:val="009D4E0D"/>
    <w:rsid w:val="009F6467"/>
    <w:rsid w:val="00A14D9B"/>
    <w:rsid w:val="00A36FC6"/>
    <w:rsid w:val="00A54194"/>
    <w:rsid w:val="00A6370B"/>
    <w:rsid w:val="00AC025B"/>
    <w:rsid w:val="00AC1021"/>
    <w:rsid w:val="00AE49CA"/>
    <w:rsid w:val="00B01231"/>
    <w:rsid w:val="00B15030"/>
    <w:rsid w:val="00B21C67"/>
    <w:rsid w:val="00B271F9"/>
    <w:rsid w:val="00B5133B"/>
    <w:rsid w:val="00B74574"/>
    <w:rsid w:val="00B85659"/>
    <w:rsid w:val="00B9354A"/>
    <w:rsid w:val="00BF0A68"/>
    <w:rsid w:val="00C31097"/>
    <w:rsid w:val="00C360C1"/>
    <w:rsid w:val="00C641A3"/>
    <w:rsid w:val="00C8726A"/>
    <w:rsid w:val="00C91754"/>
    <w:rsid w:val="00C92E4F"/>
    <w:rsid w:val="00C95DDB"/>
    <w:rsid w:val="00CB5BC8"/>
    <w:rsid w:val="00CF155F"/>
    <w:rsid w:val="00D27B00"/>
    <w:rsid w:val="00D4758F"/>
    <w:rsid w:val="00D526FA"/>
    <w:rsid w:val="00D63D04"/>
    <w:rsid w:val="00D6614C"/>
    <w:rsid w:val="00D8588E"/>
    <w:rsid w:val="00DC431D"/>
    <w:rsid w:val="00DE0EFE"/>
    <w:rsid w:val="00DE4CFD"/>
    <w:rsid w:val="00DF77B8"/>
    <w:rsid w:val="00E1126E"/>
    <w:rsid w:val="00E1514C"/>
    <w:rsid w:val="00E27B28"/>
    <w:rsid w:val="00E52A95"/>
    <w:rsid w:val="00E56F6F"/>
    <w:rsid w:val="00E61C52"/>
    <w:rsid w:val="00E7568E"/>
    <w:rsid w:val="00E926D1"/>
    <w:rsid w:val="00EA1A93"/>
    <w:rsid w:val="00EA4653"/>
    <w:rsid w:val="00EA4F5E"/>
    <w:rsid w:val="00EA7FB2"/>
    <w:rsid w:val="00EB0704"/>
    <w:rsid w:val="00EC15B6"/>
    <w:rsid w:val="00ED70C9"/>
    <w:rsid w:val="00EE4B8E"/>
    <w:rsid w:val="00F13F21"/>
    <w:rsid w:val="00F31B12"/>
    <w:rsid w:val="00F41C21"/>
    <w:rsid w:val="00F653A6"/>
    <w:rsid w:val="00F6698C"/>
    <w:rsid w:val="00F8399C"/>
    <w:rsid w:val="00F93B77"/>
    <w:rsid w:val="00FC0882"/>
    <w:rsid w:val="00FC3857"/>
    <w:rsid w:val="00FE20AF"/>
    <w:rsid w:val="00FF01AA"/>
    <w:rsid w:val="00FF5CC8"/>
    <w:rsid w:val="020A696B"/>
    <w:rsid w:val="08BF029B"/>
    <w:rsid w:val="08E91CB0"/>
    <w:rsid w:val="093715F1"/>
    <w:rsid w:val="09AB5E8D"/>
    <w:rsid w:val="11BA5424"/>
    <w:rsid w:val="11BB7921"/>
    <w:rsid w:val="129C1486"/>
    <w:rsid w:val="1364044C"/>
    <w:rsid w:val="182670F8"/>
    <w:rsid w:val="1B99703B"/>
    <w:rsid w:val="1BA97425"/>
    <w:rsid w:val="1E462395"/>
    <w:rsid w:val="1F5172E8"/>
    <w:rsid w:val="1FD81B46"/>
    <w:rsid w:val="20DC76D5"/>
    <w:rsid w:val="21045E87"/>
    <w:rsid w:val="26297BC4"/>
    <w:rsid w:val="2632382C"/>
    <w:rsid w:val="28022755"/>
    <w:rsid w:val="29200798"/>
    <w:rsid w:val="2C7D7E04"/>
    <w:rsid w:val="2E025538"/>
    <w:rsid w:val="2E9D32E3"/>
    <w:rsid w:val="2F01311C"/>
    <w:rsid w:val="2F62595D"/>
    <w:rsid w:val="3CE6072C"/>
    <w:rsid w:val="3E1A3DA9"/>
    <w:rsid w:val="3E527256"/>
    <w:rsid w:val="3F07527B"/>
    <w:rsid w:val="401E04EA"/>
    <w:rsid w:val="4188200E"/>
    <w:rsid w:val="487025F9"/>
    <w:rsid w:val="4A031BD1"/>
    <w:rsid w:val="4A5176BA"/>
    <w:rsid w:val="4BE45CC8"/>
    <w:rsid w:val="4CBE7609"/>
    <w:rsid w:val="4D0062F5"/>
    <w:rsid w:val="54CE3676"/>
    <w:rsid w:val="57FE5519"/>
    <w:rsid w:val="5E1E4D47"/>
    <w:rsid w:val="60E361CB"/>
    <w:rsid w:val="611F58C6"/>
    <w:rsid w:val="613E7A48"/>
    <w:rsid w:val="641F04E5"/>
    <w:rsid w:val="697C521A"/>
    <w:rsid w:val="69896E76"/>
    <w:rsid w:val="6AC8379B"/>
    <w:rsid w:val="6AD12ED5"/>
    <w:rsid w:val="6B3456B6"/>
    <w:rsid w:val="6DD16CCC"/>
    <w:rsid w:val="6E321BC8"/>
    <w:rsid w:val="76B62636"/>
    <w:rsid w:val="773C655C"/>
    <w:rsid w:val="7C78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qFormat="1" w:unhideWhenUsed="0" w:uiPriority="99" w:semiHidden="0" w:name="Normal Indent"/>
    <w:lsdException w:uiPriority="99" w:name="footnote text"/>
    <w:lsdException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qFormat="1" w:unhideWhenUsed="0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??" w:hAnsi="??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6"/>
    <w:qFormat/>
    <w:uiPriority w:val="99"/>
    <w:pPr>
      <w:spacing w:line="480" w:lineRule="atLeast"/>
      <w:outlineLvl w:val="2"/>
    </w:pPr>
    <w:rPr>
      <w:rFonts w:ascii="宋体" w:hAnsi="宋体"/>
      <w:sz w:val="24"/>
      <w:szCs w:val="24"/>
    </w:rPr>
  </w:style>
  <w:style w:type="character" w:default="1" w:styleId="14">
    <w:name w:val="Default Paragraph Font"/>
    <w:semiHidden/>
    <w:qFormat/>
    <w:uiPriority w:val="99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99"/>
    <w:pPr>
      <w:ind w:firstLine="420" w:firstLineChars="200"/>
    </w:pPr>
    <w:rPr>
      <w:szCs w:val="24"/>
    </w:rPr>
  </w:style>
  <w:style w:type="paragraph" w:styleId="4">
    <w:name w:val="Document Map"/>
    <w:basedOn w:val="1"/>
    <w:link w:val="17"/>
    <w:semiHidden/>
    <w:uiPriority w:val="99"/>
    <w:rPr>
      <w:rFonts w:ascii="宋体"/>
      <w:sz w:val="18"/>
      <w:szCs w:val="18"/>
    </w:rPr>
  </w:style>
  <w:style w:type="paragraph" w:styleId="5">
    <w:name w:val="annotation text"/>
    <w:basedOn w:val="1"/>
    <w:link w:val="18"/>
    <w:uiPriority w:val="99"/>
    <w:pPr>
      <w:jc w:val="left"/>
    </w:pPr>
  </w:style>
  <w:style w:type="paragraph" w:styleId="6">
    <w:name w:val="Body Text 3"/>
    <w:basedOn w:val="1"/>
    <w:link w:val="19"/>
    <w:qFormat/>
    <w:uiPriority w:val="99"/>
    <w:pPr>
      <w:spacing w:after="120"/>
    </w:pPr>
    <w:rPr>
      <w:sz w:val="16"/>
      <w:szCs w:val="16"/>
    </w:rPr>
  </w:style>
  <w:style w:type="paragraph" w:styleId="7">
    <w:name w:val="Body Text"/>
    <w:basedOn w:val="1"/>
    <w:link w:val="20"/>
    <w:semiHidden/>
    <w:qFormat/>
    <w:uiPriority w:val="99"/>
    <w:pPr>
      <w:spacing w:after="120"/>
    </w:pPr>
  </w:style>
  <w:style w:type="paragraph" w:styleId="8">
    <w:name w:val="Balloon Text"/>
    <w:basedOn w:val="1"/>
    <w:link w:val="21"/>
    <w:qFormat/>
    <w:uiPriority w:val="99"/>
    <w:rPr>
      <w:sz w:val="18"/>
      <w:szCs w:val="18"/>
    </w:rPr>
  </w:style>
  <w:style w:type="paragraph" w:styleId="9">
    <w:name w:val="footer"/>
    <w:basedOn w:val="1"/>
    <w:link w:val="2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annotation subject"/>
    <w:basedOn w:val="5"/>
    <w:next w:val="5"/>
    <w:link w:val="24"/>
    <w:qFormat/>
    <w:uiPriority w:val="99"/>
    <w:rPr>
      <w:b/>
      <w:bCs/>
    </w:rPr>
  </w:style>
  <w:style w:type="table" w:styleId="13">
    <w:name w:val="Table Grid"/>
    <w:basedOn w:val="12"/>
    <w:qFormat/>
    <w:uiPriority w:val="9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annotation reference"/>
    <w:basedOn w:val="14"/>
    <w:qFormat/>
    <w:uiPriority w:val="99"/>
    <w:rPr>
      <w:rFonts w:cs="Times New Roman"/>
      <w:sz w:val="21"/>
      <w:szCs w:val="21"/>
    </w:rPr>
  </w:style>
  <w:style w:type="character" w:customStyle="1" w:styleId="16">
    <w:name w:val="Heading 3 Char"/>
    <w:basedOn w:val="14"/>
    <w:link w:val="3"/>
    <w:locked/>
    <w:uiPriority w:val="99"/>
    <w:rPr>
      <w:rFonts w:ascii="宋体" w:hAnsi="宋体" w:eastAsia="宋体" w:cs="Times New Roman"/>
      <w:sz w:val="24"/>
      <w:szCs w:val="24"/>
    </w:rPr>
  </w:style>
  <w:style w:type="character" w:customStyle="1" w:styleId="17">
    <w:name w:val="Document Map Char"/>
    <w:basedOn w:val="14"/>
    <w:link w:val="4"/>
    <w:semiHidden/>
    <w:qFormat/>
    <w:locked/>
    <w:uiPriority w:val="99"/>
    <w:rPr>
      <w:rFonts w:ascii="宋体" w:hAnsi="??" w:cs="Times New Roman"/>
      <w:kern w:val="2"/>
      <w:sz w:val="18"/>
      <w:szCs w:val="18"/>
    </w:rPr>
  </w:style>
  <w:style w:type="character" w:customStyle="1" w:styleId="18">
    <w:name w:val="Comment Text Char"/>
    <w:basedOn w:val="14"/>
    <w:link w:val="5"/>
    <w:semiHidden/>
    <w:qFormat/>
    <w:locked/>
    <w:uiPriority w:val="99"/>
    <w:rPr>
      <w:rFonts w:cs="Times New Roman"/>
    </w:rPr>
  </w:style>
  <w:style w:type="character" w:customStyle="1" w:styleId="19">
    <w:name w:val="Body Text 3 Char"/>
    <w:basedOn w:val="14"/>
    <w:link w:val="6"/>
    <w:qFormat/>
    <w:locked/>
    <w:uiPriority w:val="99"/>
    <w:rPr>
      <w:rFonts w:ascii="??" w:hAnsi="??" w:cs="Times New Roman"/>
      <w:kern w:val="2"/>
      <w:sz w:val="16"/>
      <w:szCs w:val="16"/>
      <w:lang w:val="en-US" w:eastAsia="zh-CN" w:bidi="ar-SA"/>
    </w:rPr>
  </w:style>
  <w:style w:type="character" w:customStyle="1" w:styleId="20">
    <w:name w:val="Body Text Char"/>
    <w:basedOn w:val="14"/>
    <w:link w:val="7"/>
    <w:semiHidden/>
    <w:qFormat/>
    <w:locked/>
    <w:uiPriority w:val="99"/>
    <w:rPr>
      <w:rFonts w:ascii="??" w:hAnsi="??" w:cs="Times New Roman"/>
      <w:kern w:val="2"/>
      <w:sz w:val="22"/>
      <w:szCs w:val="22"/>
    </w:rPr>
  </w:style>
  <w:style w:type="character" w:customStyle="1" w:styleId="21">
    <w:name w:val="Balloon Text Char"/>
    <w:basedOn w:val="14"/>
    <w:link w:val="8"/>
    <w:semiHidden/>
    <w:qFormat/>
    <w:locked/>
    <w:uiPriority w:val="99"/>
    <w:rPr>
      <w:rFonts w:cs="Times New Roman"/>
      <w:sz w:val="18"/>
      <w:szCs w:val="18"/>
    </w:rPr>
  </w:style>
  <w:style w:type="character" w:customStyle="1" w:styleId="22">
    <w:name w:val="Footer Char"/>
    <w:basedOn w:val="14"/>
    <w:link w:val="9"/>
    <w:qFormat/>
    <w:locked/>
    <w:uiPriority w:val="99"/>
    <w:rPr>
      <w:rFonts w:cs="Times New Roman"/>
      <w:sz w:val="18"/>
      <w:szCs w:val="18"/>
    </w:rPr>
  </w:style>
  <w:style w:type="character" w:customStyle="1" w:styleId="23">
    <w:name w:val="Header Char"/>
    <w:basedOn w:val="14"/>
    <w:link w:val="10"/>
    <w:qFormat/>
    <w:locked/>
    <w:uiPriority w:val="99"/>
    <w:rPr>
      <w:rFonts w:cs="Times New Roman"/>
      <w:sz w:val="18"/>
      <w:szCs w:val="18"/>
    </w:rPr>
  </w:style>
  <w:style w:type="character" w:customStyle="1" w:styleId="24">
    <w:name w:val="Comment Subject Char"/>
    <w:basedOn w:val="18"/>
    <w:link w:val="11"/>
    <w:semiHidden/>
    <w:qFormat/>
    <w:locked/>
    <w:uiPriority w:val="99"/>
    <w:rPr>
      <w:b/>
      <w:bCs/>
    </w:rPr>
  </w:style>
  <w:style w:type="character" w:customStyle="1" w:styleId="25">
    <w:name w:val="正文2 Char Char"/>
    <w:basedOn w:val="14"/>
    <w:link w:val="26"/>
    <w:qFormat/>
    <w:locked/>
    <w:uiPriority w:val="99"/>
    <w:rPr>
      <w:rFonts w:ascii="??" w:hAnsi="??" w:eastAsia="宋体" w:cs="Times New Roman"/>
      <w:spacing w:val="18"/>
      <w:kern w:val="2"/>
      <w:sz w:val="22"/>
      <w:szCs w:val="22"/>
      <w:lang w:val="en-US" w:eastAsia="zh-CN" w:bidi="ar-SA"/>
    </w:rPr>
  </w:style>
  <w:style w:type="paragraph" w:customStyle="1" w:styleId="26">
    <w:name w:val="正文2"/>
    <w:link w:val="25"/>
    <w:qFormat/>
    <w:uiPriority w:val="99"/>
    <w:pPr>
      <w:widowControl w:val="0"/>
      <w:suppressAutoHyphens/>
      <w:spacing w:line="520" w:lineRule="atLeast"/>
      <w:ind w:firstLine="680"/>
      <w:jc w:val="both"/>
    </w:pPr>
    <w:rPr>
      <w:rFonts w:ascii="??" w:hAnsi="??" w:eastAsia="宋体" w:cs="Times New Roman"/>
      <w:spacing w:val="18"/>
      <w:kern w:val="2"/>
      <w:sz w:val="32"/>
      <w:szCs w:val="22"/>
      <w:lang w:val="en-US" w:eastAsia="zh-CN" w:bidi="ar-SA"/>
    </w:rPr>
  </w:style>
  <w:style w:type="paragraph" w:customStyle="1" w:styleId="27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kern w:val="0"/>
      <w:sz w:val="24"/>
      <w:szCs w:val="24"/>
      <w:lang w:val="en-US" w:eastAsia="zh-CN" w:bidi="ar-SA"/>
    </w:rPr>
  </w:style>
  <w:style w:type="paragraph" w:styleId="28">
    <w:name w:val="List Paragraph"/>
    <w:basedOn w:val="1"/>
    <w:qFormat/>
    <w:uiPriority w:val="99"/>
    <w:pPr>
      <w:ind w:firstLine="420" w:firstLineChars="200"/>
    </w:pPr>
  </w:style>
  <w:style w:type="paragraph" w:customStyle="1" w:styleId="29">
    <w:name w:val="普通(网站)1"/>
    <w:basedOn w:val="1"/>
    <w:link w:val="31"/>
    <w:qFormat/>
    <w:uiPriority w:val="99"/>
    <w:pPr>
      <w:widowControl/>
      <w:spacing w:line="480" w:lineRule="exact"/>
      <w:ind w:firstLine="482" w:firstLineChars="200"/>
      <w:outlineLvl w:val="0"/>
    </w:pPr>
    <w:rPr>
      <w:rFonts w:ascii="宋体" w:hAnsi="宋体"/>
      <w:b/>
      <w:kern w:val="0"/>
      <w:sz w:val="24"/>
      <w:szCs w:val="20"/>
    </w:rPr>
  </w:style>
  <w:style w:type="paragraph" w:customStyle="1" w:styleId="30">
    <w:name w:val="A-z正文"/>
    <w:basedOn w:val="1"/>
    <w:qFormat/>
    <w:uiPriority w:val="99"/>
    <w:pPr>
      <w:spacing w:line="360" w:lineRule="auto"/>
      <w:ind w:firstLine="200" w:firstLineChars="200"/>
    </w:pPr>
    <w:rPr>
      <w:rFonts w:ascii="Times New Roman" w:hAnsi="Times New Roman"/>
      <w:kern w:val="0"/>
      <w:sz w:val="24"/>
      <w:szCs w:val="20"/>
    </w:rPr>
  </w:style>
  <w:style w:type="character" w:customStyle="1" w:styleId="31">
    <w:name w:val="普通(网站)1 Char"/>
    <w:link w:val="29"/>
    <w:qFormat/>
    <w:locked/>
    <w:uiPriority w:val="99"/>
    <w:rPr>
      <w:rFonts w:ascii="宋体" w:hAnsi="宋体" w:eastAsia="宋体"/>
      <w:b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3</Pages>
  <Words>270</Words>
  <Characters>1544</Characters>
  <Lines>0</Lines>
  <Paragraphs>0</Paragraphs>
  <TotalTime>8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2017-12-16T03:37:00Z</dcterms:created>
  <dc:creator>雷国伟</dc:creator>
  <cp:lastModifiedBy>只爱你</cp:lastModifiedBy>
  <cp:lastPrinted>2018-10-09T09:54:00Z</cp:lastPrinted>
  <dcterms:modified xsi:type="dcterms:W3CDTF">2019-11-02T01:28:30Z</dcterms:modified>
  <cp:revision>111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