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Times New Roman" w:hAnsi="Times New Roman" w:eastAsia="黑体" w:cs="Times New Roman"/>
          <w:sz w:val="36"/>
          <w:szCs w:val="36"/>
        </w:rPr>
      </w:pPr>
      <w:r>
        <w:rPr>
          <w:rFonts w:hint="eastAsia" w:ascii="Times New Roman" w:hAnsi="Times New Roman" w:eastAsia="黑体" w:cs="Times New Roman"/>
          <w:sz w:val="36"/>
          <w:szCs w:val="36"/>
        </w:rPr>
        <w:t xml:space="preserve">               </w:t>
      </w:r>
    </w:p>
    <w:p>
      <w:pPr>
        <w:jc w:val="center"/>
        <w:rPr>
          <w:rFonts w:ascii="Times New Roman" w:hAnsi="Times New Roman" w:eastAsia="黑体" w:cs="Times New Roman"/>
          <w:sz w:val="36"/>
          <w:szCs w:val="36"/>
        </w:rPr>
      </w:pPr>
      <w:bookmarkStart w:id="0" w:name="_Hlk496949272"/>
      <w:bookmarkEnd w:id="0"/>
    </w:p>
    <w:p>
      <w:pPr>
        <w:jc w:val="center"/>
        <w:rPr>
          <w:rFonts w:ascii="Times New Roman" w:hAnsi="Times New Roman" w:eastAsia="黑体" w:cs="Times New Roman"/>
          <w:sz w:val="36"/>
          <w:szCs w:val="36"/>
        </w:rPr>
      </w:pPr>
    </w:p>
    <w:p>
      <w:pPr>
        <w:spacing w:line="800" w:lineRule="exact"/>
        <w:jc w:val="center"/>
        <w:rPr>
          <w:rFonts w:hint="eastAsia" w:ascii="宋体" w:hAnsi="宋体" w:eastAsia="宋体" w:cs="Times New Roman"/>
          <w:b/>
          <w:bCs/>
          <w:sz w:val="44"/>
          <w:szCs w:val="44"/>
          <w:lang w:eastAsia="zh-CN"/>
        </w:rPr>
      </w:pPr>
      <w:bookmarkStart w:id="1" w:name="_Hlk496950128"/>
      <w:r>
        <w:rPr>
          <w:rFonts w:hint="eastAsia" w:ascii="宋体" w:hAnsi="宋体" w:eastAsia="宋体" w:cs="Times New Roman"/>
          <w:b/>
          <w:bCs/>
          <w:sz w:val="44"/>
          <w:szCs w:val="44"/>
          <w:lang w:eastAsia="zh-CN"/>
        </w:rPr>
        <w:t>沧县东达五金制品加工厂</w:t>
      </w:r>
    </w:p>
    <w:p>
      <w:pPr>
        <w:spacing w:line="800" w:lineRule="exact"/>
        <w:jc w:val="center"/>
        <w:rPr>
          <w:rFonts w:ascii="宋体" w:hAnsi="宋体" w:eastAsia="宋体" w:cs="Times New Roman"/>
          <w:b/>
          <w:bCs/>
          <w:sz w:val="44"/>
          <w:szCs w:val="44"/>
        </w:rPr>
      </w:pPr>
      <w:r>
        <w:rPr>
          <w:rFonts w:hint="eastAsia" w:ascii="宋体" w:hAnsi="宋体" w:eastAsia="宋体" w:cs="Times New Roman"/>
          <w:b/>
          <w:bCs/>
          <w:sz w:val="44"/>
          <w:szCs w:val="44"/>
          <w:lang w:eastAsia="zh-CN"/>
        </w:rPr>
        <w:t>年产100吨刀片刺绳卡扣及各种配件项目</w:t>
      </w:r>
    </w:p>
    <w:p>
      <w:pPr>
        <w:spacing w:line="800" w:lineRule="exact"/>
        <w:jc w:val="center"/>
        <w:rPr>
          <w:rFonts w:ascii="宋体" w:hAnsi="宋体" w:eastAsia="宋体" w:cs="Times New Roman"/>
          <w:b/>
          <w:bCs/>
          <w:sz w:val="44"/>
          <w:szCs w:val="44"/>
        </w:rPr>
      </w:pPr>
      <w:r>
        <w:rPr>
          <w:rFonts w:ascii="宋体" w:hAnsi="宋体" w:eastAsia="宋体" w:cs="Times New Roman"/>
          <w:b/>
          <w:bCs/>
          <w:sz w:val="44"/>
          <w:szCs w:val="44"/>
        </w:rPr>
        <w:t>竣工环境保护验收报告</w:t>
      </w:r>
      <w:bookmarkEnd w:id="1"/>
    </w:p>
    <w:p>
      <w:pPr>
        <w:jc w:val="center"/>
        <w:rPr>
          <w:rFonts w:ascii="Times New Roman" w:hAnsi="Times New Roman" w:eastAsia="黑体" w:cs="Times New Roman"/>
          <w:sz w:val="36"/>
          <w:szCs w:val="36"/>
        </w:rPr>
      </w:pPr>
    </w:p>
    <w:p>
      <w:pPr>
        <w:spacing w:line="800" w:lineRule="exact"/>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ascii="Times New Roman" w:hAnsi="Times New Roman" w:eastAsia="黑体" w:cs="Times New Roman"/>
          <w:sz w:val="36"/>
          <w:szCs w:val="36"/>
        </w:rPr>
      </w:pPr>
    </w:p>
    <w:p>
      <w:pPr>
        <w:jc w:val="center"/>
        <w:rPr>
          <w:rFonts w:hint="eastAsia" w:ascii="宋体" w:hAnsi="宋体" w:eastAsia="宋体" w:cs="Times New Roman"/>
          <w:sz w:val="28"/>
          <w:szCs w:val="28"/>
          <w:lang w:eastAsia="zh-CN"/>
        </w:rPr>
      </w:pPr>
      <w:r>
        <w:rPr>
          <w:rFonts w:ascii="宋体" w:hAnsi="宋体" w:eastAsia="宋体" w:cs="Times New Roman"/>
          <w:sz w:val="28"/>
          <w:szCs w:val="28"/>
        </w:rPr>
        <w:t>建设单位：</w:t>
      </w:r>
      <w:r>
        <w:rPr>
          <w:rFonts w:hint="eastAsia" w:ascii="宋体" w:hAnsi="宋体" w:eastAsia="宋体" w:cs="Times New Roman"/>
          <w:sz w:val="28"/>
          <w:szCs w:val="28"/>
          <w:lang w:eastAsia="zh-CN"/>
        </w:rPr>
        <w:t>沧县东达五金制品加工厂</w:t>
      </w:r>
    </w:p>
    <w:p>
      <w:pPr>
        <w:jc w:val="center"/>
        <w:rPr>
          <w:rFonts w:hint="eastAsia" w:ascii="宋体" w:hAnsi="宋体" w:eastAsia="宋体" w:cs="Times New Roman"/>
          <w:sz w:val="28"/>
          <w:szCs w:val="28"/>
          <w:lang w:eastAsia="zh-CN"/>
        </w:rPr>
      </w:pPr>
      <w:r>
        <w:rPr>
          <w:rFonts w:hint="eastAsia" w:ascii="宋体" w:hAnsi="宋体" w:eastAsia="宋体" w:cs="Times New Roman"/>
          <w:sz w:val="28"/>
          <w:szCs w:val="28"/>
          <w:lang w:eastAsia="zh-CN"/>
        </w:rPr>
        <w:t>编制单位：沧县东达五金制品加工厂</w:t>
      </w:r>
    </w:p>
    <w:p>
      <w:pPr>
        <w:jc w:val="center"/>
        <w:rPr>
          <w:rFonts w:ascii="Times New Roman" w:hAnsi="Times New Roman" w:eastAsia="宋体" w:cs="Times New Roman"/>
          <w:sz w:val="28"/>
          <w:szCs w:val="28"/>
        </w:rPr>
        <w:sectPr>
          <w:headerReference r:id="rId3" w:type="default"/>
          <w:footerReference r:id="rId4"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ascii="Times New Roman" w:hAnsi="Times New Roman" w:eastAsia="宋体" w:cs="Times New Roman"/>
          <w:sz w:val="28"/>
          <w:szCs w:val="28"/>
        </w:rPr>
        <w:t>2019年</w:t>
      </w:r>
      <w:r>
        <w:rPr>
          <w:rFonts w:hint="eastAsia" w:ascii="Times New Roman" w:hAnsi="Times New Roman" w:eastAsia="宋体" w:cs="Times New Roman"/>
          <w:sz w:val="28"/>
          <w:szCs w:val="28"/>
          <w:lang w:val="en-US" w:eastAsia="zh-CN"/>
        </w:rPr>
        <w:t>11</w:t>
      </w:r>
      <w:r>
        <w:rPr>
          <w:rFonts w:hint="eastAsia" w:ascii="Times New Roman" w:hAnsi="Times New Roman" w:eastAsia="宋体" w:cs="Times New Roman"/>
          <w:sz w:val="28"/>
          <w:szCs w:val="28"/>
        </w:rPr>
        <w:t>月</w:t>
      </w:r>
    </w:p>
    <w:p>
      <w:pPr>
        <w:rPr>
          <w:rFonts w:ascii="Times New Roman" w:hAnsi="Times New Roman" w:eastAsia="宋体" w:cs="Times New Roman"/>
          <w:sz w:val="28"/>
          <w:szCs w:val="28"/>
        </w:rPr>
      </w:pPr>
    </w:p>
    <w:sdt>
      <w:sdtPr>
        <w:rPr>
          <w:rFonts w:ascii="宋体" w:hAnsi="宋体" w:eastAsia="宋体"/>
        </w:rPr>
        <w:id w:val="147460130"/>
        <w:docPartObj>
          <w:docPartGallery w:val="Table of Contents"/>
          <w:docPartUnique/>
        </w:docPartObj>
      </w:sdtPr>
      <w:sdtEndPr>
        <w:rPr>
          <w:rFonts w:ascii="宋体" w:hAnsi="宋体" w:eastAsia="宋体"/>
          <w:sz w:val="20"/>
          <w:szCs w:val="20"/>
        </w:rPr>
      </w:sdtEndPr>
      <w:sdtContent>
        <w:p>
          <w:pPr>
            <w:jc w:val="center"/>
          </w:pPr>
          <w:bookmarkStart w:id="2" w:name="_Toc1950_WPSOffice_Type2"/>
          <w:r>
            <w:rPr>
              <w:rFonts w:ascii="宋体" w:hAnsi="宋体" w:eastAsia="宋体"/>
              <w:sz w:val="28"/>
              <w:szCs w:val="28"/>
            </w:rPr>
            <w:t>目录</w:t>
          </w:r>
        </w:p>
        <w:p>
          <w:pPr>
            <w:pStyle w:val="13"/>
            <w:tabs>
              <w:tab w:val="right" w:leader="dot" w:pos="8306"/>
            </w:tabs>
            <w:spacing w:line="0" w:lineRule="atLeast"/>
          </w:pPr>
          <w:r>
            <w:fldChar w:fldCharType="begin"/>
          </w:r>
          <w:r>
            <w:instrText xml:space="preserve"> HYPERLINK \l "_Toc1657_WPSOffice_Level1" </w:instrText>
          </w:r>
          <w:r>
            <w:fldChar w:fldCharType="separate"/>
          </w:r>
          <w:r>
            <w:rPr>
              <w:rFonts w:ascii="Times New Roman" w:hAnsi="Times New Roman" w:eastAsia="宋体" w:cs="Times New Roman"/>
              <w:b/>
              <w:bCs/>
            </w:rPr>
            <w:t>附图</w:t>
          </w:r>
          <w:r>
            <w:rPr>
              <w:b/>
              <w:bCs/>
            </w:rPr>
            <w:tab/>
          </w:r>
          <w:bookmarkStart w:id="3" w:name="_Toc1657_WPSOffice_Level1Page"/>
          <w:r>
            <w:rPr>
              <w:b/>
              <w:bCs/>
            </w:rPr>
            <w:t>3</w:t>
          </w:r>
          <w:bookmarkEnd w:id="3"/>
          <w:r>
            <w:rPr>
              <w:b/>
              <w:bCs/>
            </w:rPr>
            <w:fldChar w:fldCharType="end"/>
          </w:r>
        </w:p>
        <w:p>
          <w:pPr>
            <w:pStyle w:val="13"/>
            <w:tabs>
              <w:tab w:val="right" w:leader="dot" w:pos="8306"/>
            </w:tabs>
            <w:spacing w:line="0" w:lineRule="atLeast"/>
          </w:pPr>
          <w:r>
            <w:fldChar w:fldCharType="begin"/>
          </w:r>
          <w:r>
            <w:instrText xml:space="preserve"> HYPERLINK \l "_Toc23969_WPSOffice_Level1" </w:instrText>
          </w:r>
          <w:r>
            <w:fldChar w:fldCharType="separate"/>
          </w:r>
          <w:r>
            <w:rPr>
              <w:rFonts w:ascii="Times New Roman" w:hAnsi="Times New Roman" w:eastAsia="宋体" w:cs="Times New Roman"/>
              <w:b/>
              <w:bCs/>
            </w:rPr>
            <w:t>1、地理位置图；</w:t>
          </w:r>
          <w:r>
            <w:rPr>
              <w:b/>
              <w:bCs/>
            </w:rPr>
            <w:tab/>
          </w:r>
          <w:bookmarkStart w:id="4" w:name="_Toc23969_WPSOffice_Level1Page"/>
          <w:r>
            <w:rPr>
              <w:b/>
              <w:bCs/>
            </w:rPr>
            <w:t>3</w:t>
          </w:r>
          <w:bookmarkEnd w:id="4"/>
          <w:r>
            <w:rPr>
              <w:b/>
              <w:bCs/>
            </w:rPr>
            <w:fldChar w:fldCharType="end"/>
          </w:r>
        </w:p>
        <w:p>
          <w:pPr>
            <w:pStyle w:val="13"/>
            <w:tabs>
              <w:tab w:val="right" w:leader="dot" w:pos="8306"/>
            </w:tabs>
            <w:spacing w:line="0" w:lineRule="atLeast"/>
          </w:pPr>
          <w:r>
            <w:fldChar w:fldCharType="begin"/>
          </w:r>
          <w:r>
            <w:instrText xml:space="preserve"> HYPERLINK \l "_Toc24507_WPSOffice_Level1" </w:instrText>
          </w:r>
          <w:r>
            <w:fldChar w:fldCharType="separate"/>
          </w:r>
          <w:r>
            <w:rPr>
              <w:rFonts w:ascii="Times New Roman" w:hAnsi="Times New Roman" w:eastAsia="宋体" w:cs="Times New Roman"/>
              <w:b/>
              <w:bCs/>
            </w:rPr>
            <w:t>2、周边关系图；</w:t>
          </w:r>
          <w:r>
            <w:rPr>
              <w:b/>
              <w:bCs/>
            </w:rPr>
            <w:tab/>
          </w:r>
          <w:bookmarkStart w:id="5" w:name="_Toc24507_WPSOffice_Level1Page"/>
          <w:r>
            <w:rPr>
              <w:b/>
              <w:bCs/>
            </w:rPr>
            <w:t>3</w:t>
          </w:r>
          <w:bookmarkEnd w:id="5"/>
          <w:r>
            <w:rPr>
              <w:b/>
              <w:bCs/>
            </w:rPr>
            <w:fldChar w:fldCharType="end"/>
          </w:r>
        </w:p>
        <w:p>
          <w:pPr>
            <w:pStyle w:val="13"/>
            <w:tabs>
              <w:tab w:val="right" w:leader="dot" w:pos="8306"/>
            </w:tabs>
            <w:spacing w:line="0" w:lineRule="atLeast"/>
          </w:pPr>
          <w:r>
            <w:fldChar w:fldCharType="begin"/>
          </w:r>
          <w:r>
            <w:instrText xml:space="preserve"> HYPERLINK \l "_Toc30921_WPSOffice_Level1" </w:instrText>
          </w:r>
          <w:r>
            <w:fldChar w:fldCharType="separate"/>
          </w:r>
          <w:r>
            <w:rPr>
              <w:rFonts w:ascii="Times New Roman" w:hAnsi="Times New Roman" w:eastAsia="宋体" w:cs="Times New Roman"/>
              <w:b/>
              <w:bCs/>
            </w:rPr>
            <w:t>3、平面布置图。</w:t>
          </w:r>
          <w:r>
            <w:rPr>
              <w:b/>
              <w:bCs/>
            </w:rPr>
            <w:tab/>
          </w:r>
          <w:bookmarkStart w:id="6" w:name="_Toc30921_WPSOffice_Level1Page"/>
          <w:r>
            <w:rPr>
              <w:b/>
              <w:bCs/>
            </w:rPr>
            <w:t>3</w:t>
          </w:r>
          <w:bookmarkEnd w:id="6"/>
          <w:r>
            <w:rPr>
              <w:b/>
              <w:bCs/>
            </w:rPr>
            <w:fldChar w:fldCharType="end"/>
          </w:r>
        </w:p>
        <w:p>
          <w:pPr>
            <w:pStyle w:val="13"/>
            <w:tabs>
              <w:tab w:val="right" w:leader="dot" w:pos="8306"/>
            </w:tabs>
            <w:spacing w:line="0" w:lineRule="atLeast"/>
          </w:pPr>
          <w:r>
            <w:fldChar w:fldCharType="begin"/>
          </w:r>
          <w:r>
            <w:instrText xml:space="preserve"> HYPERLINK \l "_Toc28287_WPSOffice_Level1" </w:instrText>
          </w:r>
          <w:r>
            <w:fldChar w:fldCharType="separate"/>
          </w:r>
          <w:r>
            <w:rPr>
              <w:rFonts w:ascii="Times New Roman" w:hAnsi="Times New Roman" w:eastAsia="宋体" w:cs="Times New Roman"/>
              <w:b/>
              <w:bCs/>
            </w:rPr>
            <w:t>附件</w:t>
          </w:r>
          <w:r>
            <w:rPr>
              <w:b/>
              <w:bCs/>
            </w:rPr>
            <w:tab/>
          </w:r>
          <w:bookmarkStart w:id="7" w:name="_Toc28287_WPSOffice_Level1Page"/>
          <w:r>
            <w:rPr>
              <w:b/>
              <w:bCs/>
            </w:rPr>
            <w:t>3</w:t>
          </w:r>
          <w:bookmarkEnd w:id="7"/>
          <w:r>
            <w:rPr>
              <w:b/>
              <w:bCs/>
            </w:rPr>
            <w:fldChar w:fldCharType="end"/>
          </w:r>
        </w:p>
        <w:p>
          <w:pPr>
            <w:pStyle w:val="13"/>
            <w:tabs>
              <w:tab w:val="right" w:leader="dot" w:pos="8306"/>
            </w:tabs>
            <w:spacing w:line="0" w:lineRule="atLeast"/>
          </w:pPr>
          <w:r>
            <w:fldChar w:fldCharType="begin"/>
          </w:r>
          <w:r>
            <w:instrText xml:space="preserve"> HYPERLINK \l "_Toc11760_WPSOffice_Level1" </w:instrText>
          </w:r>
          <w:r>
            <w:fldChar w:fldCharType="separate"/>
          </w:r>
          <w:r>
            <w:rPr>
              <w:rFonts w:ascii="Times New Roman" w:hAnsi="Times New Roman" w:eastAsia="宋体" w:cs="Times New Roman"/>
              <w:b/>
              <w:bCs/>
            </w:rPr>
            <w:t>1、营业执照；</w:t>
          </w:r>
          <w:r>
            <w:rPr>
              <w:b/>
              <w:bCs/>
            </w:rPr>
            <w:tab/>
          </w:r>
          <w:bookmarkStart w:id="8" w:name="_Toc11760_WPSOffice_Level1Page"/>
          <w:r>
            <w:rPr>
              <w:b/>
              <w:bCs/>
            </w:rPr>
            <w:t>3</w:t>
          </w:r>
          <w:bookmarkEnd w:id="8"/>
          <w:r>
            <w:rPr>
              <w:b/>
              <w:bCs/>
            </w:rPr>
            <w:fldChar w:fldCharType="end"/>
          </w:r>
        </w:p>
        <w:p>
          <w:pPr>
            <w:pStyle w:val="13"/>
            <w:tabs>
              <w:tab w:val="right" w:leader="dot" w:pos="8306"/>
            </w:tabs>
            <w:spacing w:line="0" w:lineRule="atLeast"/>
          </w:pPr>
          <w:r>
            <w:fldChar w:fldCharType="begin"/>
          </w:r>
          <w:r>
            <w:instrText xml:space="preserve"> HYPERLINK \l "_Toc9300_WPSOffice_Level1" </w:instrText>
          </w:r>
          <w:r>
            <w:fldChar w:fldCharType="separate"/>
          </w:r>
          <w:r>
            <w:rPr>
              <w:rFonts w:ascii="Times New Roman" w:hAnsi="Times New Roman" w:eastAsia="宋体" w:cs="Times New Roman"/>
              <w:b/>
              <w:bCs/>
            </w:rPr>
            <w:t>2、环评审批意见</w:t>
          </w:r>
          <w:r>
            <w:rPr>
              <w:b/>
              <w:bCs/>
            </w:rPr>
            <w:tab/>
          </w:r>
          <w:bookmarkStart w:id="9" w:name="_Toc9300_WPSOffice_Level1Page"/>
          <w:r>
            <w:rPr>
              <w:b/>
              <w:bCs/>
            </w:rPr>
            <w:t>3</w:t>
          </w:r>
          <w:bookmarkEnd w:id="9"/>
          <w:r>
            <w:rPr>
              <w:b/>
              <w:bCs/>
            </w:rPr>
            <w:fldChar w:fldCharType="end"/>
          </w:r>
        </w:p>
        <w:p>
          <w:pPr>
            <w:pStyle w:val="13"/>
            <w:tabs>
              <w:tab w:val="right" w:leader="dot" w:pos="8306"/>
            </w:tabs>
            <w:spacing w:line="0" w:lineRule="atLeast"/>
          </w:pPr>
          <w:r>
            <w:fldChar w:fldCharType="begin"/>
          </w:r>
          <w:r>
            <w:instrText xml:space="preserve"> HYPERLINK \l "_Toc8113_WPSOffice_Level1" </w:instrText>
          </w:r>
          <w:r>
            <w:fldChar w:fldCharType="separate"/>
          </w:r>
          <w:r>
            <w:rPr>
              <w:rFonts w:ascii="Times New Roman" w:hAnsi="Times New Roman" w:eastAsia="宋体" w:cs="Times New Roman"/>
              <w:b/>
              <w:bCs/>
            </w:rPr>
            <w:t>3、监测报告</w:t>
          </w:r>
          <w:r>
            <w:rPr>
              <w:b/>
              <w:bCs/>
            </w:rPr>
            <w:tab/>
          </w:r>
          <w:bookmarkStart w:id="10" w:name="_Toc8113_WPSOffice_Level1Page"/>
          <w:r>
            <w:rPr>
              <w:b/>
              <w:bCs/>
            </w:rPr>
            <w:t>3</w:t>
          </w:r>
          <w:bookmarkEnd w:id="10"/>
          <w:r>
            <w:rPr>
              <w:b/>
              <w:bCs/>
            </w:rPr>
            <w:fldChar w:fldCharType="end"/>
          </w:r>
        </w:p>
        <w:p>
          <w:pPr>
            <w:pStyle w:val="13"/>
            <w:tabs>
              <w:tab w:val="right" w:leader="dot" w:pos="8306"/>
            </w:tabs>
            <w:spacing w:line="0" w:lineRule="atLeast"/>
          </w:pPr>
          <w:r>
            <w:fldChar w:fldCharType="begin"/>
          </w:r>
          <w:r>
            <w:instrText xml:space="preserve"> HYPERLINK \l "_Toc23533_WPSOffice_Level1" </w:instrText>
          </w:r>
          <w:r>
            <w:fldChar w:fldCharType="separate"/>
          </w:r>
          <w:r>
            <w:rPr>
              <w:rFonts w:ascii="Times New Roman" w:hAnsi="Times New Roman" w:eastAsia="宋体" w:cs="Times New Roman"/>
              <w:b/>
              <w:bCs/>
            </w:rPr>
            <w:t>前  言</w:t>
          </w:r>
          <w:r>
            <w:rPr>
              <w:b/>
              <w:bCs/>
            </w:rPr>
            <w:tab/>
          </w:r>
          <w:bookmarkStart w:id="11" w:name="_Toc23533_WPSOffice_Level1Page"/>
          <w:r>
            <w:rPr>
              <w:b/>
              <w:bCs/>
            </w:rPr>
            <w:t>1</w:t>
          </w:r>
          <w:bookmarkEnd w:id="11"/>
          <w:r>
            <w:rPr>
              <w:b/>
              <w:bCs/>
            </w:rPr>
            <w:fldChar w:fldCharType="end"/>
          </w:r>
        </w:p>
        <w:p>
          <w:pPr>
            <w:pStyle w:val="13"/>
            <w:tabs>
              <w:tab w:val="right" w:leader="dot" w:pos="8306"/>
            </w:tabs>
            <w:spacing w:line="0" w:lineRule="atLeast"/>
          </w:pPr>
          <w:r>
            <w:fldChar w:fldCharType="begin"/>
          </w:r>
          <w:r>
            <w:instrText xml:space="preserve"> HYPERLINK \l "_Toc32369_WPSOffice_Level1" </w:instrText>
          </w:r>
          <w:r>
            <w:fldChar w:fldCharType="separate"/>
          </w:r>
          <w:r>
            <w:rPr>
              <w:rFonts w:ascii="Times New Roman" w:hAnsi="Times New Roman" w:eastAsia="宋体" w:cs="Times New Roman"/>
              <w:b/>
              <w:bCs/>
            </w:rPr>
            <w:t>1 验收编制依据</w:t>
          </w:r>
          <w:r>
            <w:rPr>
              <w:b/>
              <w:bCs/>
            </w:rPr>
            <w:tab/>
          </w:r>
          <w:bookmarkStart w:id="12" w:name="_Toc32369_WPSOffice_Level1Page"/>
          <w:r>
            <w:rPr>
              <w:b/>
              <w:bCs/>
            </w:rPr>
            <w:t>2</w:t>
          </w:r>
          <w:bookmarkEnd w:id="12"/>
          <w:r>
            <w:rPr>
              <w:b/>
              <w:bCs/>
            </w:rPr>
            <w:fldChar w:fldCharType="end"/>
          </w:r>
        </w:p>
        <w:p>
          <w:pPr>
            <w:pStyle w:val="14"/>
            <w:tabs>
              <w:tab w:val="right" w:leader="dot" w:pos="8306"/>
            </w:tabs>
            <w:spacing w:line="0" w:lineRule="atLeast"/>
            <w:ind w:left="420"/>
          </w:pPr>
          <w:r>
            <w:fldChar w:fldCharType="begin"/>
          </w:r>
          <w:r>
            <w:instrText xml:space="preserve"> HYPERLINK \l "_Toc23969_WPSOffice_Level2" </w:instrText>
          </w:r>
          <w:r>
            <w:fldChar w:fldCharType="separate"/>
          </w:r>
          <w:r>
            <w:rPr>
              <w:rFonts w:ascii="Times New Roman" w:hAnsi="Times New Roman" w:eastAsia="宋体" w:cs="Times New Roman"/>
            </w:rPr>
            <w:t>1.1 法律、法规</w:t>
          </w:r>
          <w:r>
            <w:tab/>
          </w:r>
          <w:bookmarkStart w:id="13" w:name="_Toc23969_WPSOffice_Level2Page"/>
          <w:r>
            <w:t>2</w:t>
          </w:r>
          <w:bookmarkEnd w:id="13"/>
          <w:r>
            <w:fldChar w:fldCharType="end"/>
          </w:r>
        </w:p>
        <w:p>
          <w:pPr>
            <w:pStyle w:val="14"/>
            <w:tabs>
              <w:tab w:val="right" w:leader="dot" w:pos="8306"/>
            </w:tabs>
            <w:spacing w:line="0" w:lineRule="atLeast"/>
            <w:ind w:left="420"/>
          </w:pPr>
          <w:r>
            <w:fldChar w:fldCharType="begin"/>
          </w:r>
          <w:r>
            <w:instrText xml:space="preserve"> HYPERLINK \l "_Toc24507_WPSOffice_Level2" </w:instrText>
          </w:r>
          <w:r>
            <w:fldChar w:fldCharType="separate"/>
          </w:r>
          <w:r>
            <w:rPr>
              <w:rFonts w:ascii="Times New Roman" w:hAnsi="Times New Roman" w:eastAsia="宋体" w:cs="Times New Roman"/>
            </w:rPr>
            <w:t>1.2 验收技术规范</w:t>
          </w:r>
          <w:r>
            <w:tab/>
          </w:r>
          <w:bookmarkStart w:id="14" w:name="_Toc24507_WPSOffice_Level2Page"/>
          <w:r>
            <w:t>2</w:t>
          </w:r>
          <w:bookmarkEnd w:id="14"/>
          <w:r>
            <w:fldChar w:fldCharType="end"/>
          </w:r>
        </w:p>
        <w:p>
          <w:pPr>
            <w:pStyle w:val="14"/>
            <w:tabs>
              <w:tab w:val="right" w:leader="dot" w:pos="8306"/>
            </w:tabs>
            <w:spacing w:line="0" w:lineRule="atLeast"/>
            <w:ind w:left="420"/>
          </w:pPr>
          <w:r>
            <w:fldChar w:fldCharType="begin"/>
          </w:r>
          <w:r>
            <w:instrText xml:space="preserve"> HYPERLINK \l "_Toc30921_WPSOffice_Level2" </w:instrText>
          </w:r>
          <w:r>
            <w:fldChar w:fldCharType="separate"/>
          </w:r>
          <w:r>
            <w:rPr>
              <w:rFonts w:ascii="Times New Roman" w:hAnsi="Times New Roman" w:eastAsia="宋体" w:cs="Times New Roman"/>
            </w:rPr>
            <w:t>1.3 工程技术文件及批复文件</w:t>
          </w:r>
          <w:r>
            <w:tab/>
          </w:r>
          <w:bookmarkStart w:id="15" w:name="_Toc30921_WPSOffice_Level2Page"/>
          <w:r>
            <w:t>3</w:t>
          </w:r>
          <w:bookmarkEnd w:id="15"/>
          <w:r>
            <w:fldChar w:fldCharType="end"/>
          </w:r>
        </w:p>
        <w:p>
          <w:pPr>
            <w:pStyle w:val="13"/>
            <w:tabs>
              <w:tab w:val="right" w:leader="dot" w:pos="8306"/>
            </w:tabs>
            <w:spacing w:line="0" w:lineRule="atLeast"/>
          </w:pPr>
          <w:r>
            <w:fldChar w:fldCharType="begin"/>
          </w:r>
          <w:r>
            <w:instrText xml:space="preserve"> HYPERLINK \l "_Toc10926_WPSOffice_Level1" </w:instrText>
          </w:r>
          <w:r>
            <w:fldChar w:fldCharType="separate"/>
          </w:r>
          <w:r>
            <w:rPr>
              <w:rFonts w:ascii="Times New Roman" w:hAnsi="Times New Roman" w:eastAsia="宋体" w:cs="Times New Roman"/>
              <w:b/>
              <w:bCs/>
            </w:rPr>
            <w:t>2 工程概况</w:t>
          </w:r>
          <w:r>
            <w:rPr>
              <w:b/>
              <w:bCs/>
            </w:rPr>
            <w:tab/>
          </w:r>
          <w:bookmarkStart w:id="16" w:name="_Toc10926_WPSOffice_Level1Page"/>
          <w:r>
            <w:rPr>
              <w:b/>
              <w:bCs/>
            </w:rPr>
            <w:t>4</w:t>
          </w:r>
          <w:bookmarkEnd w:id="16"/>
          <w:r>
            <w:rPr>
              <w:b/>
              <w:bCs/>
            </w:rPr>
            <w:fldChar w:fldCharType="end"/>
          </w:r>
        </w:p>
        <w:p>
          <w:pPr>
            <w:pStyle w:val="14"/>
            <w:tabs>
              <w:tab w:val="right" w:leader="dot" w:pos="8306"/>
            </w:tabs>
            <w:spacing w:line="0" w:lineRule="atLeast"/>
            <w:ind w:left="420"/>
          </w:pPr>
          <w:r>
            <w:fldChar w:fldCharType="begin"/>
          </w:r>
          <w:r>
            <w:instrText xml:space="preserve"> HYPERLINK \l "_Toc28287_WPSOffice_Level2" </w:instrText>
          </w:r>
          <w:r>
            <w:fldChar w:fldCharType="separate"/>
          </w:r>
          <w:r>
            <w:rPr>
              <w:rFonts w:ascii="Times New Roman" w:hAnsi="Times New Roman" w:eastAsia="宋体" w:cs="Times New Roman"/>
            </w:rPr>
            <w:t>2.1 项目基本情况</w:t>
          </w:r>
          <w:r>
            <w:tab/>
          </w:r>
          <w:bookmarkStart w:id="17" w:name="_Toc28287_WPSOffice_Level2Page"/>
          <w:r>
            <w:t>4</w:t>
          </w:r>
          <w:bookmarkEnd w:id="17"/>
          <w:r>
            <w:fldChar w:fldCharType="end"/>
          </w:r>
        </w:p>
        <w:p>
          <w:pPr>
            <w:pStyle w:val="14"/>
            <w:tabs>
              <w:tab w:val="right" w:leader="dot" w:pos="8306"/>
            </w:tabs>
            <w:spacing w:line="0" w:lineRule="atLeast"/>
            <w:ind w:left="420"/>
          </w:pPr>
          <w:r>
            <w:fldChar w:fldCharType="begin"/>
          </w:r>
          <w:r>
            <w:instrText xml:space="preserve"> HYPERLINK \l "_Toc11760_WPSOffice_Level2" </w:instrText>
          </w:r>
          <w:r>
            <w:fldChar w:fldCharType="separate"/>
          </w:r>
          <w:r>
            <w:rPr>
              <w:rFonts w:ascii="Times New Roman" w:hAnsi="Times New Roman" w:eastAsia="宋体" w:cs="Times New Roman"/>
            </w:rPr>
            <w:t>2.2 建设内容</w:t>
          </w:r>
          <w:r>
            <w:tab/>
          </w:r>
          <w:bookmarkStart w:id="18" w:name="_Toc11760_WPSOffice_Level2Page"/>
          <w:r>
            <w:t>4</w:t>
          </w:r>
          <w:bookmarkEnd w:id="18"/>
          <w:r>
            <w:fldChar w:fldCharType="end"/>
          </w:r>
        </w:p>
        <w:p>
          <w:pPr>
            <w:pStyle w:val="14"/>
            <w:tabs>
              <w:tab w:val="right" w:leader="dot" w:pos="8306"/>
            </w:tabs>
            <w:spacing w:line="0" w:lineRule="atLeast"/>
            <w:ind w:left="420"/>
          </w:pPr>
          <w:r>
            <w:fldChar w:fldCharType="begin"/>
          </w:r>
          <w:r>
            <w:instrText xml:space="preserve"> HYPERLINK \l "_Toc9300_WPSOffice_Level2" </w:instrText>
          </w:r>
          <w:r>
            <w:fldChar w:fldCharType="separate"/>
          </w:r>
          <w:r>
            <w:rPr>
              <w:rFonts w:ascii="Times New Roman" w:hAnsi="Times New Roman" w:eastAsia="宋体" w:cs="Times New Roman"/>
            </w:rPr>
            <w:t>2.3 工艺流程</w:t>
          </w:r>
          <w:r>
            <w:tab/>
          </w:r>
          <w:bookmarkStart w:id="19" w:name="_Toc9300_WPSOffice_Level2Page"/>
          <w:r>
            <w:t>5</w:t>
          </w:r>
          <w:bookmarkEnd w:id="19"/>
          <w:r>
            <w:fldChar w:fldCharType="end"/>
          </w:r>
        </w:p>
        <w:p>
          <w:pPr>
            <w:pStyle w:val="14"/>
            <w:tabs>
              <w:tab w:val="right" w:leader="dot" w:pos="8306"/>
            </w:tabs>
            <w:spacing w:line="0" w:lineRule="atLeast"/>
            <w:ind w:left="420"/>
          </w:pPr>
          <w:r>
            <w:fldChar w:fldCharType="begin"/>
          </w:r>
          <w:r>
            <w:instrText xml:space="preserve"> HYPERLINK \l "_Toc8113_WPSOffice_Level2" </w:instrText>
          </w:r>
          <w:r>
            <w:fldChar w:fldCharType="separate"/>
          </w:r>
          <w:r>
            <w:rPr>
              <w:rFonts w:ascii="Times New Roman" w:hAnsi="Times New Roman" w:eastAsia="宋体" w:cs="Times New Roman"/>
            </w:rPr>
            <w:t>2.4 劳动定员及工作制度</w:t>
          </w:r>
          <w:r>
            <w:tab/>
          </w:r>
          <w:bookmarkStart w:id="20" w:name="_Toc8113_WPSOffice_Level2Page"/>
          <w:r>
            <w:t>7</w:t>
          </w:r>
          <w:bookmarkEnd w:id="20"/>
          <w:r>
            <w:fldChar w:fldCharType="end"/>
          </w:r>
        </w:p>
        <w:p>
          <w:pPr>
            <w:pStyle w:val="14"/>
            <w:tabs>
              <w:tab w:val="right" w:leader="dot" w:pos="8306"/>
            </w:tabs>
            <w:spacing w:line="0" w:lineRule="atLeast"/>
            <w:ind w:left="420"/>
          </w:pPr>
          <w:r>
            <w:fldChar w:fldCharType="begin"/>
          </w:r>
          <w:r>
            <w:instrText xml:space="preserve"> HYPERLINK \l "_Toc23533_WPSOffice_Level2" </w:instrText>
          </w:r>
          <w:r>
            <w:fldChar w:fldCharType="separate"/>
          </w:r>
          <w:r>
            <w:rPr>
              <w:rFonts w:ascii="Times New Roman" w:hAnsi="Times New Roman" w:eastAsia="宋体" w:cs="Times New Roman"/>
            </w:rPr>
            <w:t>2.5 公用工程</w:t>
          </w:r>
          <w:r>
            <w:tab/>
          </w:r>
          <w:bookmarkStart w:id="21" w:name="_Toc23533_WPSOffice_Level2Page"/>
          <w:r>
            <w:t>7</w:t>
          </w:r>
          <w:bookmarkEnd w:id="21"/>
          <w:r>
            <w:fldChar w:fldCharType="end"/>
          </w:r>
        </w:p>
        <w:p>
          <w:pPr>
            <w:pStyle w:val="14"/>
            <w:tabs>
              <w:tab w:val="right" w:leader="dot" w:pos="8306"/>
            </w:tabs>
            <w:spacing w:line="0" w:lineRule="atLeast"/>
            <w:ind w:left="420"/>
          </w:pPr>
          <w:r>
            <w:fldChar w:fldCharType="begin"/>
          </w:r>
          <w:r>
            <w:instrText xml:space="preserve"> HYPERLINK \l "_Toc32369_WPSOffice_Level2" </w:instrText>
          </w:r>
          <w:r>
            <w:fldChar w:fldCharType="separate"/>
          </w:r>
          <w:r>
            <w:rPr>
              <w:rFonts w:ascii="Times New Roman" w:hAnsi="Times New Roman" w:eastAsia="宋体" w:cs="Times New Roman"/>
            </w:rPr>
            <w:t>2.6 环评审批情况</w:t>
          </w:r>
          <w:r>
            <w:tab/>
          </w:r>
          <w:bookmarkStart w:id="22" w:name="_Toc32369_WPSOffice_Level2Page"/>
          <w:r>
            <w:t>8</w:t>
          </w:r>
          <w:bookmarkEnd w:id="22"/>
          <w:r>
            <w:fldChar w:fldCharType="end"/>
          </w:r>
        </w:p>
        <w:p>
          <w:pPr>
            <w:pStyle w:val="14"/>
            <w:tabs>
              <w:tab w:val="right" w:leader="dot" w:pos="8306"/>
            </w:tabs>
            <w:spacing w:line="0" w:lineRule="atLeast"/>
            <w:ind w:left="420"/>
          </w:pPr>
          <w:r>
            <w:fldChar w:fldCharType="begin"/>
          </w:r>
          <w:r>
            <w:instrText xml:space="preserve"> HYPERLINK \l "_Toc10926_WPSOffice_Level2" </w:instrText>
          </w:r>
          <w:r>
            <w:fldChar w:fldCharType="separate"/>
          </w:r>
          <w:r>
            <w:rPr>
              <w:rFonts w:ascii="Times New Roman" w:hAnsi="Times New Roman" w:eastAsia="宋体" w:cs="Times New Roman"/>
            </w:rPr>
            <w:t>2.7 项目投资</w:t>
          </w:r>
          <w:r>
            <w:tab/>
          </w:r>
          <w:bookmarkStart w:id="23" w:name="_Toc10926_WPSOffice_Level2Page"/>
          <w:r>
            <w:t>8</w:t>
          </w:r>
          <w:bookmarkEnd w:id="23"/>
          <w:r>
            <w:fldChar w:fldCharType="end"/>
          </w:r>
        </w:p>
        <w:p>
          <w:pPr>
            <w:pStyle w:val="14"/>
            <w:tabs>
              <w:tab w:val="right" w:leader="dot" w:pos="8306"/>
            </w:tabs>
            <w:spacing w:line="0" w:lineRule="atLeast"/>
            <w:ind w:left="420"/>
          </w:pPr>
          <w:r>
            <w:fldChar w:fldCharType="begin"/>
          </w:r>
          <w:r>
            <w:instrText xml:space="preserve"> HYPERLINK \l "_Toc24140_WPSOffice_Level2" </w:instrText>
          </w:r>
          <w:r>
            <w:fldChar w:fldCharType="separate"/>
          </w:r>
          <w:r>
            <w:rPr>
              <w:rFonts w:ascii="Times New Roman" w:hAnsi="Times New Roman" w:eastAsia="宋体" w:cs="Times New Roman"/>
            </w:rPr>
            <w:t>2.8 环境保护“三同时”落实情况</w:t>
          </w:r>
          <w:r>
            <w:tab/>
          </w:r>
          <w:bookmarkStart w:id="24" w:name="_Toc24140_WPSOffice_Level2Page"/>
          <w:r>
            <w:t>9</w:t>
          </w:r>
          <w:bookmarkEnd w:id="24"/>
          <w:r>
            <w:fldChar w:fldCharType="end"/>
          </w:r>
        </w:p>
        <w:p>
          <w:pPr>
            <w:pStyle w:val="14"/>
            <w:tabs>
              <w:tab w:val="right" w:leader="dot" w:pos="8306"/>
            </w:tabs>
            <w:spacing w:line="0" w:lineRule="atLeast"/>
            <w:ind w:left="420"/>
          </w:pPr>
          <w:r>
            <w:fldChar w:fldCharType="begin"/>
          </w:r>
          <w:r>
            <w:instrText xml:space="preserve"> HYPERLINK \l "_Toc32611_WPSOffice_Level2" </w:instrText>
          </w:r>
          <w:r>
            <w:fldChar w:fldCharType="separate"/>
          </w:r>
          <w:r>
            <w:rPr>
              <w:rFonts w:ascii="Times New Roman" w:hAnsi="Times New Roman" w:eastAsia="宋体" w:cs="Times New Roman"/>
            </w:rPr>
            <w:t>2.9 验收范围及内容</w:t>
          </w:r>
          <w:r>
            <w:tab/>
          </w:r>
          <w:bookmarkStart w:id="25" w:name="_Toc32611_WPSOffice_Level2Page"/>
          <w:r>
            <w:t>9</w:t>
          </w:r>
          <w:bookmarkEnd w:id="25"/>
          <w:r>
            <w:fldChar w:fldCharType="end"/>
          </w:r>
        </w:p>
        <w:p>
          <w:pPr>
            <w:pStyle w:val="13"/>
            <w:tabs>
              <w:tab w:val="right" w:leader="dot" w:pos="8306"/>
            </w:tabs>
            <w:spacing w:line="0" w:lineRule="atLeast"/>
          </w:pPr>
          <w:r>
            <w:fldChar w:fldCharType="begin"/>
          </w:r>
          <w:r>
            <w:instrText xml:space="preserve"> HYPERLINK \l "_Toc24140_WPSOffice_Level1" </w:instrText>
          </w:r>
          <w:r>
            <w:fldChar w:fldCharType="separate"/>
          </w:r>
          <w:r>
            <w:rPr>
              <w:rFonts w:ascii="Times New Roman" w:hAnsi="Times New Roman" w:eastAsia="宋体" w:cs="Times New Roman"/>
              <w:b/>
              <w:bCs/>
            </w:rPr>
            <w:t>3 主要污染源及治理措施</w:t>
          </w:r>
          <w:r>
            <w:rPr>
              <w:b/>
              <w:bCs/>
            </w:rPr>
            <w:tab/>
          </w:r>
          <w:bookmarkStart w:id="26" w:name="_Toc24140_WPSOffice_Level1Page"/>
          <w:r>
            <w:rPr>
              <w:b/>
              <w:bCs/>
            </w:rPr>
            <w:t>11</w:t>
          </w:r>
          <w:bookmarkEnd w:id="26"/>
          <w:r>
            <w:rPr>
              <w:b/>
              <w:bCs/>
            </w:rPr>
            <w:fldChar w:fldCharType="end"/>
          </w:r>
        </w:p>
        <w:p>
          <w:pPr>
            <w:pStyle w:val="14"/>
            <w:tabs>
              <w:tab w:val="right" w:leader="dot" w:pos="8306"/>
            </w:tabs>
            <w:spacing w:line="0" w:lineRule="atLeast"/>
            <w:ind w:left="420"/>
          </w:pPr>
          <w:r>
            <w:fldChar w:fldCharType="begin"/>
          </w:r>
          <w:r>
            <w:instrText xml:space="preserve"> HYPERLINK \l "_Toc31094_WPSOffice_Level2" </w:instrText>
          </w:r>
          <w:r>
            <w:fldChar w:fldCharType="separate"/>
          </w:r>
          <w:r>
            <w:rPr>
              <w:rFonts w:ascii="Times New Roman" w:hAnsi="Times New Roman" w:eastAsia="宋体" w:cs="Times New Roman"/>
            </w:rPr>
            <w:t>3.1 施工期主要污染源及治理措施</w:t>
          </w:r>
          <w:r>
            <w:tab/>
          </w:r>
          <w:bookmarkStart w:id="27" w:name="_Toc31094_WPSOffice_Level2Page"/>
          <w:r>
            <w:t>11</w:t>
          </w:r>
          <w:bookmarkEnd w:id="27"/>
          <w:r>
            <w:fldChar w:fldCharType="end"/>
          </w:r>
        </w:p>
        <w:p>
          <w:pPr>
            <w:pStyle w:val="14"/>
            <w:tabs>
              <w:tab w:val="right" w:leader="dot" w:pos="8306"/>
            </w:tabs>
            <w:spacing w:line="0" w:lineRule="atLeast"/>
            <w:ind w:left="420"/>
          </w:pPr>
          <w:r>
            <w:fldChar w:fldCharType="begin"/>
          </w:r>
          <w:r>
            <w:instrText xml:space="preserve"> HYPERLINK \l "_Toc32678_WPSOffice_Level2" </w:instrText>
          </w:r>
          <w:r>
            <w:fldChar w:fldCharType="separate"/>
          </w:r>
          <w:r>
            <w:rPr>
              <w:rFonts w:ascii="Times New Roman" w:hAnsi="Times New Roman" w:eastAsia="宋体" w:cs="Times New Roman"/>
            </w:rPr>
            <w:t>3.2 运行期主要污染源及治理措施</w:t>
          </w:r>
          <w:r>
            <w:tab/>
          </w:r>
          <w:bookmarkStart w:id="28" w:name="_Toc32678_WPSOffice_Level2Page"/>
          <w:r>
            <w:t>11</w:t>
          </w:r>
          <w:bookmarkEnd w:id="28"/>
          <w:r>
            <w:fldChar w:fldCharType="end"/>
          </w:r>
        </w:p>
        <w:p>
          <w:pPr>
            <w:pStyle w:val="13"/>
            <w:tabs>
              <w:tab w:val="right" w:leader="dot" w:pos="8306"/>
            </w:tabs>
            <w:spacing w:line="0" w:lineRule="atLeast"/>
          </w:pPr>
          <w:r>
            <w:fldChar w:fldCharType="begin"/>
          </w:r>
          <w:r>
            <w:instrText xml:space="preserve"> HYPERLINK \l "_Toc32611_WPSOffice_Level1" </w:instrText>
          </w:r>
          <w:r>
            <w:fldChar w:fldCharType="separate"/>
          </w:r>
          <w:r>
            <w:rPr>
              <w:rFonts w:ascii="Times New Roman" w:hAnsi="Times New Roman" w:eastAsia="宋体" w:cs="Times New Roman"/>
              <w:b/>
              <w:bCs/>
            </w:rPr>
            <w:t>4 环评主要结论及环评批复要求</w:t>
          </w:r>
          <w:r>
            <w:rPr>
              <w:b/>
              <w:bCs/>
            </w:rPr>
            <w:tab/>
          </w:r>
          <w:bookmarkStart w:id="29" w:name="_Toc32611_WPSOffice_Level1Page"/>
          <w:r>
            <w:rPr>
              <w:b/>
              <w:bCs/>
            </w:rPr>
            <w:t>12</w:t>
          </w:r>
          <w:bookmarkEnd w:id="29"/>
          <w:r>
            <w:rPr>
              <w:b/>
              <w:bCs/>
            </w:rPr>
            <w:fldChar w:fldCharType="end"/>
          </w:r>
        </w:p>
        <w:p>
          <w:pPr>
            <w:pStyle w:val="14"/>
            <w:tabs>
              <w:tab w:val="right" w:leader="dot" w:pos="8306"/>
            </w:tabs>
            <w:spacing w:line="0" w:lineRule="atLeast"/>
            <w:ind w:left="420"/>
          </w:pPr>
          <w:r>
            <w:fldChar w:fldCharType="begin"/>
          </w:r>
          <w:r>
            <w:instrText xml:space="preserve"> HYPERLINK \l "_Toc10896_WPSOffice_Level2" </w:instrText>
          </w:r>
          <w:r>
            <w:fldChar w:fldCharType="separate"/>
          </w:r>
          <w:r>
            <w:rPr>
              <w:rFonts w:ascii="Times New Roman" w:hAnsi="Times New Roman" w:eastAsia="宋体" w:cs="Times New Roman"/>
            </w:rPr>
            <w:t>4.1 建设项目环评报告表的主要结论与建议</w:t>
          </w:r>
          <w:r>
            <w:tab/>
          </w:r>
          <w:bookmarkStart w:id="30" w:name="_Toc10896_WPSOffice_Level2Page"/>
          <w:r>
            <w:t>12</w:t>
          </w:r>
          <w:bookmarkEnd w:id="30"/>
          <w:r>
            <w:fldChar w:fldCharType="end"/>
          </w:r>
        </w:p>
        <w:p>
          <w:pPr>
            <w:pStyle w:val="14"/>
            <w:tabs>
              <w:tab w:val="right" w:leader="dot" w:pos="8306"/>
            </w:tabs>
            <w:spacing w:line="0" w:lineRule="atLeast"/>
            <w:ind w:left="420"/>
          </w:pPr>
          <w:r>
            <w:fldChar w:fldCharType="begin"/>
          </w:r>
          <w:r>
            <w:instrText xml:space="preserve"> HYPERLINK \l "_Toc24912_WPSOffice_Level2" </w:instrText>
          </w:r>
          <w:r>
            <w:fldChar w:fldCharType="separate"/>
          </w:r>
          <w:r>
            <w:rPr>
              <w:rFonts w:ascii="Times New Roman" w:hAnsi="Times New Roman" w:eastAsia="宋体" w:cs="Times New Roman"/>
            </w:rPr>
            <w:t>4.2 审批部门审批意见</w:t>
          </w:r>
          <w:r>
            <w:tab/>
          </w:r>
          <w:bookmarkStart w:id="31" w:name="_Toc24912_WPSOffice_Level2Page"/>
          <w:r>
            <w:t>13</w:t>
          </w:r>
          <w:bookmarkEnd w:id="31"/>
          <w:r>
            <w:fldChar w:fldCharType="end"/>
          </w:r>
        </w:p>
        <w:p>
          <w:pPr>
            <w:pStyle w:val="14"/>
            <w:tabs>
              <w:tab w:val="right" w:leader="dot" w:pos="8306"/>
            </w:tabs>
            <w:spacing w:line="0" w:lineRule="atLeast"/>
            <w:ind w:left="420"/>
          </w:pPr>
          <w:r>
            <w:fldChar w:fldCharType="begin"/>
          </w:r>
          <w:r>
            <w:instrText xml:space="preserve"> HYPERLINK \l "_Toc1735_WPSOffice_Level2" </w:instrText>
          </w:r>
          <w:r>
            <w:fldChar w:fldCharType="separate"/>
          </w:r>
          <w:r>
            <w:rPr>
              <w:rFonts w:ascii="Times New Roman" w:hAnsi="Times New Roman" w:eastAsia="宋体" w:cs="Times New Roman"/>
            </w:rPr>
            <w:t>4.3 审批意见落实情况</w:t>
          </w:r>
          <w:r>
            <w:tab/>
          </w:r>
          <w:bookmarkStart w:id="32" w:name="_Toc1735_WPSOffice_Level2Page"/>
          <w:r>
            <w:t>15</w:t>
          </w:r>
          <w:bookmarkEnd w:id="32"/>
          <w:r>
            <w:fldChar w:fldCharType="end"/>
          </w:r>
        </w:p>
        <w:p>
          <w:pPr>
            <w:pStyle w:val="13"/>
            <w:tabs>
              <w:tab w:val="right" w:leader="dot" w:pos="8306"/>
            </w:tabs>
            <w:spacing w:line="0" w:lineRule="atLeast"/>
          </w:pPr>
          <w:r>
            <w:fldChar w:fldCharType="begin"/>
          </w:r>
          <w:r>
            <w:instrText xml:space="preserve"> HYPERLINK \l "_Toc31094_WPSOffice_Level1" </w:instrText>
          </w:r>
          <w:r>
            <w:fldChar w:fldCharType="separate"/>
          </w:r>
          <w:r>
            <w:rPr>
              <w:rFonts w:ascii="Times New Roman" w:hAnsi="Times New Roman" w:eastAsia="宋体" w:cs="Times New Roman"/>
              <w:b/>
              <w:bCs/>
            </w:rPr>
            <w:t>5 验收评价标准</w:t>
          </w:r>
          <w:r>
            <w:rPr>
              <w:b/>
              <w:bCs/>
            </w:rPr>
            <w:tab/>
          </w:r>
          <w:bookmarkStart w:id="33" w:name="_Toc31094_WPSOffice_Level1Page"/>
          <w:r>
            <w:rPr>
              <w:b/>
              <w:bCs/>
            </w:rPr>
            <w:t>16</w:t>
          </w:r>
          <w:bookmarkEnd w:id="33"/>
          <w:r>
            <w:rPr>
              <w:b/>
              <w:bCs/>
            </w:rPr>
            <w:fldChar w:fldCharType="end"/>
          </w:r>
        </w:p>
        <w:p>
          <w:pPr>
            <w:pStyle w:val="14"/>
            <w:tabs>
              <w:tab w:val="right" w:leader="dot" w:pos="8306"/>
            </w:tabs>
            <w:spacing w:line="0" w:lineRule="atLeast"/>
            <w:ind w:left="420"/>
          </w:pPr>
          <w:r>
            <w:fldChar w:fldCharType="begin"/>
          </w:r>
          <w:r>
            <w:instrText xml:space="preserve"> HYPERLINK \l "_Toc10418_WPSOffice_Level2" </w:instrText>
          </w:r>
          <w:r>
            <w:fldChar w:fldCharType="separate"/>
          </w:r>
          <w:r>
            <w:rPr>
              <w:rFonts w:ascii="Times New Roman" w:hAnsi="Times New Roman" w:eastAsia="宋体" w:cs="Times New Roman"/>
            </w:rPr>
            <w:t>5.1 污染物排放标准</w:t>
          </w:r>
          <w:r>
            <w:tab/>
          </w:r>
          <w:bookmarkStart w:id="34" w:name="_Toc10418_WPSOffice_Level2Page"/>
          <w:r>
            <w:t>16</w:t>
          </w:r>
          <w:bookmarkEnd w:id="34"/>
          <w:r>
            <w:fldChar w:fldCharType="end"/>
          </w:r>
        </w:p>
        <w:p>
          <w:pPr>
            <w:pStyle w:val="14"/>
            <w:tabs>
              <w:tab w:val="right" w:leader="dot" w:pos="8306"/>
            </w:tabs>
            <w:spacing w:line="0" w:lineRule="atLeast"/>
            <w:ind w:left="420"/>
          </w:pPr>
          <w:r>
            <w:fldChar w:fldCharType="begin"/>
          </w:r>
          <w:r>
            <w:instrText xml:space="preserve"> HYPERLINK \l "_Toc32174_WPSOffice_Level2" </w:instrText>
          </w:r>
          <w:r>
            <w:fldChar w:fldCharType="separate"/>
          </w:r>
          <w:r>
            <w:rPr>
              <w:rFonts w:ascii="Times New Roman" w:hAnsi="Times New Roman" w:eastAsia="宋体" w:cs="Times New Roman"/>
            </w:rPr>
            <w:t>5.2 总量控制指标</w:t>
          </w:r>
          <w:r>
            <w:tab/>
          </w:r>
          <w:bookmarkStart w:id="35" w:name="_Toc32174_WPSOffice_Level2Page"/>
          <w:r>
            <w:t>16</w:t>
          </w:r>
          <w:bookmarkEnd w:id="35"/>
          <w:r>
            <w:fldChar w:fldCharType="end"/>
          </w:r>
        </w:p>
        <w:p>
          <w:pPr>
            <w:pStyle w:val="13"/>
            <w:tabs>
              <w:tab w:val="right" w:leader="dot" w:pos="8306"/>
            </w:tabs>
            <w:spacing w:line="0" w:lineRule="atLeast"/>
          </w:pPr>
          <w:r>
            <w:fldChar w:fldCharType="begin"/>
          </w:r>
          <w:r>
            <w:instrText xml:space="preserve"> HYPERLINK \l "_Toc32678_WPSOffice_Level1" </w:instrText>
          </w:r>
          <w:r>
            <w:fldChar w:fldCharType="separate"/>
          </w:r>
          <w:r>
            <w:rPr>
              <w:rFonts w:ascii="Times New Roman" w:hAnsi="Times New Roman" w:eastAsia="宋体" w:cs="Times New Roman"/>
              <w:b/>
              <w:bCs/>
            </w:rPr>
            <w:t>6 质量保障措施和检测分析方法</w:t>
          </w:r>
          <w:r>
            <w:rPr>
              <w:b/>
              <w:bCs/>
            </w:rPr>
            <w:tab/>
          </w:r>
          <w:bookmarkStart w:id="36" w:name="_Toc32678_WPSOffice_Level1Page"/>
          <w:r>
            <w:rPr>
              <w:b/>
              <w:bCs/>
            </w:rPr>
            <w:t>17</w:t>
          </w:r>
          <w:bookmarkEnd w:id="36"/>
          <w:r>
            <w:rPr>
              <w:b/>
              <w:bCs/>
            </w:rPr>
            <w:fldChar w:fldCharType="end"/>
          </w:r>
        </w:p>
        <w:p>
          <w:pPr>
            <w:pStyle w:val="14"/>
            <w:tabs>
              <w:tab w:val="right" w:leader="dot" w:pos="8306"/>
            </w:tabs>
            <w:spacing w:line="0" w:lineRule="atLeast"/>
            <w:ind w:left="420"/>
          </w:pPr>
          <w:r>
            <w:fldChar w:fldCharType="begin"/>
          </w:r>
          <w:r>
            <w:instrText xml:space="preserve"> HYPERLINK \l "_Toc14704_WPSOffice_Level2" </w:instrText>
          </w:r>
          <w:r>
            <w:fldChar w:fldCharType="separate"/>
          </w:r>
          <w:r>
            <w:rPr>
              <w:rFonts w:ascii="Times New Roman" w:hAnsi="Times New Roman" w:eastAsia="宋体" w:cs="Times New Roman"/>
            </w:rPr>
            <w:t>6.1 质量保障体系</w:t>
          </w:r>
          <w:r>
            <w:tab/>
          </w:r>
          <w:bookmarkStart w:id="37" w:name="_Toc14704_WPSOffice_Level2Page"/>
          <w:r>
            <w:t>17</w:t>
          </w:r>
          <w:bookmarkEnd w:id="37"/>
          <w:r>
            <w:fldChar w:fldCharType="end"/>
          </w:r>
        </w:p>
        <w:p>
          <w:pPr>
            <w:pStyle w:val="14"/>
            <w:tabs>
              <w:tab w:val="right" w:leader="dot" w:pos="8306"/>
            </w:tabs>
            <w:spacing w:line="0" w:lineRule="atLeast"/>
            <w:ind w:left="420"/>
            <w:sectPr>
              <w:footerReference r:id="rId5"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14"/>
            <w:tabs>
              <w:tab w:val="right" w:leader="dot" w:pos="8306"/>
            </w:tabs>
            <w:spacing w:line="0" w:lineRule="atLeast"/>
            <w:ind w:left="420"/>
          </w:pPr>
          <w:r>
            <w:fldChar w:fldCharType="begin"/>
          </w:r>
          <w:r>
            <w:instrText xml:space="preserve"> HYPERLINK \l "_Toc21817_WPSOffice_Level2" </w:instrText>
          </w:r>
          <w:r>
            <w:fldChar w:fldCharType="separate"/>
          </w:r>
          <w:r>
            <w:rPr>
              <w:rFonts w:ascii="Times New Roman" w:hAnsi="Times New Roman" w:eastAsia="宋体" w:cs="Times New Roman"/>
            </w:rPr>
            <w:t>6.2 检测分析方法</w:t>
          </w:r>
          <w:r>
            <w:tab/>
          </w:r>
          <w:bookmarkStart w:id="38" w:name="_Toc21817_WPSOffice_Level2Page"/>
          <w:r>
            <w:t>17</w:t>
          </w:r>
          <w:bookmarkEnd w:id="38"/>
          <w:r>
            <w:fldChar w:fldCharType="end"/>
          </w:r>
        </w:p>
        <w:p>
          <w:pPr>
            <w:pStyle w:val="14"/>
            <w:tabs>
              <w:tab w:val="right" w:leader="dot" w:pos="8306"/>
            </w:tabs>
            <w:spacing w:line="0" w:lineRule="atLeast"/>
            <w:ind w:left="420"/>
          </w:pPr>
          <w:r>
            <w:fldChar w:fldCharType="begin"/>
          </w:r>
          <w:r>
            <w:instrText xml:space="preserve"> HYPERLINK \l "_Toc22306_WPSOffice_Level2" </w:instrText>
          </w:r>
          <w:r>
            <w:fldChar w:fldCharType="separate"/>
          </w:r>
          <w:r>
            <w:rPr>
              <w:rFonts w:ascii="Times New Roman" w:hAnsi="Times New Roman" w:eastAsia="宋体" w:cs="Times New Roman"/>
            </w:rPr>
            <w:t xml:space="preserve">7.1 </w:t>
          </w:r>
          <w:r>
            <w:rPr>
              <w:rFonts w:hint="eastAsia" w:ascii="Times New Roman" w:hAnsi="Times New Roman" w:eastAsia="宋体" w:cs="Times New Roman"/>
            </w:rPr>
            <w:t>监测</w:t>
          </w:r>
          <w:r>
            <w:rPr>
              <w:rFonts w:ascii="Times New Roman" w:hAnsi="Times New Roman" w:eastAsia="宋体" w:cs="Times New Roman"/>
            </w:rPr>
            <w:t>结果</w:t>
          </w:r>
          <w:r>
            <w:tab/>
          </w:r>
          <w:bookmarkStart w:id="39" w:name="_Toc22306_WPSOffice_Level2Page"/>
          <w:r>
            <w:t>19</w:t>
          </w:r>
          <w:bookmarkEnd w:id="39"/>
          <w:r>
            <w:fldChar w:fldCharType="end"/>
          </w:r>
        </w:p>
        <w:p>
          <w:pPr>
            <w:pStyle w:val="13"/>
            <w:tabs>
              <w:tab w:val="right" w:leader="dot" w:pos="8306"/>
            </w:tabs>
            <w:spacing w:line="0" w:lineRule="atLeast"/>
            <w:ind w:firstLine="400" w:firstLineChars="200"/>
          </w:pPr>
          <w:r>
            <w:fldChar w:fldCharType="begin"/>
          </w:r>
          <w:r>
            <w:instrText xml:space="preserve"> HYPERLINK \l "_Toc19013_WPSOffice_Level2" </w:instrText>
          </w:r>
          <w:r>
            <w:fldChar w:fldCharType="separate"/>
          </w:r>
          <w:r>
            <w:rPr>
              <w:rFonts w:ascii="Times New Roman" w:hAnsi="Times New Roman" w:eastAsia="宋体" w:cs="Times New Roman"/>
            </w:rPr>
            <w:t xml:space="preserve">7.2 </w:t>
          </w:r>
          <w:r>
            <w:rPr>
              <w:rFonts w:hint="eastAsia" w:ascii="Times New Roman" w:hAnsi="Times New Roman" w:eastAsia="宋体" w:cs="Times New Roman"/>
            </w:rPr>
            <w:t>监测</w:t>
          </w:r>
          <w:r>
            <w:rPr>
              <w:rFonts w:ascii="Times New Roman" w:hAnsi="Times New Roman" w:eastAsia="宋体" w:cs="Times New Roman"/>
            </w:rPr>
            <w:t>结果分析</w:t>
          </w:r>
          <w:r>
            <w:tab/>
          </w:r>
          <w:bookmarkStart w:id="40" w:name="_Toc19013_WPSOffice_Level2Page"/>
          <w:r>
            <w:t>19</w:t>
          </w:r>
          <w:bookmarkEnd w:id="40"/>
          <w:r>
            <w:fldChar w:fldCharType="end"/>
          </w:r>
        </w:p>
        <w:p>
          <w:pPr>
            <w:pStyle w:val="14"/>
            <w:tabs>
              <w:tab w:val="right" w:leader="dot" w:pos="8306"/>
            </w:tabs>
            <w:spacing w:line="0" w:lineRule="atLeast"/>
            <w:ind w:left="420"/>
          </w:pPr>
          <w:r>
            <w:fldChar w:fldCharType="begin"/>
          </w:r>
          <w:r>
            <w:instrText xml:space="preserve"> HYPERLINK \l "_Toc23607_WPSOffice_Level2" </w:instrText>
          </w:r>
          <w:r>
            <w:fldChar w:fldCharType="separate"/>
          </w:r>
          <w:r>
            <w:rPr>
              <w:rFonts w:ascii="Times New Roman" w:hAnsi="Times New Roman" w:eastAsia="宋体" w:cs="Times New Roman"/>
            </w:rPr>
            <w:t>7.3 总量控制要求</w:t>
          </w:r>
          <w:r>
            <w:tab/>
          </w:r>
          <w:bookmarkStart w:id="41" w:name="_Toc23607_WPSOffice_Level2Page"/>
          <w:r>
            <w:t>19</w:t>
          </w:r>
          <w:bookmarkEnd w:id="41"/>
          <w:r>
            <w:fldChar w:fldCharType="end"/>
          </w:r>
        </w:p>
        <w:p>
          <w:pPr>
            <w:pStyle w:val="14"/>
            <w:tabs>
              <w:tab w:val="right" w:leader="dot" w:pos="8306"/>
            </w:tabs>
            <w:spacing w:line="0" w:lineRule="atLeast"/>
            <w:ind w:left="420"/>
          </w:pPr>
          <w:r>
            <w:fldChar w:fldCharType="begin"/>
          </w:r>
          <w:r>
            <w:instrText xml:space="preserve"> HYPERLINK \l "_Toc8835_WPSOffice_Level2" </w:instrText>
          </w:r>
          <w:r>
            <w:fldChar w:fldCharType="separate"/>
          </w:r>
          <w:r>
            <w:rPr>
              <w:rFonts w:ascii="Times New Roman" w:hAnsi="Times New Roman" w:eastAsia="宋体" w:cs="Times New Roman"/>
            </w:rPr>
            <w:t>8.1 环保管理机构</w:t>
          </w:r>
          <w:r>
            <w:tab/>
          </w:r>
          <w:bookmarkStart w:id="42" w:name="_Toc8835_WPSOffice_Level2Page"/>
          <w:r>
            <w:t>20</w:t>
          </w:r>
          <w:bookmarkEnd w:id="42"/>
          <w:r>
            <w:fldChar w:fldCharType="end"/>
          </w:r>
        </w:p>
        <w:p>
          <w:pPr>
            <w:pStyle w:val="14"/>
            <w:tabs>
              <w:tab w:val="right" w:leader="dot" w:pos="8306"/>
            </w:tabs>
            <w:spacing w:line="0" w:lineRule="atLeast"/>
            <w:ind w:left="420"/>
          </w:pPr>
          <w:r>
            <w:fldChar w:fldCharType="begin"/>
          </w:r>
          <w:r>
            <w:instrText xml:space="preserve"> HYPERLINK \l "_Toc24742_WPSOffice_Level2" </w:instrText>
          </w:r>
          <w:r>
            <w:fldChar w:fldCharType="separate"/>
          </w:r>
          <w:r>
            <w:rPr>
              <w:rFonts w:ascii="Times New Roman" w:hAnsi="Times New Roman" w:eastAsia="宋体" w:cs="Times New Roman"/>
            </w:rPr>
            <w:t>8.2 施工期环境管理</w:t>
          </w:r>
          <w:r>
            <w:tab/>
          </w:r>
          <w:bookmarkStart w:id="43" w:name="_Toc24742_WPSOffice_Level2Page"/>
          <w:r>
            <w:t>20</w:t>
          </w:r>
          <w:bookmarkEnd w:id="43"/>
          <w:r>
            <w:fldChar w:fldCharType="end"/>
          </w:r>
        </w:p>
        <w:p>
          <w:pPr>
            <w:pStyle w:val="14"/>
            <w:tabs>
              <w:tab w:val="right" w:leader="dot" w:pos="8306"/>
            </w:tabs>
            <w:spacing w:line="0" w:lineRule="atLeast"/>
            <w:ind w:left="420"/>
          </w:pPr>
          <w:r>
            <w:fldChar w:fldCharType="begin"/>
          </w:r>
          <w:r>
            <w:instrText xml:space="preserve"> HYPERLINK \l "_Toc8917_WPSOffice_Level2" </w:instrText>
          </w:r>
          <w:r>
            <w:fldChar w:fldCharType="separate"/>
          </w:r>
          <w:sdt>
            <w:sdtPr>
              <w:rPr>
                <w:kern w:val="2"/>
                <w:sz w:val="21"/>
                <w:szCs w:val="22"/>
              </w:rPr>
              <w:id w:val="147460134"/>
              <w:placeholder>
                <w:docPart w:val="{1c542154-268e-4167-bff1-8334e5c90131}"/>
              </w:placeholder>
            </w:sdtPr>
            <w:sdtEndPr>
              <w:rPr>
                <w:kern w:val="2"/>
                <w:sz w:val="21"/>
                <w:szCs w:val="22"/>
              </w:rPr>
            </w:sdtEndPr>
            <w:sdtContent>
              <w:r>
                <w:rPr>
                  <w:rFonts w:ascii="Times New Roman" w:hAnsi="Times New Roman" w:eastAsia="宋体" w:cs="Times New Roman"/>
                </w:rPr>
                <w:t>8.3 运行期环境管理</w:t>
              </w:r>
            </w:sdtContent>
          </w:sdt>
          <w:r>
            <w:tab/>
          </w:r>
          <w:bookmarkStart w:id="44" w:name="_Toc8917_WPSOffice_Level2Page"/>
          <w:r>
            <w:t>20</w:t>
          </w:r>
          <w:bookmarkEnd w:id="44"/>
          <w:r>
            <w:fldChar w:fldCharType="end"/>
          </w:r>
        </w:p>
        <w:p>
          <w:pPr>
            <w:pStyle w:val="14"/>
            <w:tabs>
              <w:tab w:val="right" w:leader="dot" w:pos="8306"/>
            </w:tabs>
            <w:spacing w:line="0" w:lineRule="atLeast"/>
            <w:ind w:left="420"/>
          </w:pPr>
          <w:r>
            <w:fldChar w:fldCharType="begin"/>
          </w:r>
          <w:r>
            <w:instrText xml:space="preserve"> HYPERLINK \l "_Toc6002_WPSOffice_Level2" </w:instrText>
          </w:r>
          <w:r>
            <w:fldChar w:fldCharType="separate"/>
          </w:r>
          <w:r>
            <w:rPr>
              <w:rFonts w:ascii="Times New Roman" w:hAnsi="Times New Roman" w:eastAsia="宋体" w:cs="Times New Roman"/>
            </w:rPr>
            <w:t>8.4 社会环境影响情况调查</w:t>
          </w:r>
          <w:r>
            <w:tab/>
          </w:r>
          <w:bookmarkStart w:id="45" w:name="_Toc6002_WPSOffice_Level2Page"/>
          <w:r>
            <w:t>20</w:t>
          </w:r>
          <w:bookmarkEnd w:id="45"/>
          <w:r>
            <w:fldChar w:fldCharType="end"/>
          </w:r>
        </w:p>
        <w:p>
          <w:pPr>
            <w:pStyle w:val="14"/>
            <w:tabs>
              <w:tab w:val="right" w:leader="dot" w:pos="8306"/>
            </w:tabs>
            <w:spacing w:line="0" w:lineRule="atLeast"/>
            <w:ind w:left="420"/>
          </w:pPr>
          <w:r>
            <w:fldChar w:fldCharType="begin"/>
          </w:r>
          <w:r>
            <w:instrText xml:space="preserve"> HYPERLINK \l "_Toc1950_WPSOffice_Level2" </w:instrText>
          </w:r>
          <w:r>
            <w:fldChar w:fldCharType="separate"/>
          </w:r>
          <w:r>
            <w:rPr>
              <w:rFonts w:ascii="Times New Roman" w:hAnsi="Times New Roman" w:eastAsia="宋体" w:cs="Times New Roman"/>
            </w:rPr>
            <w:t>8.5 环境管理情况分析</w:t>
          </w:r>
          <w:r>
            <w:tab/>
          </w:r>
          <w:bookmarkStart w:id="46" w:name="_Toc1950_WPSOffice_Level2Page"/>
          <w:r>
            <w:t>20</w:t>
          </w:r>
          <w:bookmarkEnd w:id="46"/>
          <w:r>
            <w:fldChar w:fldCharType="end"/>
          </w:r>
        </w:p>
        <w:p>
          <w:pPr>
            <w:pStyle w:val="14"/>
            <w:tabs>
              <w:tab w:val="right" w:leader="dot" w:pos="8306"/>
            </w:tabs>
            <w:spacing w:line="0" w:lineRule="atLeast"/>
            <w:ind w:left="420"/>
          </w:pPr>
          <w:r>
            <w:fldChar w:fldCharType="begin"/>
          </w:r>
          <w:r>
            <w:instrText xml:space="preserve"> HYPERLINK \l "_Toc9603_WPSOffice_Level2" </w:instrText>
          </w:r>
          <w:r>
            <w:fldChar w:fldCharType="separate"/>
          </w:r>
          <w:r>
            <w:rPr>
              <w:rFonts w:ascii="Times New Roman" w:hAnsi="Times New Roman" w:eastAsia="宋体" w:cs="Times New Roman"/>
            </w:rPr>
            <w:t>9.1 验收主要结论</w:t>
          </w:r>
          <w:r>
            <w:tab/>
          </w:r>
          <w:bookmarkStart w:id="47" w:name="_Toc9603_WPSOffice_Level2Page"/>
          <w:r>
            <w:t>21</w:t>
          </w:r>
          <w:bookmarkEnd w:id="47"/>
          <w:r>
            <w:fldChar w:fldCharType="end"/>
          </w:r>
        </w:p>
        <w:p>
          <w:pPr>
            <w:pStyle w:val="14"/>
            <w:tabs>
              <w:tab w:val="right" w:leader="dot" w:pos="8306"/>
            </w:tabs>
            <w:spacing w:line="0" w:lineRule="atLeast"/>
            <w:ind w:left="420"/>
          </w:pPr>
          <w:r>
            <w:fldChar w:fldCharType="begin"/>
          </w:r>
          <w:r>
            <w:instrText xml:space="preserve"> HYPERLINK \l "_Toc22216_WPSOffice_Level2" </w:instrText>
          </w:r>
          <w:r>
            <w:fldChar w:fldCharType="separate"/>
          </w:r>
          <w:r>
            <w:rPr>
              <w:rFonts w:ascii="Times New Roman" w:hAnsi="Times New Roman" w:eastAsia="宋体" w:cs="Times New Roman"/>
            </w:rPr>
            <w:t>9.2 建议</w:t>
          </w:r>
          <w:r>
            <w:tab/>
          </w:r>
          <w:bookmarkStart w:id="48" w:name="_Toc22216_WPSOffice_Level2Page"/>
          <w:r>
            <w:t>21</w:t>
          </w:r>
          <w:bookmarkEnd w:id="48"/>
          <w:r>
            <w:fldChar w:fldCharType="end"/>
          </w:r>
        </w:p>
      </w:sdtContent>
    </w:sdt>
    <w:bookmarkEnd w:id="2"/>
    <w:p>
      <w:pPr>
        <w:spacing w:line="320" w:lineRule="exact"/>
        <w:jc w:val="left"/>
        <w:rPr>
          <w:rFonts w:ascii="Times New Roman" w:hAnsi="Times New Roman" w:eastAsia="宋体" w:cs="Times New Roman"/>
          <w:b/>
          <w:sz w:val="30"/>
          <w:szCs w:val="30"/>
        </w:rPr>
      </w:pPr>
      <w:bookmarkStart w:id="49" w:name="_Toc1657_WPSOffice_Level1"/>
      <w:r>
        <w:rPr>
          <w:rFonts w:ascii="Times New Roman" w:hAnsi="Times New Roman" w:eastAsia="宋体" w:cs="Times New Roman"/>
          <w:b/>
          <w:sz w:val="30"/>
          <w:szCs w:val="30"/>
        </w:rPr>
        <w:t>附图</w:t>
      </w:r>
      <w:bookmarkEnd w:id="49"/>
    </w:p>
    <w:p>
      <w:pPr>
        <w:spacing w:line="320" w:lineRule="exact"/>
        <w:rPr>
          <w:rFonts w:ascii="Times New Roman" w:hAnsi="Times New Roman" w:eastAsia="宋体" w:cs="Times New Roman"/>
          <w:sz w:val="24"/>
          <w:szCs w:val="24"/>
        </w:rPr>
      </w:pPr>
      <w:bookmarkStart w:id="50" w:name="_Toc23969_WPSOffice_Level1"/>
      <w:r>
        <w:rPr>
          <w:rFonts w:ascii="Times New Roman" w:hAnsi="Times New Roman" w:eastAsia="宋体" w:cs="Times New Roman"/>
          <w:sz w:val="24"/>
          <w:szCs w:val="24"/>
        </w:rPr>
        <w:t>1、地理位置图；</w:t>
      </w:r>
      <w:bookmarkEnd w:id="50"/>
    </w:p>
    <w:p>
      <w:pPr>
        <w:spacing w:line="320" w:lineRule="exact"/>
        <w:rPr>
          <w:rFonts w:ascii="Times New Roman" w:hAnsi="Times New Roman" w:eastAsia="宋体" w:cs="Times New Roman"/>
          <w:sz w:val="24"/>
          <w:szCs w:val="24"/>
        </w:rPr>
      </w:pPr>
      <w:bookmarkStart w:id="51" w:name="_Toc24507_WPSOffice_Level1"/>
      <w:r>
        <w:rPr>
          <w:rFonts w:ascii="Times New Roman" w:hAnsi="Times New Roman" w:eastAsia="宋体" w:cs="Times New Roman"/>
          <w:sz w:val="24"/>
          <w:szCs w:val="24"/>
        </w:rPr>
        <w:t>2、周边关系图；</w:t>
      </w:r>
      <w:bookmarkEnd w:id="51"/>
    </w:p>
    <w:p>
      <w:pPr>
        <w:spacing w:line="320" w:lineRule="exact"/>
        <w:rPr>
          <w:rFonts w:ascii="Times New Roman" w:hAnsi="Times New Roman" w:eastAsia="宋体" w:cs="Times New Roman"/>
          <w:sz w:val="24"/>
          <w:szCs w:val="24"/>
        </w:rPr>
      </w:pPr>
      <w:bookmarkStart w:id="52" w:name="_Toc30921_WPSOffice_Level1"/>
      <w:r>
        <w:rPr>
          <w:rFonts w:ascii="Times New Roman" w:hAnsi="Times New Roman" w:eastAsia="宋体" w:cs="Times New Roman"/>
          <w:sz w:val="24"/>
          <w:szCs w:val="24"/>
        </w:rPr>
        <w:t>3、平面布置图。</w:t>
      </w:r>
      <w:bookmarkEnd w:id="52"/>
    </w:p>
    <w:p>
      <w:pPr>
        <w:spacing w:line="320" w:lineRule="exact"/>
        <w:jc w:val="left"/>
        <w:rPr>
          <w:rFonts w:ascii="Times New Roman" w:hAnsi="Times New Roman" w:eastAsia="宋体" w:cs="Times New Roman"/>
          <w:b/>
          <w:sz w:val="30"/>
          <w:szCs w:val="30"/>
        </w:rPr>
      </w:pPr>
      <w:bookmarkStart w:id="53" w:name="_Toc28287_WPSOffice_Level1"/>
      <w:r>
        <w:rPr>
          <w:rFonts w:ascii="Times New Roman" w:hAnsi="Times New Roman" w:eastAsia="宋体" w:cs="Times New Roman"/>
          <w:b/>
          <w:sz w:val="30"/>
          <w:szCs w:val="30"/>
        </w:rPr>
        <w:t>附件</w:t>
      </w:r>
      <w:bookmarkEnd w:id="53"/>
    </w:p>
    <w:p>
      <w:pPr>
        <w:spacing w:line="320" w:lineRule="exact"/>
        <w:rPr>
          <w:rFonts w:ascii="Times New Roman" w:hAnsi="Times New Roman" w:eastAsia="宋体" w:cs="Times New Roman"/>
          <w:sz w:val="24"/>
          <w:szCs w:val="24"/>
        </w:rPr>
      </w:pPr>
      <w:bookmarkStart w:id="54" w:name="_Toc11760_WPSOffice_Level1"/>
      <w:r>
        <w:rPr>
          <w:rFonts w:ascii="Times New Roman" w:hAnsi="Times New Roman" w:eastAsia="宋体" w:cs="Times New Roman"/>
          <w:sz w:val="24"/>
          <w:szCs w:val="24"/>
        </w:rPr>
        <w:t>1、营业执照；</w:t>
      </w:r>
      <w:bookmarkEnd w:id="54"/>
    </w:p>
    <w:p>
      <w:pPr>
        <w:spacing w:line="320" w:lineRule="exact"/>
        <w:rPr>
          <w:rFonts w:ascii="Times New Roman" w:hAnsi="Times New Roman" w:eastAsia="宋体" w:cs="Times New Roman"/>
          <w:sz w:val="24"/>
          <w:szCs w:val="24"/>
        </w:rPr>
      </w:pPr>
      <w:bookmarkStart w:id="55" w:name="_Toc9300_WPSOffice_Level1"/>
      <w:r>
        <w:rPr>
          <w:rFonts w:ascii="Times New Roman" w:hAnsi="Times New Roman" w:eastAsia="宋体" w:cs="Times New Roman"/>
          <w:sz w:val="24"/>
          <w:szCs w:val="24"/>
        </w:rPr>
        <w:t>2、环评审批意见</w:t>
      </w:r>
      <w:bookmarkEnd w:id="55"/>
    </w:p>
    <w:p>
      <w:pPr>
        <w:spacing w:line="320" w:lineRule="exact"/>
        <w:rPr>
          <w:rFonts w:ascii="Times New Roman" w:hAnsi="Times New Roman" w:eastAsia="宋体" w:cs="Times New Roman"/>
          <w:sz w:val="24"/>
          <w:szCs w:val="24"/>
        </w:rPr>
        <w:sectPr>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bookmarkStart w:id="56" w:name="_Toc8113_WPSOffice_Level1"/>
      <w:r>
        <w:rPr>
          <w:rFonts w:ascii="Times New Roman" w:hAnsi="Times New Roman" w:eastAsia="宋体" w:cs="Times New Roman"/>
          <w:sz w:val="24"/>
          <w:szCs w:val="24"/>
        </w:rPr>
        <w:t>3、监测报告</w:t>
      </w:r>
      <w:bookmarkEnd w:id="56"/>
    </w:p>
    <w:p>
      <w:pPr>
        <w:spacing w:line="320" w:lineRule="exact"/>
        <w:rPr>
          <w:rFonts w:ascii="Times New Roman" w:hAnsi="Times New Roman" w:eastAsia="宋体" w:cs="Times New Roman"/>
          <w:sz w:val="24"/>
          <w:szCs w:val="24"/>
        </w:rPr>
      </w:pPr>
    </w:p>
    <w:p>
      <w:pPr>
        <w:pStyle w:val="5"/>
        <w:jc w:val="center"/>
        <w:rPr>
          <w:rFonts w:ascii="Times New Roman" w:hAnsi="Times New Roman" w:cs="Times New Roman"/>
        </w:rPr>
      </w:pPr>
      <w:bookmarkStart w:id="57" w:name="_Toc23533_WPSOffice_Level1"/>
      <w:r>
        <w:rPr>
          <w:rFonts w:ascii="Times New Roman" w:hAnsi="Times New Roman" w:cs="Times New Roman"/>
        </w:rPr>
        <w:t>前  言</w:t>
      </w:r>
      <w:bookmarkEnd w:id="57"/>
    </w:p>
    <w:p>
      <w:pPr>
        <w:adjustRightInd w:val="0"/>
        <w:snapToGrid w:val="0"/>
        <w:spacing w:line="360" w:lineRule="auto"/>
        <w:ind w:firstLine="480" w:firstLineChars="200"/>
        <w:rPr>
          <w:rFonts w:ascii="Times New Roman" w:hAnsi="宋体" w:eastAsia="宋体" w:cs="Times New Roman"/>
          <w:kern w:val="0"/>
          <w:sz w:val="24"/>
          <w:szCs w:val="20"/>
          <w:u w:color="000000"/>
        </w:rPr>
      </w:pPr>
      <w:r>
        <w:rPr>
          <w:rFonts w:hint="eastAsia" w:ascii="Times New Roman" w:hAnsi="宋体" w:eastAsia="宋体" w:cs="Times New Roman"/>
          <w:kern w:val="0"/>
          <w:sz w:val="24"/>
          <w:szCs w:val="20"/>
          <w:u w:color="000000"/>
        </w:rPr>
        <w:t>为增强行业竞争力及相应国家环保号召，</w:t>
      </w:r>
      <w:r>
        <w:rPr>
          <w:rFonts w:hint="eastAsia" w:ascii="Times New Roman" w:hAnsi="宋体" w:eastAsia="宋体" w:cs="Times New Roman"/>
          <w:kern w:val="0"/>
          <w:sz w:val="24"/>
          <w:szCs w:val="20"/>
          <w:u w:color="000000"/>
          <w:lang w:eastAsia="zh-CN"/>
        </w:rPr>
        <w:t>沧县东达五金制品加工厂</w:t>
      </w:r>
      <w:r>
        <w:rPr>
          <w:rFonts w:hint="eastAsia" w:ascii="Times New Roman" w:hAnsi="宋体" w:eastAsia="宋体" w:cs="Times New Roman"/>
          <w:kern w:val="0"/>
          <w:sz w:val="24"/>
          <w:szCs w:val="20"/>
          <w:u w:color="000000"/>
        </w:rPr>
        <w:t>拟投资</w:t>
      </w:r>
      <w:r>
        <w:rPr>
          <w:rFonts w:hint="eastAsia" w:ascii="Times New Roman" w:hAnsi="宋体" w:eastAsia="宋体" w:cs="Times New Roman"/>
          <w:kern w:val="0"/>
          <w:sz w:val="24"/>
          <w:szCs w:val="20"/>
          <w:u w:color="000000"/>
          <w:lang w:val="en-US" w:eastAsia="zh-CN"/>
        </w:rPr>
        <w:t>380</w:t>
      </w:r>
      <w:r>
        <w:rPr>
          <w:rFonts w:hint="eastAsia" w:ascii="Times New Roman" w:hAnsi="宋体" w:eastAsia="宋体" w:cs="Times New Roman"/>
          <w:kern w:val="0"/>
          <w:sz w:val="24"/>
          <w:szCs w:val="20"/>
          <w:u w:color="000000"/>
        </w:rPr>
        <w:t>万元建设</w:t>
      </w:r>
      <w:r>
        <w:rPr>
          <w:rFonts w:hint="eastAsia" w:ascii="Times New Roman" w:hAnsi="宋体" w:eastAsia="宋体" w:cs="Times New Roman"/>
          <w:kern w:val="0"/>
          <w:sz w:val="24"/>
          <w:szCs w:val="20"/>
          <w:u w:color="000000"/>
          <w:lang w:eastAsia="zh-CN"/>
        </w:rPr>
        <w:t>年产100吨刀片刺绳卡扣及各种配件项目</w:t>
      </w:r>
      <w:r>
        <w:rPr>
          <w:rFonts w:hint="eastAsia" w:ascii="Times New Roman" w:hAnsi="宋体" w:eastAsia="宋体" w:cs="Times New Roman"/>
          <w:kern w:val="0"/>
          <w:sz w:val="24"/>
          <w:szCs w:val="20"/>
          <w:u w:color="000000"/>
        </w:rPr>
        <w:t>。</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根据《中华人民共和国环境保护法》</w:t>
      </w:r>
      <w:r>
        <w:rPr>
          <w:rFonts w:hint="eastAsia" w:ascii="Times New Roman" w:hAnsi="Times New Roman" w:eastAsia="宋体" w:cs="Times New Roman"/>
          <w:sz w:val="24"/>
          <w:szCs w:val="24"/>
        </w:rPr>
        <w:t>、</w:t>
      </w:r>
      <w:r>
        <w:rPr>
          <w:rFonts w:ascii="Times New Roman" w:hAnsi="Times New Roman" w:eastAsia="宋体" w:cs="Times New Roman"/>
          <w:sz w:val="24"/>
          <w:szCs w:val="24"/>
        </w:rPr>
        <w:t>《建设项目环境保护管理条例》</w:t>
      </w:r>
      <w:r>
        <w:rPr>
          <w:rFonts w:hint="eastAsia" w:ascii="Times New Roman" w:hAnsi="宋体" w:eastAsia="宋体" w:cs="Times New Roman"/>
          <w:kern w:val="0"/>
          <w:sz w:val="24"/>
          <w:szCs w:val="20"/>
          <w:u w:color="000000"/>
        </w:rPr>
        <w:t>以及《建设项目环境影响评价分类管理名录》</w:t>
      </w:r>
      <w:r>
        <w:rPr>
          <w:rFonts w:ascii="Times New Roman" w:hAnsi="Times New Roman" w:eastAsia="宋体" w:cs="Times New Roman"/>
          <w:sz w:val="24"/>
          <w:szCs w:val="24"/>
        </w:rPr>
        <w:t>等有关规定，按照环境保护设施与主体工程同时设计、同时施工、同时投入使用的“三同时”制度要求，建设单位需查清工程在施工过程中对环境影响报告表和工程设计文件所提出的环境保护措施和要求的落实情况，调查分析工程在建设和试运行期间对环境造成的实际影响及可能存在的潜在影响，是否已采取有效的环境保护预防、减缓和补救措施，全面做好环境保护工作，为工程竣工环境保护验收提供依据。</w:t>
      </w:r>
    </w:p>
    <w:p>
      <w:pPr>
        <w:adjustRightInd w:val="0"/>
        <w:snapToGrid w:val="0"/>
        <w:spacing w:line="360" w:lineRule="auto"/>
        <w:ind w:firstLine="480" w:firstLineChars="200"/>
        <w:rPr>
          <w:rFonts w:ascii="Times New Roman" w:hAnsi="Times New Roman" w:eastAsia="宋体" w:cs="Times New Roman"/>
          <w:sz w:val="24"/>
          <w:szCs w:val="24"/>
        </w:rPr>
        <w:sectPr>
          <w:footerReference r:id="rId7"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r>
        <w:rPr>
          <w:rFonts w:ascii="Times New Roman" w:hAnsi="Times New Roman" w:eastAsia="宋体" w:cs="Times New Roman"/>
          <w:sz w:val="24"/>
          <w:szCs w:val="24"/>
        </w:rPr>
        <w:t>我公司参照环保部《建设项目竣工环境保护验收暂行办法》（征求意见稿）和河北省环境保护厅《建设项目环境影响评价文件审批及建设单位自主开展环境保护设施验收工作指引（试行）》（征求意见稿）有关要求，开展相关验收调查工作，同时</w:t>
      </w:r>
      <w:r>
        <w:rPr>
          <w:rFonts w:hint="eastAsia" w:ascii="Times New Roman" w:hAnsi="Times New Roman" w:eastAsia="宋体" w:cs="Times New Roman"/>
          <w:sz w:val="24"/>
          <w:szCs w:val="24"/>
          <w:lang w:eastAsia="zh-CN"/>
        </w:rPr>
        <w:t>沧县东达五金制品加工厂</w:t>
      </w:r>
      <w:r>
        <w:rPr>
          <w:rFonts w:ascii="Times New Roman" w:hAnsi="Times New Roman" w:eastAsia="宋体" w:cs="Times New Roman"/>
          <w:sz w:val="24"/>
          <w:szCs w:val="24"/>
        </w:rPr>
        <w:t>委托</w:t>
      </w:r>
      <w:r>
        <w:rPr>
          <w:rFonts w:hint="eastAsia" w:ascii="宋体" w:hAnsi="宋体" w:eastAsia="宋体" w:cs="宋体"/>
          <w:color w:val="auto"/>
          <w:sz w:val="24"/>
          <w:szCs w:val="24"/>
        </w:rPr>
        <w:t>河北海蓝环境检测服务有限公司</w:t>
      </w:r>
      <w:r>
        <w:rPr>
          <w:rFonts w:hint="eastAsia" w:ascii="Times New Roman" w:hAnsi="宋体" w:eastAsia="宋体" w:cs="Times New Roman"/>
          <w:sz w:val="24"/>
          <w:szCs w:val="24"/>
        </w:rPr>
        <w:t>2019年</w:t>
      </w:r>
      <w:r>
        <w:rPr>
          <w:rFonts w:hint="eastAsia" w:ascii="Times New Roman" w:hAnsi="宋体" w:eastAsia="宋体" w:cs="Times New Roman"/>
          <w:sz w:val="24"/>
          <w:szCs w:val="24"/>
          <w:lang w:val="en-US" w:eastAsia="zh-CN"/>
        </w:rPr>
        <w:t>10</w:t>
      </w:r>
      <w:r>
        <w:rPr>
          <w:rFonts w:hint="eastAsia" w:ascii="Times New Roman" w:hAnsi="宋体" w:eastAsia="宋体" w:cs="Times New Roman"/>
          <w:sz w:val="24"/>
          <w:szCs w:val="24"/>
        </w:rPr>
        <w:t>月</w:t>
      </w:r>
      <w:r>
        <w:rPr>
          <w:rFonts w:hint="eastAsia" w:ascii="Times New Roman" w:hAnsi="宋体" w:eastAsia="宋体" w:cs="Times New Roman"/>
          <w:sz w:val="24"/>
          <w:szCs w:val="24"/>
          <w:lang w:val="en-US" w:eastAsia="zh-CN"/>
        </w:rPr>
        <w:t>27</w:t>
      </w:r>
      <w:r>
        <w:rPr>
          <w:rFonts w:hint="eastAsia" w:ascii="Times New Roman" w:hAnsi="宋体" w:eastAsia="宋体" w:cs="Times New Roman"/>
          <w:sz w:val="24"/>
          <w:szCs w:val="24"/>
        </w:rPr>
        <w:t>日至</w:t>
      </w:r>
      <w:r>
        <w:rPr>
          <w:rFonts w:hint="eastAsia" w:ascii="Times New Roman" w:hAnsi="宋体" w:eastAsia="宋体" w:cs="Times New Roman"/>
          <w:sz w:val="24"/>
          <w:szCs w:val="24"/>
          <w:lang w:val="en-US" w:eastAsia="zh-CN"/>
        </w:rPr>
        <w:t>10</w:t>
      </w:r>
      <w:r>
        <w:rPr>
          <w:rFonts w:hint="eastAsia" w:ascii="Times New Roman" w:hAnsi="宋体" w:eastAsia="宋体" w:cs="Times New Roman"/>
          <w:sz w:val="24"/>
          <w:szCs w:val="24"/>
        </w:rPr>
        <w:t>月</w:t>
      </w:r>
      <w:r>
        <w:rPr>
          <w:rFonts w:hint="eastAsia" w:ascii="Times New Roman" w:hAnsi="宋体" w:eastAsia="宋体" w:cs="Times New Roman"/>
          <w:sz w:val="24"/>
          <w:szCs w:val="24"/>
          <w:lang w:val="en-US" w:eastAsia="zh-CN"/>
        </w:rPr>
        <w:t>28</w:t>
      </w:r>
      <w:r>
        <w:rPr>
          <w:rFonts w:hint="eastAsia" w:ascii="Times New Roman" w:hAnsi="宋体" w:eastAsia="宋体" w:cs="Times New Roman"/>
          <w:sz w:val="24"/>
          <w:szCs w:val="24"/>
        </w:rPr>
        <w:t>日对该项目进行了验收检测并出具了检测报告</w:t>
      </w:r>
      <w:r>
        <w:rPr>
          <w:rFonts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val="en-US" w:eastAsia="zh-CN"/>
        </w:rPr>
        <w:t>b报告编号为</w:t>
      </w:r>
      <w:r>
        <w:rPr>
          <w:rFonts w:hint="eastAsia" w:ascii="宋体" w:hAnsi="宋体" w:eastAsia="宋体" w:cs="宋体"/>
          <w:color w:val="auto"/>
          <w:sz w:val="24"/>
          <w:szCs w:val="24"/>
        </w:rPr>
        <w:t>海蓝（检）字YS</w:t>
      </w:r>
      <w:r>
        <w:rPr>
          <w:rFonts w:hint="eastAsia" w:ascii="宋体" w:hAnsi="宋体" w:eastAsia="宋体" w:cs="宋体"/>
          <w:color w:val="auto"/>
          <w:sz w:val="24"/>
          <w:szCs w:val="24"/>
          <w:lang w:eastAsia="zh-CN"/>
        </w:rPr>
        <w:t>201910-0964</w:t>
      </w:r>
      <w:r>
        <w:rPr>
          <w:rFonts w:hint="eastAsia" w:ascii="宋体" w:hAnsi="宋体" w:eastAsia="宋体" w:cs="宋体"/>
          <w:color w:val="auto"/>
          <w:sz w:val="24"/>
          <w:szCs w:val="24"/>
        </w:rPr>
        <w:t>号</w:t>
      </w:r>
      <w:r>
        <w:rPr>
          <w:rFonts w:ascii="Times New Roman" w:hAnsi="Times New Roman" w:eastAsia="宋体" w:cs="Times New Roman"/>
          <w:color w:val="000000" w:themeColor="text1"/>
          <w:sz w:val="24"/>
          <w:szCs w:val="24"/>
          <w14:textFill>
            <w14:solidFill>
              <w14:schemeClr w14:val="tx1"/>
            </w14:solidFill>
          </w14:textFill>
        </w:rPr>
        <w:t>。我公司根据现场调查情况和检测报告按照《建设项目竣工环境保护验收技术指南污染影响类》编制完成竣工环境保护验收报告</w:t>
      </w:r>
      <w:r>
        <w:rPr>
          <w:rFonts w:ascii="Times New Roman" w:hAnsi="Times New Roman" w:eastAsia="宋体" w:cs="Times New Roman"/>
          <w:color w:val="auto"/>
          <w:sz w:val="24"/>
          <w:szCs w:val="24"/>
        </w:rPr>
        <w:t>。于2019年</w:t>
      </w:r>
      <w:r>
        <w:rPr>
          <w:rFonts w:hint="eastAsia" w:ascii="Times New Roman" w:hAnsi="Times New Roman" w:eastAsia="宋体" w:cs="Times New Roman"/>
          <w:color w:val="auto"/>
          <w:sz w:val="24"/>
          <w:szCs w:val="24"/>
          <w:lang w:val="en-US" w:eastAsia="zh-CN"/>
        </w:rPr>
        <w:t>11</w:t>
      </w:r>
      <w:r>
        <w:rPr>
          <w:rFonts w:ascii="Times New Roman" w:hAnsi="Times New Roman" w:eastAsia="宋体" w:cs="Times New Roman"/>
          <w:color w:val="auto"/>
          <w:sz w:val="24"/>
          <w:szCs w:val="24"/>
        </w:rPr>
        <w:t>月</w:t>
      </w:r>
      <w:r>
        <w:rPr>
          <w:rFonts w:hint="eastAsia" w:ascii="Times New Roman" w:hAnsi="Times New Roman" w:eastAsia="宋体" w:cs="Times New Roman"/>
          <w:color w:val="auto"/>
          <w:sz w:val="24"/>
          <w:szCs w:val="24"/>
          <w:lang w:val="en-US" w:eastAsia="zh-CN"/>
        </w:rPr>
        <w:t>3</w:t>
      </w:r>
      <w:r>
        <w:rPr>
          <w:rFonts w:ascii="Times New Roman" w:hAnsi="Times New Roman" w:eastAsia="宋体" w:cs="Times New Roman"/>
          <w:color w:val="auto"/>
          <w:sz w:val="24"/>
          <w:szCs w:val="24"/>
        </w:rPr>
        <w:t>日，专</w:t>
      </w:r>
      <w:r>
        <w:rPr>
          <w:rFonts w:ascii="Times New Roman" w:hAnsi="Times New Roman" w:eastAsia="宋体" w:cs="Times New Roman"/>
          <w:sz w:val="24"/>
          <w:szCs w:val="24"/>
        </w:rPr>
        <w:t>家进行了入场验收，该项目通过了验收。</w:t>
      </w:r>
    </w:p>
    <w:p>
      <w:pPr>
        <w:pStyle w:val="5"/>
        <w:adjustRightInd w:val="0"/>
        <w:snapToGrid w:val="0"/>
        <w:spacing w:line="360" w:lineRule="auto"/>
        <w:rPr>
          <w:rFonts w:ascii="Times New Roman" w:hAnsi="Times New Roman" w:cs="Times New Roman"/>
        </w:rPr>
      </w:pPr>
      <w:bookmarkStart w:id="58" w:name="_Toc32369_WPSOffice_Level1"/>
      <w:r>
        <w:rPr>
          <w:rFonts w:ascii="Times New Roman" w:hAnsi="Times New Roman" w:cs="Times New Roman"/>
        </w:rPr>
        <w:t>1 验收编制依据</w:t>
      </w:r>
      <w:bookmarkEnd w:id="58"/>
    </w:p>
    <w:p>
      <w:pPr>
        <w:pStyle w:val="6"/>
        <w:adjustRightInd w:val="0"/>
        <w:snapToGrid w:val="0"/>
        <w:spacing w:line="360" w:lineRule="auto"/>
        <w:rPr>
          <w:rFonts w:ascii="Times New Roman" w:hAnsi="Times New Roman" w:cs="Times New Roman"/>
        </w:rPr>
      </w:pPr>
      <w:bookmarkStart w:id="59" w:name="_Toc23969_WPSOffice_Level2"/>
      <w:r>
        <w:rPr>
          <w:rFonts w:ascii="Times New Roman" w:hAnsi="Times New Roman" w:cs="Times New Roman"/>
        </w:rPr>
        <w:t>1.1 法律、法规</w:t>
      </w:r>
      <w:bookmarkEnd w:id="59"/>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（1）《中华人民共和国环境保护法》（2015年1月1日起施行）；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（2）《中华人民共和国环境影响评价法》（2016年9月1日起施行）；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（3）《中华人民共和国水污染防治法》（2018年1月1日起施行）；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（4）《中华人民共和国大气污染防治法》（2016年1月1日施行）；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（5）《中华人民共和国环境噪声污染防治法》（1997年3月1日起施行）；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（6）《中华人民共和国固体废物污染环境防治法》（2016年11月7日修正版）； </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（7）《建设项目环境保护管理条例》（2017年10月1日起施行）；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（8）《建设项目环境影响评价分类管理名录》（2017年9月1日起施行）；</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（9）《河北省环境保护条例》（2005年5月1日起施行）。</w:t>
      </w:r>
    </w:p>
    <w:p>
      <w:pPr>
        <w:pStyle w:val="6"/>
        <w:adjustRightInd w:val="0"/>
        <w:snapToGrid w:val="0"/>
        <w:spacing w:line="360" w:lineRule="auto"/>
        <w:rPr>
          <w:rFonts w:ascii="Times New Roman" w:hAnsi="Times New Roman" w:cs="Times New Roman"/>
        </w:rPr>
      </w:pPr>
      <w:bookmarkStart w:id="60" w:name="_Toc24507_WPSOffice_Level2"/>
      <w:r>
        <w:rPr>
          <w:rFonts w:ascii="Times New Roman" w:hAnsi="Times New Roman" w:cs="Times New Roman"/>
        </w:rPr>
        <w:t>1.2 验收技术规范</w:t>
      </w:r>
      <w:bookmarkEnd w:id="60"/>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（1）《建设项目环境影响评价技术导则  总纲》（HJ 2.1-2016）；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（2）《环境影响评价技术导则  大气环境》（HJ 2.2-2008）；</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（3）《环境影响评价技术导则  地面水环境》（HJ/T 2.3-93）；</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（4）《环境影响评价技术导则  地下水环境》（HJ 610-2016）；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（5）《环境影响评价技术导则  声环境》（HJ 2.4-2009）；</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（6）《环境影响评价技术导则  生态影响》（HJ 19-2011）；</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（7）《环境空气质量标准》（GB3095-2012）；</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（8）《声环境质量标准》（GB3096-2008）；</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（9）《地下水质量标准》（GB/14848-93）；</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（10）《地表水环境质量标准》（GB3838-2002）；</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（11）《污水综合排放标准》（GB8978-1996）；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（12）《大气污染物综合排放标准》（GB16297-1996）；</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（13）《饮食业油烟排放标准（试行）》（GB18483-2001）；</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（14）《工业企业厂界环境噪声排放标准》（GB12348-2008）；</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（15）《危险废物贮存污染控制标准》（GB18597-2001）及修改单；</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（16）《一般工业固体废物贮存、处置场污染控制标准》（GB18599-2001）及修改单；</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（17）</w:t>
      </w:r>
      <w:r>
        <w:rPr>
          <w:rFonts w:ascii="Times New Roman" w:hAnsi="Times New Roman" w:eastAsia="宋体" w:cs="Times New Roman"/>
          <w:kern w:val="0"/>
          <w:sz w:val="24"/>
          <w:szCs w:val="24"/>
        </w:rPr>
        <w:t>《关于规范建设单位自主开展建设项目竣工环境保护验收的通知（征求意见稿）》</w:t>
      </w:r>
      <w:r>
        <w:rPr>
          <w:rFonts w:ascii="Times New Roman" w:hAnsi="Times New Roman" w:eastAsia="宋体" w:cs="Times New Roman"/>
          <w:sz w:val="24"/>
          <w:szCs w:val="24"/>
        </w:rPr>
        <w:t>（环境保护部）；</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（18）《建设项目竣工环境保护验收技术指南 污染影响类》（环境保护部）；</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（19）《建设项目环境影响评价文件审批及建设单位自主开展环境保护设施验收工作指引（试行）》（征求意见稿）（河北省环境保护厅）。</w:t>
      </w:r>
    </w:p>
    <w:p>
      <w:pPr>
        <w:pStyle w:val="6"/>
        <w:adjustRightInd w:val="0"/>
        <w:snapToGrid w:val="0"/>
        <w:spacing w:line="360" w:lineRule="auto"/>
        <w:rPr>
          <w:rFonts w:ascii="Times New Roman" w:hAnsi="Times New Roman" w:cs="Times New Roman"/>
        </w:rPr>
      </w:pPr>
      <w:bookmarkStart w:id="61" w:name="_Toc30921_WPSOffice_Level2"/>
      <w:r>
        <w:rPr>
          <w:rFonts w:ascii="Times New Roman" w:hAnsi="Times New Roman" w:cs="Times New Roman"/>
        </w:rPr>
        <w:t>1.3 工程技术文件及批复文件</w:t>
      </w:r>
      <w:bookmarkEnd w:id="61"/>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（1）《</w:t>
      </w:r>
      <w:r>
        <w:rPr>
          <w:rFonts w:hint="eastAsia" w:ascii="Times New Roman" w:hAnsi="Times New Roman" w:eastAsia="宋体" w:cs="Times New Roman"/>
          <w:sz w:val="24"/>
          <w:szCs w:val="24"/>
          <w:lang w:eastAsia="zh-CN"/>
        </w:rPr>
        <w:t>年产100吨刀片刺绳卡扣及各种配件项目</w:t>
      </w:r>
      <w:r>
        <w:rPr>
          <w:rFonts w:hint="eastAsia" w:ascii="Times New Roman" w:hAnsi="Times New Roman" w:eastAsia="宋体" w:cs="Times New Roman"/>
          <w:sz w:val="24"/>
          <w:szCs w:val="24"/>
        </w:rPr>
        <w:t>报告表</w:t>
      </w:r>
      <w:r>
        <w:rPr>
          <w:rFonts w:ascii="Times New Roman" w:hAnsi="Times New Roman" w:eastAsia="宋体" w:cs="Times New Roman"/>
          <w:sz w:val="24"/>
          <w:szCs w:val="24"/>
        </w:rPr>
        <w:t>》（</w:t>
      </w:r>
      <w:r>
        <w:rPr>
          <w:rFonts w:hint="eastAsia" w:ascii="Times New Roman" w:hAnsi="Times New Roman" w:eastAsia="宋体" w:cs="Times New Roman"/>
          <w:sz w:val="24"/>
          <w:szCs w:val="24"/>
          <w:lang w:eastAsia="zh-CN"/>
        </w:rPr>
        <w:t>河北圣力安全与环境科技集团有限公司</w:t>
      </w:r>
      <w:r>
        <w:rPr>
          <w:rFonts w:ascii="Times New Roman" w:hAnsi="Times New Roman" w:eastAsia="宋体" w:cs="Times New Roman"/>
          <w:sz w:val="24"/>
          <w:szCs w:val="24"/>
        </w:rPr>
        <w:t>，201</w:t>
      </w:r>
      <w:r>
        <w:rPr>
          <w:rFonts w:hint="eastAsia" w:ascii="Times New Roman" w:hAnsi="Times New Roman" w:eastAsia="宋体" w:cs="Times New Roman"/>
          <w:sz w:val="24"/>
          <w:szCs w:val="24"/>
          <w:lang w:val="en-US" w:eastAsia="zh-CN"/>
        </w:rPr>
        <w:t>9</w:t>
      </w:r>
      <w:r>
        <w:rPr>
          <w:rFonts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7</w:t>
      </w:r>
      <w:r>
        <w:rPr>
          <w:rFonts w:ascii="Times New Roman" w:hAnsi="Times New Roman" w:eastAsia="宋体" w:cs="Times New Roman"/>
          <w:sz w:val="24"/>
          <w:szCs w:val="24"/>
        </w:rPr>
        <w:t>月）；</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color w:val="000000" w:themeColor="text1"/>
          <w:sz w:val="24"/>
          <w:szCs w:val="24"/>
          <w14:textFill>
            <w14:solidFill>
              <w14:schemeClr w14:val="tx1"/>
            </w14:solidFill>
          </w14:textFill>
        </w:rPr>
      </w:pPr>
      <w:r>
        <w:rPr>
          <w:rFonts w:ascii="Times New Roman" w:hAnsi="Times New Roman" w:eastAsia="宋体" w:cs="Times New Roman"/>
          <w:sz w:val="24"/>
          <w:szCs w:val="24"/>
        </w:rPr>
        <w:t>（2）</w:t>
      </w:r>
      <w:r>
        <w:rPr>
          <w:rFonts w:hint="eastAsia" w:ascii="Times New Roman" w:hAnsi="Times New Roman" w:eastAsia="宋体" w:cs="Times New Roman"/>
          <w:color w:val="000000" w:themeColor="text1"/>
          <w:sz w:val="24"/>
          <w:szCs w:val="24"/>
          <w14:textFill>
            <w14:solidFill>
              <w14:schemeClr w14:val="tx1"/>
            </w14:solidFill>
          </w14:textFill>
        </w:rPr>
        <w:t>沧</w:t>
      </w:r>
      <w:r>
        <w:rPr>
          <w:rFonts w:ascii="Times New Roman" w:hAnsi="Times New Roman" w:eastAsia="宋体" w:cs="Times New Roman"/>
          <w:color w:val="000000" w:themeColor="text1"/>
          <w:sz w:val="24"/>
          <w:szCs w:val="24"/>
          <w14:textFill>
            <w14:solidFill>
              <w14:schemeClr w14:val="tx1"/>
            </w14:solidFill>
          </w14:textFill>
        </w:rPr>
        <w:t>县环境保护局关于《</w:t>
      </w:r>
      <w:r>
        <w:rPr>
          <w:rFonts w:hint="eastAsia" w:ascii="Times New Roman" w:hAnsi="Times New Roman" w:eastAsia="宋体" w:cs="Times New Roman"/>
          <w:sz w:val="24"/>
          <w:szCs w:val="24"/>
          <w:lang w:eastAsia="zh-CN"/>
        </w:rPr>
        <w:t>年产100吨刀片刺绳卡扣及各种配件项目</w:t>
      </w:r>
      <w:r>
        <w:rPr>
          <w:rFonts w:hint="eastAsia" w:ascii="Times New Roman" w:hAnsi="Times New Roman" w:eastAsia="宋体" w:cs="Times New Roman"/>
          <w:color w:val="000000" w:themeColor="text1"/>
          <w:sz w:val="24"/>
          <w:szCs w:val="24"/>
          <w14:textFill>
            <w14:solidFill>
              <w14:schemeClr w14:val="tx1"/>
            </w14:solidFill>
          </w14:textFill>
        </w:rPr>
        <w:t>报告表</w:t>
      </w:r>
      <w:r>
        <w:rPr>
          <w:rFonts w:ascii="Times New Roman" w:hAnsi="Times New Roman" w:eastAsia="宋体" w:cs="Times New Roman"/>
          <w:color w:val="000000" w:themeColor="text1"/>
          <w:sz w:val="24"/>
          <w:szCs w:val="24"/>
          <w14:textFill>
            <w14:solidFill>
              <w14:schemeClr w14:val="tx1"/>
            </w14:solidFill>
          </w14:textFill>
        </w:rPr>
        <w:t>》的审批意见，</w:t>
      </w:r>
      <w:r>
        <w:rPr>
          <w:rFonts w:hint="eastAsia" w:ascii="Times New Roman" w:hAnsi="Times New Roman" w:eastAsia="宋体" w:cs="Times New Roman"/>
          <w:color w:val="000000" w:themeColor="text1"/>
          <w:sz w:val="24"/>
          <w:szCs w:val="24"/>
          <w:lang w:eastAsia="zh-CN"/>
          <w14:textFill>
            <w14:solidFill>
              <w14:schemeClr w14:val="tx1"/>
            </w14:solidFill>
          </w14:textFill>
        </w:rPr>
        <w:t>盐环表</w:t>
      </w:r>
      <w:r>
        <w:rPr>
          <w:rFonts w:ascii="Times New Roman" w:hAnsi="Times New Roman" w:eastAsia="宋体" w:cs="Times New Roman"/>
          <w:color w:val="000000" w:themeColor="text1"/>
          <w:sz w:val="24"/>
          <w:szCs w:val="24"/>
          <w14:textFill>
            <w14:solidFill>
              <w14:schemeClr w14:val="tx1"/>
            </w14:solidFill>
          </w14:textFill>
        </w:rPr>
        <w:t>【201</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9</w:t>
      </w:r>
      <w:r>
        <w:rPr>
          <w:rFonts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71</w:t>
      </w:r>
      <w:r>
        <w:rPr>
          <w:rFonts w:ascii="Times New Roman" w:hAnsi="Times New Roman" w:eastAsia="宋体" w:cs="Times New Roman"/>
          <w:color w:val="000000" w:themeColor="text1"/>
          <w:sz w:val="24"/>
          <w:szCs w:val="24"/>
          <w14:textFill>
            <w14:solidFill>
              <w14:schemeClr w14:val="tx1"/>
            </w14:solidFill>
          </w14:textFill>
        </w:rPr>
        <w:t>号；</w:t>
      </w:r>
    </w:p>
    <w:p>
      <w:pPr>
        <w:keepNext w:val="0"/>
        <w:keepLines w:val="0"/>
        <w:pageBreakBefore w:val="0"/>
        <w:widowControl w:val="0"/>
        <w:kinsoku/>
        <w:wordWrap/>
        <w:overflowPunct/>
        <w:topLinePunct w:val="0"/>
        <w:autoSpaceDE/>
        <w:autoSpaceDN/>
        <w:bidi w:val="0"/>
        <w:snapToGrid w:val="0"/>
        <w:spacing w:line="360" w:lineRule="auto"/>
        <w:ind w:firstLine="480" w:firstLineChars="200"/>
        <w:textAlignment w:val="auto"/>
        <w:rPr>
          <w:rFonts w:ascii="Times New Roman" w:hAnsi="Times New Roman" w:eastAsia="宋体" w:cs="Times New Roman"/>
          <w:color w:val="000000" w:themeColor="text1"/>
          <w:sz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（3）</w:t>
      </w:r>
      <w:r>
        <w:rPr>
          <w:rFonts w:hint="eastAsia" w:ascii="Times New Roman" w:hAnsi="Times New Roman" w:eastAsia="宋体" w:cs="Times New Roman"/>
          <w:sz w:val="24"/>
          <w:szCs w:val="24"/>
          <w:lang w:eastAsia="zh-CN"/>
        </w:rPr>
        <w:t>年产100吨刀片刺绳卡扣及各种配件项目</w:t>
      </w:r>
      <w:r>
        <w:rPr>
          <w:rFonts w:ascii="Times New Roman" w:hAnsi="Times New Roman" w:eastAsia="宋体" w:cs="Times New Roman"/>
          <w:color w:val="000000" w:themeColor="text1"/>
          <w:sz w:val="24"/>
          <w:szCs w:val="24"/>
          <w14:textFill>
            <w14:solidFill>
              <w14:schemeClr w14:val="tx1"/>
            </w14:solidFill>
          </w14:textFill>
        </w:rPr>
        <w:t>验收监测报告表（</w:t>
      </w:r>
      <w:r>
        <w:rPr>
          <w:rFonts w:hint="eastAsia" w:ascii="宋体" w:hAnsi="宋体" w:eastAsia="宋体" w:cs="宋体"/>
          <w:color w:val="auto"/>
          <w:sz w:val="24"/>
          <w:szCs w:val="24"/>
        </w:rPr>
        <w:t>海蓝（检）字YS</w:t>
      </w:r>
      <w:r>
        <w:rPr>
          <w:rFonts w:hint="eastAsia" w:ascii="宋体" w:hAnsi="宋体" w:eastAsia="宋体" w:cs="宋体"/>
          <w:color w:val="auto"/>
          <w:sz w:val="24"/>
          <w:szCs w:val="24"/>
          <w:lang w:eastAsia="zh-CN"/>
        </w:rPr>
        <w:t>201910-0964</w:t>
      </w:r>
      <w:r>
        <w:rPr>
          <w:rFonts w:hint="eastAsia" w:ascii="宋体" w:hAnsi="宋体" w:eastAsia="宋体" w:cs="宋体"/>
          <w:color w:val="auto"/>
          <w:sz w:val="24"/>
          <w:szCs w:val="24"/>
        </w:rPr>
        <w:t>号</w:t>
      </w:r>
      <w:r>
        <w:rPr>
          <w:rFonts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 xml:space="preserve">        </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ascii="Times New Roman" w:hAnsi="Times New Roman" w:eastAsia="宋体" w:cs="Times New Roman"/>
          <w:color w:val="000000" w:themeColor="text1"/>
          <w:sz w:val="24"/>
          <w:szCs w:val="24"/>
          <w14:textFill>
            <w14:solidFill>
              <w14:schemeClr w14:val="tx1"/>
            </w14:solidFill>
          </w14:textFill>
        </w:rPr>
        <w:t>（4）</w:t>
      </w:r>
      <w:r>
        <w:rPr>
          <w:rFonts w:hint="eastAsia" w:ascii="Times New Roman" w:hAnsi="Times New Roman" w:eastAsia="宋体" w:cs="Times New Roman"/>
          <w:color w:val="000000" w:themeColor="text1"/>
          <w:sz w:val="24"/>
          <w:szCs w:val="24"/>
          <w:lang w:eastAsia="zh-CN"/>
          <w14:textFill>
            <w14:solidFill>
              <w14:schemeClr w14:val="tx1"/>
            </w14:solidFill>
          </w14:textFill>
        </w:rPr>
        <w:t>沧县东达五金制品加工厂</w:t>
      </w:r>
      <w:r>
        <w:rPr>
          <w:rFonts w:ascii="Times New Roman" w:hAnsi="Times New Roman" w:eastAsia="宋体" w:cs="Times New Roman"/>
          <w:color w:val="000000" w:themeColor="text1"/>
          <w:sz w:val="24"/>
          <w:szCs w:val="24"/>
          <w14:textFill>
            <w14:solidFill>
              <w14:schemeClr w14:val="tx1"/>
            </w14:solidFill>
          </w14:textFill>
        </w:rPr>
        <w:t>提供的</w:t>
      </w:r>
      <w:r>
        <w:rPr>
          <w:rFonts w:ascii="Times New Roman" w:hAnsi="Times New Roman" w:eastAsia="宋体" w:cs="Times New Roman"/>
          <w:sz w:val="24"/>
          <w:szCs w:val="24"/>
        </w:rPr>
        <w:t>其它相关资料。</w:t>
      </w:r>
    </w:p>
    <w:p>
      <w:pPr>
        <w:pStyle w:val="5"/>
        <w:adjustRightInd w:val="0"/>
        <w:snapToGrid w:val="0"/>
        <w:spacing w:line="360" w:lineRule="auto"/>
        <w:rPr>
          <w:rFonts w:ascii="Times New Roman" w:hAnsi="Times New Roman" w:cs="Times New Roman"/>
        </w:rPr>
      </w:pPr>
      <w:bookmarkStart w:id="62" w:name="_Toc10926_WPSOffice_Level1"/>
      <w:r>
        <w:rPr>
          <w:rFonts w:ascii="Times New Roman" w:hAnsi="Times New Roman" w:cs="Times New Roman"/>
        </w:rPr>
        <w:t>2 工程概况</w:t>
      </w:r>
      <w:bookmarkEnd w:id="62"/>
    </w:p>
    <w:p>
      <w:pPr>
        <w:pStyle w:val="6"/>
        <w:adjustRightInd w:val="0"/>
        <w:snapToGrid w:val="0"/>
        <w:spacing w:line="360" w:lineRule="auto"/>
        <w:rPr>
          <w:rFonts w:ascii="Times New Roman" w:hAnsi="Times New Roman" w:cs="Times New Roman"/>
        </w:rPr>
      </w:pPr>
      <w:bookmarkStart w:id="63" w:name="_Toc28287_WPSOffice_Level2"/>
      <w:r>
        <w:rPr>
          <w:rFonts w:ascii="Times New Roman" w:hAnsi="Times New Roman" w:cs="Times New Roman"/>
        </w:rPr>
        <w:t>2.1 项目基本情况</w:t>
      </w:r>
      <w:bookmarkEnd w:id="63"/>
    </w:p>
    <w:p>
      <w:pPr>
        <w:pStyle w:val="7"/>
        <w:adjustRightInd w:val="0"/>
        <w:snapToGrid w:val="0"/>
        <w:spacing w:line="360" w:lineRule="auto"/>
        <w:rPr>
          <w:rFonts w:ascii="Times New Roman" w:hAnsi="Times New Roman" w:cs="Times New Roman"/>
        </w:rPr>
      </w:pPr>
      <w:bookmarkStart w:id="64" w:name="_Toc496979000"/>
      <w:bookmarkStart w:id="65" w:name="_Toc497001436"/>
      <w:bookmarkStart w:id="66" w:name="_Hlk496952384"/>
      <w:r>
        <w:rPr>
          <w:rFonts w:ascii="Times New Roman" w:hAnsi="Times New Roman" w:cs="Times New Roman"/>
        </w:rPr>
        <w:t>2.1.1 基本情况</w:t>
      </w:r>
      <w:bookmarkEnd w:id="64"/>
      <w:bookmarkEnd w:id="65"/>
    </w:p>
    <w:bookmarkEnd w:id="66"/>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项目基本情况介绍见下表2-1。</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表2-1  项目基本情况</w:t>
      </w:r>
    </w:p>
    <w:tbl>
      <w:tblPr>
        <w:tblStyle w:val="11"/>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52"/>
        <w:gridCol w:w="524"/>
        <w:gridCol w:w="733"/>
        <w:gridCol w:w="835"/>
        <w:gridCol w:w="935"/>
        <w:gridCol w:w="518"/>
        <w:gridCol w:w="111"/>
        <w:gridCol w:w="924"/>
        <w:gridCol w:w="313"/>
        <w:gridCol w:w="1311"/>
        <w:gridCol w:w="33"/>
        <w:gridCol w:w="15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87" w:hRule="atLeast"/>
        </w:trPr>
        <w:tc>
          <w:tcPr>
            <w:tcW w:w="1452" w:type="dxa"/>
            <w:tcBorders>
              <w:top w:val="single" w:color="000000" w:sz="10"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bookmarkStart w:id="67" w:name="_Toc497001437"/>
            <w:bookmarkStart w:id="68" w:name="_Toc496979001"/>
            <w:r>
              <w:rPr>
                <w:b/>
                <w:kern w:val="0"/>
                <w:sz w:val="24"/>
                <w:szCs w:val="24"/>
                <w:u w:val="none" w:color="000000"/>
              </w:rPr>
              <w:t>项目名称</w:t>
            </w:r>
          </w:p>
        </w:tc>
        <w:tc>
          <w:tcPr>
            <w:tcW w:w="7738" w:type="dxa"/>
            <w:gridSpan w:val="11"/>
            <w:tcBorders>
              <w:top w:val="single" w:color="000000" w:sz="10"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rFonts w:hint="eastAsia" w:eastAsia="宋体"/>
                <w:kern w:val="0"/>
                <w:sz w:val="24"/>
                <w:szCs w:val="24"/>
                <w:u w:val="none" w:color="000000"/>
                <w:lang w:eastAsia="zh-CN"/>
              </w:rPr>
            </w:pPr>
            <w:r>
              <w:rPr>
                <w:rFonts w:hint="eastAsia"/>
                <w:kern w:val="0"/>
                <w:sz w:val="24"/>
                <w:szCs w:val="24"/>
                <w:u w:val="none" w:color="000000"/>
                <w:lang w:eastAsia="zh-CN"/>
              </w:rPr>
              <w:t>年产100吨刀片刺绳卡扣及各种配件项目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5"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建设单位</w:t>
            </w:r>
          </w:p>
        </w:tc>
        <w:tc>
          <w:tcPr>
            <w:tcW w:w="7738" w:type="dxa"/>
            <w:gridSpan w:val="11"/>
            <w:tcBorders>
              <w:top w:val="single" w:color="auto" w:sz="4" w:space="0"/>
              <w:left w:val="single" w:color="auto" w:sz="4" w:space="0"/>
              <w:bottom w:val="single" w:color="000000" w:sz="4" w:space="0"/>
              <w:right w:val="single" w:color="000000" w:sz="10" w:space="0"/>
            </w:tcBorders>
            <w:noWrap w:val="0"/>
            <w:vAlign w:val="bottom"/>
          </w:tcPr>
          <w:p>
            <w:pPr>
              <w:widowControl/>
              <w:jc w:val="center"/>
              <w:rPr>
                <w:rFonts w:hint="eastAsia" w:eastAsia="宋体"/>
                <w:b/>
                <w:sz w:val="24"/>
                <w:szCs w:val="24"/>
                <w:u w:val="single"/>
                <w:lang w:eastAsia="zh-CN"/>
              </w:rPr>
            </w:pPr>
            <w:r>
              <w:rPr>
                <w:rFonts w:hint="eastAsia"/>
                <w:kern w:val="0"/>
                <w:sz w:val="24"/>
                <w:szCs w:val="24"/>
                <w:u w:val="none" w:color="000000"/>
                <w:lang w:eastAsia="zh-CN"/>
              </w:rPr>
              <w:t>沧县东达五金制品加工厂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3"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法人代表</w:t>
            </w:r>
          </w:p>
        </w:tc>
        <w:tc>
          <w:tcPr>
            <w:tcW w:w="3656" w:type="dxa"/>
            <w:gridSpan w:val="6"/>
            <w:tcBorders>
              <w:top w:val="single" w:color="auto" w:sz="4" w:space="0"/>
              <w:left w:val="single" w:color="auto" w:sz="4" w:space="0"/>
              <w:bottom w:val="single" w:color="000000" w:sz="4" w:space="0"/>
              <w:right w:val="single" w:color="000000" w:sz="4" w:space="0"/>
            </w:tcBorders>
            <w:noWrap w:val="0"/>
            <w:vAlign w:val="bottom"/>
          </w:tcPr>
          <w:p>
            <w:pPr>
              <w:widowControl/>
              <w:spacing w:line="160" w:lineRule="atLeast"/>
              <w:jc w:val="center"/>
              <w:textAlignment w:val="baseline"/>
              <w:rPr>
                <w:rFonts w:hint="eastAsia" w:eastAsia="宋体"/>
                <w:b/>
                <w:kern w:val="0"/>
                <w:sz w:val="24"/>
                <w:szCs w:val="24"/>
                <w:u w:val="none" w:color="000000"/>
                <w:lang w:eastAsia="zh-CN"/>
              </w:rPr>
            </w:pPr>
            <w:r>
              <w:rPr>
                <w:rFonts w:hint="eastAsia"/>
                <w:kern w:val="0"/>
                <w:sz w:val="24"/>
                <w:szCs w:val="24"/>
                <w:u w:val="none" w:color="000000"/>
                <w:lang w:eastAsia="zh-CN"/>
              </w:rPr>
              <w:t>李桂清</w:t>
            </w:r>
          </w:p>
        </w:tc>
        <w:tc>
          <w:tcPr>
            <w:tcW w:w="1237" w:type="dxa"/>
            <w:gridSpan w:val="2"/>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联系人</w:t>
            </w:r>
          </w:p>
        </w:tc>
        <w:tc>
          <w:tcPr>
            <w:tcW w:w="2845" w:type="dxa"/>
            <w:gridSpan w:val="3"/>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b/>
                <w:kern w:val="0"/>
                <w:sz w:val="24"/>
                <w:szCs w:val="24"/>
                <w:u w:val="none" w:color="000000"/>
              </w:rPr>
            </w:pPr>
            <w:r>
              <w:rPr>
                <w:rFonts w:hint="eastAsia"/>
                <w:bCs/>
                <w:kern w:val="0"/>
                <w:sz w:val="24"/>
                <w:szCs w:val="24"/>
                <w:u w:val="none" w:color="000000"/>
                <w:lang w:val="en-US" w:eastAsia="zh-CN"/>
              </w:rPr>
              <w:t>李桂清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通讯地址</w:t>
            </w:r>
          </w:p>
        </w:tc>
        <w:tc>
          <w:tcPr>
            <w:tcW w:w="7738" w:type="dxa"/>
            <w:gridSpan w:val="11"/>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rFonts w:hint="eastAsia" w:eastAsia="宋体"/>
                <w:kern w:val="0"/>
                <w:sz w:val="24"/>
                <w:szCs w:val="24"/>
                <w:u w:val="none" w:color="000000"/>
                <w:lang w:eastAsia="zh-CN"/>
              </w:rPr>
            </w:pPr>
            <w:r>
              <w:rPr>
                <w:rFonts w:hint="eastAsia"/>
                <w:kern w:val="0"/>
                <w:sz w:val="24"/>
                <w:szCs w:val="24"/>
                <w:u w:val="none" w:color="000000"/>
              </w:rPr>
              <w:t>河北省沧州市沧县</w:t>
            </w:r>
            <w:r>
              <w:rPr>
                <w:rFonts w:hint="eastAsia"/>
                <w:kern w:val="0"/>
                <w:sz w:val="24"/>
                <w:szCs w:val="24"/>
                <w:u w:val="none" w:color="000000"/>
                <w:lang w:eastAsia="zh-CN"/>
              </w:rPr>
              <w:t>张官屯乡大马庄村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联系电话</w:t>
            </w:r>
          </w:p>
        </w:tc>
        <w:tc>
          <w:tcPr>
            <w:tcW w:w="2092" w:type="dxa"/>
            <w:gridSpan w:val="3"/>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rFonts w:hint="default"/>
                <w:b/>
                <w:kern w:val="0"/>
                <w:sz w:val="24"/>
                <w:szCs w:val="24"/>
                <w:u w:val="none" w:color="000000"/>
                <w:lang w:val="en-US"/>
              </w:rPr>
            </w:pPr>
            <w:r>
              <w:rPr>
                <w:rFonts w:hint="eastAsia"/>
                <w:bCs/>
                <w:kern w:val="0"/>
                <w:sz w:val="24"/>
                <w:szCs w:val="24"/>
                <w:u w:val="none" w:color="000000"/>
                <w:lang w:val="en-US" w:eastAsia="zh-CN"/>
              </w:rPr>
              <w:t>13582740121</w:t>
            </w:r>
          </w:p>
        </w:tc>
        <w:tc>
          <w:tcPr>
            <w:tcW w:w="935" w:type="dxa"/>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传真</w:t>
            </w:r>
          </w:p>
        </w:tc>
        <w:tc>
          <w:tcPr>
            <w:tcW w:w="1866" w:type="dxa"/>
            <w:gridSpan w:val="4"/>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b/>
                <w:kern w:val="0"/>
                <w:sz w:val="24"/>
                <w:szCs w:val="24"/>
                <w:u w:val="none" w:color="000000"/>
              </w:rPr>
            </w:pPr>
          </w:p>
        </w:tc>
        <w:tc>
          <w:tcPr>
            <w:tcW w:w="1344" w:type="dxa"/>
            <w:gridSpan w:val="2"/>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邮政编码</w:t>
            </w:r>
          </w:p>
        </w:tc>
        <w:tc>
          <w:tcPr>
            <w:tcW w:w="1501" w:type="dxa"/>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b/>
                <w:kern w:val="0"/>
                <w:sz w:val="24"/>
                <w:szCs w:val="24"/>
                <w:u w:val="none" w:color="000000"/>
              </w:rPr>
            </w:pPr>
            <w:r>
              <w:rPr>
                <w:rFonts w:eastAsia="楷体_GB2312"/>
                <w:kern w:val="0"/>
                <w:sz w:val="24"/>
                <w:szCs w:val="24"/>
                <w:u w:val="none" w:color="000000"/>
              </w:rPr>
              <w:t>061000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6"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建设地点</w:t>
            </w:r>
          </w:p>
        </w:tc>
        <w:tc>
          <w:tcPr>
            <w:tcW w:w="7738" w:type="dxa"/>
            <w:gridSpan w:val="11"/>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rFonts w:hint="eastAsia" w:eastAsia="宋体"/>
                <w:b/>
                <w:kern w:val="0"/>
                <w:sz w:val="24"/>
                <w:szCs w:val="24"/>
                <w:u w:val="none" w:color="000000"/>
                <w:lang w:eastAsia="zh-CN"/>
              </w:rPr>
            </w:pPr>
            <w:r>
              <w:rPr>
                <w:rFonts w:hint="eastAsia"/>
                <w:kern w:val="0"/>
                <w:sz w:val="24"/>
                <w:szCs w:val="24"/>
                <w:u w:val="none" w:color="000000"/>
              </w:rPr>
              <w:t>河北省沧州市沧县</w:t>
            </w:r>
            <w:r>
              <w:rPr>
                <w:rFonts w:hint="eastAsia"/>
                <w:kern w:val="0"/>
                <w:sz w:val="24"/>
                <w:szCs w:val="24"/>
                <w:u w:val="none" w:color="000000"/>
                <w:lang w:eastAsia="zh-CN"/>
              </w:rPr>
              <w:t>张官屯乡大马庄村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91" w:hRule="atLeast"/>
        </w:trPr>
        <w:tc>
          <w:tcPr>
            <w:tcW w:w="1976" w:type="dxa"/>
            <w:gridSpan w:val="2"/>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立项审批部门</w:t>
            </w:r>
          </w:p>
        </w:tc>
        <w:tc>
          <w:tcPr>
            <w:tcW w:w="2503" w:type="dxa"/>
            <w:gridSpan w:val="3"/>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kern w:val="0"/>
                <w:sz w:val="24"/>
                <w:szCs w:val="24"/>
                <w:u w:val="none" w:color="000000"/>
              </w:rPr>
            </w:pPr>
            <w:r>
              <w:rPr>
                <w:kern w:val="0"/>
                <w:sz w:val="24"/>
                <w:szCs w:val="24"/>
                <w:u w:val="none" w:color="000000"/>
              </w:rPr>
              <w:t>沧县行政审批局</w:t>
            </w:r>
          </w:p>
        </w:tc>
        <w:tc>
          <w:tcPr>
            <w:tcW w:w="1553" w:type="dxa"/>
            <w:gridSpan w:val="3"/>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批准文号</w:t>
            </w:r>
          </w:p>
        </w:tc>
        <w:tc>
          <w:tcPr>
            <w:tcW w:w="3158" w:type="dxa"/>
            <w:gridSpan w:val="4"/>
            <w:tcBorders>
              <w:top w:val="single" w:color="auto" w:sz="4" w:space="0"/>
              <w:left w:val="single" w:color="auto" w:sz="4" w:space="0"/>
              <w:bottom w:val="single" w:color="000000" w:sz="4" w:space="0"/>
              <w:right w:val="single" w:color="000000" w:sz="10" w:space="0"/>
            </w:tcBorders>
            <w:noWrap w:val="0"/>
            <w:vAlign w:val="center"/>
          </w:tcPr>
          <w:p>
            <w:pPr>
              <w:widowControl/>
              <w:spacing w:line="0" w:lineRule="atLeast"/>
              <w:jc w:val="center"/>
              <w:textAlignment w:val="baseline"/>
              <w:rPr>
                <w:b/>
                <w:kern w:val="0"/>
                <w:sz w:val="24"/>
                <w:szCs w:val="24"/>
                <w:u w:val="none" w:color="000000"/>
              </w:rPr>
            </w:pPr>
            <w:r>
              <w:rPr>
                <w:sz w:val="24"/>
                <w:szCs w:val="24"/>
              </w:rPr>
              <w:t>沧县行审[备]字[2019]</w:t>
            </w:r>
            <w:r>
              <w:rPr>
                <w:rFonts w:hint="eastAsia"/>
                <w:sz w:val="24"/>
                <w:szCs w:val="24"/>
                <w:lang w:val="en-US" w:eastAsia="zh-CN"/>
              </w:rPr>
              <w:t>481</w:t>
            </w:r>
            <w:r>
              <w:rPr>
                <w:sz w:val="24"/>
                <w:szCs w:val="24"/>
              </w:rPr>
              <w:t>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建设性质</w:t>
            </w:r>
          </w:p>
        </w:tc>
        <w:tc>
          <w:tcPr>
            <w:tcW w:w="3027" w:type="dxa"/>
            <w:gridSpan w:val="4"/>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kern w:val="0"/>
                <w:sz w:val="24"/>
                <w:szCs w:val="24"/>
                <w:u w:val="none" w:color="000000"/>
              </w:rPr>
            </w:pPr>
            <w:r>
              <w:rPr>
                <w:kern w:val="0"/>
                <w:sz w:val="24"/>
                <w:szCs w:val="24"/>
                <w:u w:val="none" w:color="000000"/>
              </w:rPr>
              <w:t>新建</w:t>
            </w:r>
          </w:p>
        </w:tc>
        <w:tc>
          <w:tcPr>
            <w:tcW w:w="1553" w:type="dxa"/>
            <w:gridSpan w:val="3"/>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行业类别</w:t>
            </w:r>
          </w:p>
          <w:p>
            <w:pPr>
              <w:widowControl/>
              <w:spacing w:line="0" w:lineRule="atLeast"/>
              <w:jc w:val="center"/>
              <w:textAlignment w:val="baseline"/>
              <w:rPr>
                <w:b/>
                <w:kern w:val="0"/>
                <w:sz w:val="24"/>
                <w:szCs w:val="24"/>
                <w:u w:val="none" w:color="000000"/>
              </w:rPr>
            </w:pPr>
            <w:r>
              <w:rPr>
                <w:b/>
                <w:kern w:val="0"/>
                <w:sz w:val="24"/>
                <w:szCs w:val="24"/>
                <w:u w:val="none" w:color="000000"/>
              </w:rPr>
              <w:t>及代码</w:t>
            </w:r>
          </w:p>
        </w:tc>
        <w:tc>
          <w:tcPr>
            <w:tcW w:w="3158" w:type="dxa"/>
            <w:gridSpan w:val="4"/>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rPr>
                <w:rFonts w:hint="eastAsia" w:eastAsia="宋体"/>
                <w:sz w:val="24"/>
                <w:szCs w:val="24"/>
                <w:lang w:eastAsia="zh-CN"/>
              </w:rPr>
            </w:pPr>
            <w:r>
              <w:rPr>
                <w:rFonts w:hint="eastAsia"/>
                <w:sz w:val="24"/>
                <w:szCs w:val="24"/>
                <w:lang w:eastAsia="zh-CN"/>
              </w:rPr>
              <w:t>金属结构制造</w:t>
            </w:r>
          </w:p>
          <w:p>
            <w:pPr>
              <w:widowControl/>
              <w:spacing w:line="160" w:lineRule="atLeast"/>
              <w:jc w:val="center"/>
              <w:rPr>
                <w:rFonts w:hint="default" w:eastAsia="宋体"/>
                <w:sz w:val="24"/>
                <w:szCs w:val="24"/>
                <w:lang w:val="en-US" w:eastAsia="zh-CN"/>
              </w:rPr>
            </w:pPr>
            <w:r>
              <w:rPr>
                <w:sz w:val="24"/>
                <w:szCs w:val="24"/>
              </w:rPr>
              <w:t>C3</w:t>
            </w:r>
            <w:r>
              <w:rPr>
                <w:rFonts w:hint="eastAsia"/>
                <w:sz w:val="24"/>
                <w:szCs w:val="24"/>
                <w:lang w:val="en-US" w:eastAsia="zh-CN"/>
              </w:rPr>
              <w:t>311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占地面积</w:t>
            </w:r>
          </w:p>
          <w:p>
            <w:pPr>
              <w:widowControl/>
              <w:spacing w:line="0" w:lineRule="atLeast"/>
              <w:jc w:val="center"/>
              <w:textAlignment w:val="baseline"/>
              <w:rPr>
                <w:b/>
                <w:kern w:val="0"/>
                <w:sz w:val="24"/>
                <w:szCs w:val="24"/>
                <w:u w:val="none" w:color="000000"/>
              </w:rPr>
            </w:pPr>
            <w:r>
              <w:rPr>
                <w:b/>
                <w:kern w:val="0"/>
                <w:sz w:val="24"/>
                <w:szCs w:val="24"/>
                <w:u w:val="none" w:color="000000"/>
              </w:rPr>
              <w:t>(平方米)</w:t>
            </w:r>
          </w:p>
        </w:tc>
        <w:tc>
          <w:tcPr>
            <w:tcW w:w="3027" w:type="dxa"/>
            <w:gridSpan w:val="4"/>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rFonts w:hint="default" w:eastAsia="宋体"/>
                <w:kern w:val="0"/>
                <w:sz w:val="24"/>
                <w:szCs w:val="24"/>
                <w:u w:val="none" w:color="000000"/>
                <w:lang w:val="en-US" w:eastAsia="zh-CN"/>
              </w:rPr>
            </w:pPr>
            <w:r>
              <w:rPr>
                <w:rFonts w:hint="eastAsia"/>
                <w:kern w:val="0"/>
                <w:sz w:val="24"/>
                <w:szCs w:val="24"/>
                <w:u w:val="none" w:color="000000"/>
                <w:lang w:val="en-US" w:eastAsia="zh-CN"/>
              </w:rPr>
              <w:t>1000</w:t>
            </w:r>
          </w:p>
        </w:tc>
        <w:tc>
          <w:tcPr>
            <w:tcW w:w="1553" w:type="dxa"/>
            <w:gridSpan w:val="3"/>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绿化面积</w:t>
            </w:r>
          </w:p>
          <w:p>
            <w:pPr>
              <w:widowControl/>
              <w:spacing w:line="0" w:lineRule="atLeast"/>
              <w:jc w:val="center"/>
              <w:textAlignment w:val="baseline"/>
              <w:rPr>
                <w:b/>
                <w:kern w:val="0"/>
                <w:sz w:val="24"/>
                <w:szCs w:val="24"/>
                <w:u w:val="none" w:color="000000"/>
              </w:rPr>
            </w:pPr>
            <w:r>
              <w:rPr>
                <w:b/>
                <w:kern w:val="0"/>
                <w:sz w:val="24"/>
                <w:szCs w:val="24"/>
                <w:u w:val="none" w:color="000000"/>
              </w:rPr>
              <w:t>(平方米)</w:t>
            </w:r>
          </w:p>
        </w:tc>
        <w:tc>
          <w:tcPr>
            <w:tcW w:w="3158" w:type="dxa"/>
            <w:gridSpan w:val="4"/>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b/>
                <w:kern w:val="0"/>
                <w:sz w:val="24"/>
                <w:szCs w:val="24"/>
                <w:u w:val="none" w:color="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总投资</w:t>
            </w:r>
          </w:p>
          <w:p>
            <w:pPr>
              <w:widowControl/>
              <w:spacing w:line="0" w:lineRule="atLeast"/>
              <w:jc w:val="center"/>
              <w:textAlignment w:val="baseline"/>
              <w:rPr>
                <w:b/>
                <w:kern w:val="0"/>
                <w:sz w:val="24"/>
                <w:szCs w:val="24"/>
                <w:u w:val="none" w:color="000000"/>
              </w:rPr>
            </w:pPr>
            <w:r>
              <w:rPr>
                <w:b/>
                <w:kern w:val="0"/>
                <w:sz w:val="24"/>
                <w:szCs w:val="24"/>
                <w:u w:val="none" w:color="000000"/>
              </w:rPr>
              <w:t>(万元)</w:t>
            </w:r>
          </w:p>
        </w:tc>
        <w:tc>
          <w:tcPr>
            <w:tcW w:w="1257" w:type="dxa"/>
            <w:gridSpan w:val="2"/>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rFonts w:hint="default" w:eastAsia="宋体"/>
                <w:kern w:val="0"/>
                <w:sz w:val="24"/>
                <w:szCs w:val="24"/>
                <w:u w:val="none" w:color="000000"/>
                <w:lang w:val="en-US" w:eastAsia="zh-CN"/>
              </w:rPr>
            </w:pPr>
            <w:r>
              <w:rPr>
                <w:rFonts w:hint="eastAsia"/>
                <w:kern w:val="0"/>
                <w:sz w:val="24"/>
                <w:szCs w:val="24"/>
                <w:u w:val="none" w:color="000000"/>
                <w:lang w:val="en-US" w:eastAsia="zh-CN"/>
              </w:rPr>
              <w:t>300</w:t>
            </w:r>
          </w:p>
        </w:tc>
        <w:tc>
          <w:tcPr>
            <w:tcW w:w="1770" w:type="dxa"/>
            <w:gridSpan w:val="2"/>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其中：环保投资(万元)</w:t>
            </w:r>
          </w:p>
        </w:tc>
        <w:tc>
          <w:tcPr>
            <w:tcW w:w="1553" w:type="dxa"/>
            <w:gridSpan w:val="3"/>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rFonts w:hint="default" w:eastAsia="宋体"/>
                <w:kern w:val="0"/>
                <w:sz w:val="24"/>
                <w:szCs w:val="24"/>
                <w:u w:val="none" w:color="000000"/>
                <w:lang w:val="en-US" w:eastAsia="zh-CN"/>
              </w:rPr>
            </w:pPr>
            <w:r>
              <w:rPr>
                <w:rFonts w:hint="eastAsia"/>
                <w:kern w:val="0"/>
                <w:sz w:val="24"/>
                <w:szCs w:val="24"/>
                <w:u w:val="none" w:color="000000"/>
                <w:lang w:val="en-US" w:eastAsia="zh-CN"/>
              </w:rPr>
              <w:t>5</w:t>
            </w:r>
          </w:p>
        </w:tc>
        <w:tc>
          <w:tcPr>
            <w:tcW w:w="1624" w:type="dxa"/>
            <w:gridSpan w:val="2"/>
            <w:tcBorders>
              <w:top w:val="single" w:color="auto" w:sz="4" w:space="0"/>
              <w:left w:val="single" w:color="auto" w:sz="4"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环保投资占总投资比例</w:t>
            </w:r>
          </w:p>
        </w:tc>
        <w:tc>
          <w:tcPr>
            <w:tcW w:w="1534" w:type="dxa"/>
            <w:gridSpan w:val="2"/>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kern w:val="0"/>
                <w:sz w:val="24"/>
                <w:szCs w:val="24"/>
                <w:u w:val="none" w:color="000000"/>
              </w:rPr>
            </w:pPr>
            <w:r>
              <w:rPr>
                <w:rFonts w:hint="eastAsia"/>
                <w:kern w:val="0"/>
                <w:sz w:val="24"/>
                <w:szCs w:val="24"/>
                <w:u w:val="none" w:color="000000"/>
                <w:lang w:val="en-US" w:eastAsia="zh-CN"/>
              </w:rPr>
              <w:t>1.67</w:t>
            </w:r>
            <w:r>
              <w:rPr>
                <w:kern w:val="0"/>
                <w:sz w:val="24"/>
                <w:szCs w:val="24"/>
                <w:u w:val="none" w:color="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0" w:hRule="atLeast"/>
        </w:trPr>
        <w:tc>
          <w:tcPr>
            <w:tcW w:w="1452" w:type="dxa"/>
            <w:tcBorders>
              <w:top w:val="single" w:color="auto" w:sz="4" w:space="0"/>
              <w:left w:val="single" w:color="000000" w:sz="10" w:space="0"/>
              <w:bottom w:val="single" w:color="000000" w:sz="4" w:space="0"/>
              <w:right w:val="single" w:color="000000" w:sz="4" w:space="0"/>
            </w:tcBorders>
            <w:noWrap w:val="0"/>
            <w:vAlign w:val="center"/>
          </w:tcPr>
          <w:p>
            <w:pPr>
              <w:widowControl/>
              <w:spacing w:line="0" w:lineRule="atLeast"/>
              <w:jc w:val="center"/>
              <w:textAlignment w:val="baseline"/>
              <w:rPr>
                <w:b/>
                <w:kern w:val="0"/>
                <w:sz w:val="24"/>
                <w:szCs w:val="24"/>
                <w:u w:val="none" w:color="000000"/>
              </w:rPr>
            </w:pPr>
            <w:r>
              <w:rPr>
                <w:b/>
                <w:kern w:val="0"/>
                <w:sz w:val="24"/>
                <w:szCs w:val="24"/>
                <w:u w:val="none" w:color="000000"/>
              </w:rPr>
              <w:t>评价经费</w:t>
            </w:r>
          </w:p>
          <w:p>
            <w:pPr>
              <w:widowControl/>
              <w:spacing w:line="0" w:lineRule="atLeast"/>
              <w:jc w:val="center"/>
              <w:textAlignment w:val="baseline"/>
              <w:rPr>
                <w:b/>
                <w:kern w:val="0"/>
                <w:sz w:val="24"/>
                <w:szCs w:val="24"/>
                <w:u w:val="none" w:color="000000"/>
              </w:rPr>
            </w:pPr>
            <w:r>
              <w:rPr>
                <w:b/>
                <w:kern w:val="0"/>
                <w:sz w:val="24"/>
                <w:szCs w:val="24"/>
                <w:u w:val="none" w:color="000000"/>
              </w:rPr>
              <w:t>(万元)</w:t>
            </w:r>
          </w:p>
        </w:tc>
        <w:tc>
          <w:tcPr>
            <w:tcW w:w="1257" w:type="dxa"/>
            <w:gridSpan w:val="2"/>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b/>
                <w:kern w:val="0"/>
                <w:sz w:val="24"/>
                <w:szCs w:val="24"/>
                <w:u w:val="none" w:color="000000"/>
              </w:rPr>
            </w:pPr>
          </w:p>
        </w:tc>
        <w:tc>
          <w:tcPr>
            <w:tcW w:w="2288" w:type="dxa"/>
            <w:gridSpan w:val="3"/>
            <w:tcBorders>
              <w:top w:val="single" w:color="auto" w:sz="4" w:space="0"/>
              <w:left w:val="single" w:color="auto" w:sz="4" w:space="0"/>
              <w:bottom w:val="single" w:color="000000" w:sz="4" w:space="0"/>
              <w:right w:val="single" w:color="000000" w:sz="4" w:space="0"/>
            </w:tcBorders>
            <w:noWrap w:val="0"/>
            <w:vAlign w:val="center"/>
          </w:tcPr>
          <w:p>
            <w:pPr>
              <w:widowControl/>
              <w:spacing w:line="160" w:lineRule="atLeast"/>
              <w:jc w:val="center"/>
              <w:textAlignment w:val="baseline"/>
              <w:rPr>
                <w:b/>
                <w:kern w:val="0"/>
                <w:sz w:val="24"/>
                <w:szCs w:val="24"/>
                <w:u w:val="none" w:color="000000"/>
              </w:rPr>
            </w:pPr>
            <w:r>
              <w:rPr>
                <w:b/>
                <w:kern w:val="0"/>
                <w:sz w:val="24"/>
                <w:szCs w:val="24"/>
                <w:u w:val="none" w:color="000000"/>
              </w:rPr>
              <w:t>预期投产日期</w:t>
            </w:r>
          </w:p>
        </w:tc>
        <w:tc>
          <w:tcPr>
            <w:tcW w:w="4193" w:type="dxa"/>
            <w:gridSpan w:val="6"/>
            <w:tcBorders>
              <w:top w:val="single" w:color="auto" w:sz="4" w:space="0"/>
              <w:left w:val="single" w:color="auto" w:sz="4" w:space="0"/>
              <w:bottom w:val="single" w:color="000000" w:sz="4" w:space="0"/>
              <w:right w:val="single" w:color="000000" w:sz="10" w:space="0"/>
            </w:tcBorders>
            <w:noWrap w:val="0"/>
            <w:vAlign w:val="center"/>
          </w:tcPr>
          <w:p>
            <w:pPr>
              <w:widowControl/>
              <w:spacing w:line="160" w:lineRule="atLeast"/>
              <w:jc w:val="center"/>
              <w:textAlignment w:val="baseline"/>
              <w:rPr>
                <w:kern w:val="0"/>
                <w:sz w:val="24"/>
                <w:szCs w:val="24"/>
                <w:u w:val="none" w:color="000000"/>
              </w:rPr>
            </w:pPr>
            <w:r>
              <w:rPr>
                <w:kern w:val="0"/>
                <w:sz w:val="24"/>
                <w:szCs w:val="24"/>
                <w:u w:val="none" w:color="000000"/>
              </w:rPr>
              <w:t>2019年</w:t>
            </w:r>
            <w:r>
              <w:rPr>
                <w:rFonts w:hint="eastAsia"/>
                <w:kern w:val="0"/>
                <w:sz w:val="24"/>
                <w:szCs w:val="24"/>
                <w:u w:val="none" w:color="000000"/>
                <w:lang w:val="en-US" w:eastAsia="zh-CN"/>
              </w:rPr>
              <w:t>11</w:t>
            </w:r>
            <w:r>
              <w:rPr>
                <w:kern w:val="0"/>
                <w:sz w:val="24"/>
                <w:szCs w:val="24"/>
                <w:u w:val="none" w:color="000000"/>
              </w:rPr>
              <w:t>月</w:t>
            </w:r>
          </w:p>
        </w:tc>
      </w:tr>
    </w:tbl>
    <w:p>
      <w:pPr>
        <w:pStyle w:val="7"/>
        <w:adjustRightInd w:val="0"/>
        <w:snapToGrid w:val="0"/>
        <w:spacing w:line="360" w:lineRule="auto"/>
        <w:rPr>
          <w:rFonts w:ascii="Times New Roman" w:hAnsi="Times New Roman" w:cs="Times New Roman"/>
          <w:color w:val="auto"/>
        </w:rPr>
      </w:pPr>
    </w:p>
    <w:p>
      <w:pPr>
        <w:pStyle w:val="7"/>
        <w:adjustRightInd w:val="0"/>
        <w:snapToGrid w:val="0"/>
        <w:spacing w:line="360" w:lineRule="auto"/>
        <w:rPr>
          <w:rFonts w:ascii="Times New Roman" w:hAnsi="Times New Roman" w:cs="Times New Roman"/>
          <w:color w:val="auto"/>
        </w:rPr>
      </w:pPr>
      <w:r>
        <w:rPr>
          <w:rFonts w:ascii="Times New Roman" w:hAnsi="Times New Roman" w:cs="Times New Roman"/>
          <w:color w:val="auto"/>
        </w:rPr>
        <w:t>2.1.2 地理位置及周边情况</w:t>
      </w:r>
      <w:bookmarkEnd w:id="67"/>
      <w:bookmarkEnd w:id="68"/>
    </w:p>
    <w:p>
      <w:pPr>
        <w:adjustRightInd w:val="0"/>
        <w:snapToGrid w:val="0"/>
        <w:spacing w:line="360" w:lineRule="auto"/>
        <w:ind w:firstLine="480" w:firstLineChars="200"/>
        <w:rPr>
          <w:rFonts w:ascii="Times New Roman" w:hAnsi="Times New Roman" w:eastAsia="宋体" w:cs="Times New Roman"/>
          <w:sz w:val="24"/>
          <w:szCs w:val="24"/>
        </w:rPr>
      </w:pPr>
      <w:r>
        <w:rPr>
          <w:rFonts w:hint="eastAsia"/>
          <w:sz w:val="24"/>
          <w:szCs w:val="24"/>
          <w:lang w:eastAsia="zh-CN"/>
        </w:rPr>
        <w:t>沧县东达五金制品加工厂</w:t>
      </w:r>
      <w:r>
        <w:rPr>
          <w:bCs/>
          <w:kern w:val="0"/>
          <w:sz w:val="24"/>
          <w:szCs w:val="20"/>
          <w:u w:val="none" w:color="000000"/>
        </w:rPr>
        <w:t>位于</w:t>
      </w:r>
      <w:r>
        <w:rPr>
          <w:rFonts w:hint="eastAsia"/>
          <w:bCs/>
          <w:kern w:val="0"/>
          <w:sz w:val="24"/>
          <w:szCs w:val="20"/>
          <w:u w:val="none" w:color="000000"/>
          <w:lang w:eastAsia="zh-CN"/>
        </w:rPr>
        <w:t>河北省沧州市沧县张官屯乡大马庄村</w:t>
      </w:r>
      <w:r>
        <w:rPr>
          <w:bCs/>
          <w:kern w:val="0"/>
          <w:sz w:val="24"/>
          <w:szCs w:val="20"/>
          <w:u w:val="none" w:color="000000"/>
        </w:rPr>
        <w:t>，中心坐标为北纬</w:t>
      </w:r>
      <w:r>
        <w:rPr>
          <w:rFonts w:hint="eastAsia"/>
          <w:bCs/>
          <w:kern w:val="0"/>
          <w:sz w:val="24"/>
          <w:szCs w:val="20"/>
          <w:u w:val="none" w:color="000000"/>
          <w:lang w:eastAsia="zh-CN"/>
        </w:rPr>
        <w:t>38°11'10.52"</w:t>
      </w:r>
      <w:r>
        <w:rPr>
          <w:bCs/>
          <w:kern w:val="0"/>
          <w:sz w:val="24"/>
          <w:szCs w:val="20"/>
          <w:u w:val="none" w:color="000000"/>
        </w:rPr>
        <w:t>，东经</w:t>
      </w:r>
      <w:r>
        <w:rPr>
          <w:rFonts w:hint="eastAsia"/>
          <w:bCs/>
          <w:kern w:val="0"/>
          <w:sz w:val="24"/>
          <w:szCs w:val="20"/>
          <w:u w:val="none" w:color="000000"/>
          <w:lang w:eastAsia="zh-CN"/>
        </w:rPr>
        <w:t>116°46'38.14"</w:t>
      </w:r>
      <w:r>
        <w:rPr>
          <w:bCs/>
          <w:kern w:val="0"/>
          <w:sz w:val="24"/>
          <w:szCs w:val="20"/>
          <w:u w:val="none" w:color="000000"/>
        </w:rPr>
        <w:t>。项目东侧</w:t>
      </w:r>
      <w:r>
        <w:rPr>
          <w:rFonts w:hint="eastAsia"/>
          <w:bCs/>
          <w:kern w:val="0"/>
          <w:sz w:val="24"/>
          <w:szCs w:val="20"/>
          <w:u w:val="none" w:color="000000"/>
          <w:lang w:eastAsia="zh-CN"/>
        </w:rPr>
        <w:t>、南</w:t>
      </w:r>
      <w:r>
        <w:rPr>
          <w:bCs/>
          <w:kern w:val="0"/>
          <w:sz w:val="24"/>
          <w:szCs w:val="20"/>
          <w:u w:val="none" w:color="000000"/>
        </w:rPr>
        <w:t>侧为</w:t>
      </w:r>
      <w:r>
        <w:rPr>
          <w:rFonts w:hint="eastAsia"/>
          <w:bCs/>
          <w:kern w:val="0"/>
          <w:sz w:val="24"/>
          <w:szCs w:val="20"/>
          <w:u w:val="none" w:color="000000"/>
          <w:lang w:eastAsia="zh-CN"/>
        </w:rPr>
        <w:t>厂子</w:t>
      </w:r>
      <w:r>
        <w:rPr>
          <w:bCs/>
          <w:kern w:val="0"/>
          <w:sz w:val="24"/>
          <w:szCs w:val="20"/>
          <w:u w:val="none" w:color="000000"/>
        </w:rPr>
        <w:t>，</w:t>
      </w:r>
      <w:r>
        <w:rPr>
          <w:rFonts w:hint="eastAsia"/>
          <w:bCs/>
          <w:kern w:val="0"/>
          <w:sz w:val="24"/>
          <w:szCs w:val="20"/>
          <w:u w:val="none" w:color="000000"/>
          <w:lang w:eastAsia="zh-CN"/>
        </w:rPr>
        <w:t>北</w:t>
      </w:r>
      <w:r>
        <w:rPr>
          <w:bCs/>
          <w:kern w:val="0"/>
          <w:sz w:val="24"/>
          <w:szCs w:val="20"/>
          <w:u w:val="none" w:color="000000"/>
        </w:rPr>
        <w:t>侧为</w:t>
      </w:r>
      <w:r>
        <w:rPr>
          <w:rFonts w:hint="eastAsia"/>
          <w:bCs/>
          <w:kern w:val="0"/>
          <w:sz w:val="24"/>
          <w:szCs w:val="20"/>
          <w:u w:val="none" w:color="000000"/>
          <w:lang w:eastAsia="zh-CN"/>
        </w:rPr>
        <w:t>自家住户</w:t>
      </w:r>
      <w:r>
        <w:rPr>
          <w:bCs/>
          <w:kern w:val="0"/>
          <w:sz w:val="24"/>
          <w:szCs w:val="20"/>
          <w:u w:val="none" w:color="000000"/>
        </w:rPr>
        <w:t>、</w:t>
      </w:r>
      <w:r>
        <w:rPr>
          <w:rFonts w:hint="eastAsia"/>
          <w:bCs/>
          <w:kern w:val="0"/>
          <w:sz w:val="24"/>
          <w:szCs w:val="20"/>
          <w:u w:val="none" w:color="000000"/>
          <w:lang w:eastAsia="zh-CN"/>
        </w:rPr>
        <w:t>西</w:t>
      </w:r>
      <w:r>
        <w:rPr>
          <w:bCs/>
          <w:kern w:val="0"/>
          <w:sz w:val="24"/>
          <w:szCs w:val="20"/>
          <w:u w:val="none" w:color="000000"/>
        </w:rPr>
        <w:t>侧为</w:t>
      </w:r>
      <w:r>
        <w:rPr>
          <w:rFonts w:hint="eastAsia"/>
          <w:bCs/>
          <w:kern w:val="0"/>
          <w:sz w:val="24"/>
          <w:szCs w:val="20"/>
          <w:u w:val="none" w:color="000000"/>
          <w:lang w:eastAsia="zh-CN"/>
        </w:rPr>
        <w:t>公路，公路对面是厂子</w:t>
      </w:r>
      <w:r>
        <w:rPr>
          <w:bCs/>
          <w:kern w:val="0"/>
          <w:sz w:val="24"/>
          <w:szCs w:val="20"/>
          <w:u w:val="none" w:color="000000"/>
        </w:rPr>
        <w:t>。</w:t>
      </w:r>
      <w:r>
        <w:rPr>
          <w:bCs/>
          <w:kern w:val="0"/>
          <w:sz w:val="24"/>
          <w:szCs w:val="20"/>
          <w:u w:val="none" w:color="000000"/>
          <w:shd w:val="clear" w:color="auto" w:fill="auto"/>
        </w:rPr>
        <w:t>项目周围环境敏感点为</w:t>
      </w:r>
      <w:r>
        <w:rPr>
          <w:rFonts w:hint="eastAsia"/>
          <w:bCs/>
          <w:kern w:val="0"/>
          <w:sz w:val="24"/>
          <w:szCs w:val="20"/>
          <w:u w:val="none" w:color="000000"/>
          <w:shd w:val="clear" w:color="auto" w:fill="auto"/>
          <w:lang w:eastAsia="zh-CN"/>
        </w:rPr>
        <w:t>西北侧</w:t>
      </w:r>
      <w:r>
        <w:rPr>
          <w:rFonts w:hint="eastAsia"/>
          <w:bCs/>
          <w:kern w:val="0"/>
          <w:sz w:val="24"/>
          <w:szCs w:val="20"/>
          <w:u w:val="none" w:color="000000"/>
          <w:shd w:val="clear" w:color="auto" w:fill="auto"/>
          <w:lang w:val="en-US" w:eastAsia="zh-CN"/>
        </w:rPr>
        <w:t>1408</w:t>
      </w:r>
      <w:r>
        <w:rPr>
          <w:bCs/>
          <w:kern w:val="0"/>
          <w:sz w:val="24"/>
          <w:szCs w:val="20"/>
          <w:u w:val="none" w:color="000000"/>
          <w:shd w:val="clear" w:color="auto" w:fill="auto"/>
        </w:rPr>
        <w:t>m处的</w:t>
      </w:r>
      <w:r>
        <w:rPr>
          <w:rFonts w:hint="eastAsia"/>
          <w:bCs/>
          <w:kern w:val="0"/>
          <w:sz w:val="24"/>
          <w:szCs w:val="20"/>
          <w:u w:val="none" w:color="000000"/>
          <w:shd w:val="clear" w:color="auto" w:fill="auto"/>
          <w:lang w:eastAsia="zh-CN"/>
        </w:rPr>
        <w:t>肖家楼</w:t>
      </w:r>
      <w:r>
        <w:rPr>
          <w:bCs/>
          <w:kern w:val="0"/>
          <w:sz w:val="24"/>
          <w:szCs w:val="20"/>
          <w:u w:val="none" w:color="000000"/>
          <w:shd w:val="clear" w:color="auto" w:fill="auto"/>
        </w:rPr>
        <w:t>，</w:t>
      </w:r>
      <w:r>
        <w:rPr>
          <w:rFonts w:hint="eastAsia"/>
          <w:bCs/>
          <w:kern w:val="0"/>
          <w:sz w:val="24"/>
          <w:szCs w:val="20"/>
          <w:u w:val="none" w:color="000000"/>
          <w:shd w:val="clear" w:color="auto" w:fill="auto"/>
          <w:lang w:eastAsia="zh-CN"/>
        </w:rPr>
        <w:t>南</w:t>
      </w:r>
      <w:r>
        <w:rPr>
          <w:bCs/>
          <w:kern w:val="0"/>
          <w:sz w:val="24"/>
          <w:szCs w:val="20"/>
          <w:u w:val="none" w:color="000000"/>
          <w:shd w:val="clear" w:color="auto" w:fill="auto"/>
        </w:rPr>
        <w:t>侧</w:t>
      </w:r>
      <w:r>
        <w:rPr>
          <w:rFonts w:hint="eastAsia"/>
          <w:bCs/>
          <w:kern w:val="0"/>
          <w:sz w:val="24"/>
          <w:szCs w:val="20"/>
          <w:u w:val="none" w:color="000000"/>
          <w:shd w:val="clear" w:color="auto" w:fill="auto"/>
          <w:lang w:val="en-US" w:eastAsia="zh-CN"/>
        </w:rPr>
        <w:t>854</w:t>
      </w:r>
      <w:r>
        <w:rPr>
          <w:bCs/>
          <w:kern w:val="0"/>
          <w:sz w:val="24"/>
          <w:szCs w:val="20"/>
          <w:u w:val="none" w:color="000000"/>
          <w:shd w:val="clear" w:color="auto" w:fill="auto"/>
        </w:rPr>
        <w:t>m处的</w:t>
      </w:r>
      <w:r>
        <w:rPr>
          <w:rFonts w:hint="eastAsia"/>
          <w:bCs/>
          <w:kern w:val="0"/>
          <w:sz w:val="24"/>
          <w:szCs w:val="20"/>
          <w:u w:val="none" w:color="000000"/>
          <w:shd w:val="clear" w:color="auto" w:fill="auto"/>
          <w:lang w:eastAsia="zh-CN"/>
        </w:rPr>
        <w:t>邱庄子村</w:t>
      </w:r>
      <w:r>
        <w:rPr>
          <w:bCs/>
          <w:kern w:val="0"/>
          <w:sz w:val="24"/>
          <w:szCs w:val="20"/>
          <w:u w:val="none" w:color="000000"/>
          <w:shd w:val="clear" w:color="auto" w:fill="auto"/>
        </w:rPr>
        <w:t>，</w:t>
      </w:r>
      <w:r>
        <w:rPr>
          <w:rFonts w:hint="eastAsia"/>
          <w:bCs/>
          <w:kern w:val="0"/>
          <w:sz w:val="24"/>
          <w:szCs w:val="20"/>
          <w:u w:val="none" w:color="000000"/>
          <w:shd w:val="clear" w:color="auto" w:fill="auto"/>
          <w:lang w:eastAsia="zh-CN"/>
        </w:rPr>
        <w:t>东南</w:t>
      </w:r>
      <w:r>
        <w:rPr>
          <w:bCs/>
          <w:kern w:val="0"/>
          <w:sz w:val="24"/>
          <w:szCs w:val="20"/>
          <w:u w:val="none" w:color="000000"/>
          <w:shd w:val="clear" w:color="auto" w:fill="auto"/>
        </w:rPr>
        <w:t>侧</w:t>
      </w:r>
      <w:r>
        <w:rPr>
          <w:rFonts w:hint="eastAsia"/>
          <w:bCs/>
          <w:kern w:val="0"/>
          <w:sz w:val="24"/>
          <w:szCs w:val="20"/>
          <w:u w:val="none" w:color="000000"/>
          <w:shd w:val="clear" w:color="auto" w:fill="auto"/>
          <w:lang w:val="en-US" w:eastAsia="zh-CN"/>
        </w:rPr>
        <w:t>1396</w:t>
      </w:r>
      <w:r>
        <w:rPr>
          <w:bCs/>
          <w:kern w:val="0"/>
          <w:sz w:val="24"/>
          <w:szCs w:val="20"/>
          <w:u w:val="none" w:color="000000"/>
          <w:shd w:val="clear" w:color="auto" w:fill="auto"/>
        </w:rPr>
        <w:t>m处的</w:t>
      </w:r>
      <w:r>
        <w:rPr>
          <w:rFonts w:hint="eastAsia"/>
          <w:bCs/>
          <w:kern w:val="0"/>
          <w:sz w:val="24"/>
          <w:szCs w:val="20"/>
          <w:u w:val="none" w:color="000000"/>
          <w:shd w:val="clear" w:color="auto" w:fill="auto"/>
          <w:lang w:eastAsia="zh-CN"/>
        </w:rPr>
        <w:t>南大铺村</w:t>
      </w:r>
      <w:r>
        <w:rPr>
          <w:bCs/>
          <w:kern w:val="0"/>
          <w:sz w:val="24"/>
          <w:szCs w:val="20"/>
          <w:u w:val="none" w:color="000000"/>
          <w:shd w:val="clear" w:color="auto" w:fill="auto"/>
        </w:rPr>
        <w:t>，</w:t>
      </w:r>
      <w:r>
        <w:rPr>
          <w:rFonts w:hint="eastAsia"/>
          <w:bCs/>
          <w:kern w:val="0"/>
          <w:sz w:val="24"/>
          <w:szCs w:val="20"/>
          <w:u w:val="none" w:color="000000"/>
          <w:shd w:val="clear" w:color="auto" w:fill="auto"/>
          <w:lang w:eastAsia="zh-CN"/>
        </w:rPr>
        <w:t>东</w:t>
      </w:r>
      <w:r>
        <w:rPr>
          <w:bCs/>
          <w:kern w:val="0"/>
          <w:sz w:val="24"/>
          <w:szCs w:val="20"/>
          <w:u w:val="none" w:color="000000"/>
          <w:shd w:val="clear" w:color="auto" w:fill="auto"/>
        </w:rPr>
        <w:t>侧</w:t>
      </w:r>
      <w:r>
        <w:rPr>
          <w:rFonts w:hint="eastAsia"/>
          <w:bCs/>
          <w:kern w:val="0"/>
          <w:sz w:val="24"/>
          <w:szCs w:val="20"/>
          <w:u w:val="none" w:color="000000"/>
          <w:shd w:val="clear" w:color="auto" w:fill="auto"/>
          <w:lang w:val="en-US" w:eastAsia="zh-CN"/>
        </w:rPr>
        <w:t>42</w:t>
      </w:r>
      <w:r>
        <w:rPr>
          <w:bCs/>
          <w:kern w:val="0"/>
          <w:sz w:val="24"/>
          <w:szCs w:val="20"/>
          <w:u w:val="none" w:color="000000"/>
          <w:shd w:val="clear" w:color="auto" w:fill="auto"/>
        </w:rPr>
        <w:t>m处的</w:t>
      </w:r>
      <w:r>
        <w:rPr>
          <w:rFonts w:hint="eastAsia"/>
          <w:bCs/>
          <w:kern w:val="0"/>
          <w:sz w:val="24"/>
          <w:szCs w:val="20"/>
          <w:u w:val="none" w:color="000000"/>
          <w:shd w:val="clear" w:color="auto" w:fill="auto"/>
          <w:lang w:eastAsia="zh-CN"/>
        </w:rPr>
        <w:t>大马庄村（根据河南金环环境影响评价有限公司现场调查结果，确定本项目生产车间卫生防护距离为</w:t>
      </w:r>
      <w:r>
        <w:rPr>
          <w:rFonts w:hint="eastAsia"/>
          <w:bCs/>
          <w:kern w:val="0"/>
          <w:sz w:val="24"/>
          <w:szCs w:val="20"/>
          <w:u w:val="none" w:color="000000"/>
          <w:shd w:val="clear" w:color="auto" w:fill="auto"/>
          <w:lang w:val="en-US" w:eastAsia="zh-CN"/>
        </w:rPr>
        <w:t>50m。根据河南金环环境影响评价有限公司现场调查结果，项目卫生距离内有2户居民，企业已对该两户居民进行了公众参与调查，调查结果显示卫生防护距离内居民均支持本项目建设。</w:t>
      </w:r>
      <w:r>
        <w:rPr>
          <w:rFonts w:hint="eastAsia" w:ascii="宋体" w:hAnsi="宋体" w:eastAsia="宋体" w:cs="宋体"/>
          <w:color w:val="auto"/>
          <w:sz w:val="24"/>
          <w:szCs w:val="24"/>
          <w:lang w:val="en-US" w:eastAsia="zh-CN"/>
        </w:rPr>
        <w:t>项目所在地周围没有自然保护区、风景名胜区、生活饮用水水源地等敏感目标</w:t>
      </w:r>
      <w:r>
        <w:rPr>
          <w:rFonts w:hint="eastAsia" w:ascii="宋体" w:hAnsi="宋体" w:eastAsia="宋体" w:cs="宋体"/>
          <w:color w:val="auto"/>
          <w:sz w:val="24"/>
          <w:szCs w:val="24"/>
        </w:rPr>
        <w:t>。</w:t>
      </w:r>
    </w:p>
    <w:p>
      <w:pPr>
        <w:adjustRightInd w:val="0"/>
        <w:snapToGrid w:val="0"/>
        <w:spacing w:line="360" w:lineRule="auto"/>
        <w:ind w:firstLine="480" w:firstLineChars="200"/>
        <w:rPr>
          <w:rFonts w:ascii="Times New Roman" w:hAnsi="Times New Roman" w:eastAsia="宋体" w:cs="Times New Roman"/>
          <w:sz w:val="24"/>
          <w:szCs w:val="24"/>
        </w:rPr>
      </w:pPr>
      <w:r>
        <w:rPr>
          <w:kern w:val="0"/>
          <w:sz w:val="24"/>
          <w:szCs w:val="20"/>
          <w:u w:val="none" w:color="000000"/>
        </w:rPr>
        <w:t>项目总占地面积</w:t>
      </w:r>
      <w:r>
        <w:rPr>
          <w:rFonts w:hint="eastAsia"/>
          <w:kern w:val="0"/>
          <w:sz w:val="24"/>
          <w:szCs w:val="20"/>
          <w:u w:val="none" w:color="000000"/>
          <w:lang w:val="en-US" w:eastAsia="zh-CN"/>
        </w:rPr>
        <w:t>1000</w:t>
      </w:r>
      <w:r>
        <w:rPr>
          <w:kern w:val="0"/>
          <w:sz w:val="24"/>
          <w:szCs w:val="20"/>
          <w:u w:val="none" w:color="000000"/>
        </w:rPr>
        <w:t>m</w:t>
      </w:r>
      <w:r>
        <w:rPr>
          <w:kern w:val="0"/>
          <w:sz w:val="24"/>
          <w:szCs w:val="20"/>
          <w:u w:val="none" w:color="000000"/>
          <w:vertAlign w:val="superscript"/>
        </w:rPr>
        <w:t>2</w:t>
      </w:r>
      <w:r>
        <w:rPr>
          <w:rFonts w:hint="eastAsia"/>
          <w:kern w:val="0"/>
          <w:sz w:val="24"/>
          <w:szCs w:val="20"/>
          <w:u w:val="none" w:color="000000"/>
          <w:vertAlign w:val="baseline"/>
          <w:lang w:eastAsia="zh-CN"/>
        </w:rPr>
        <w:t>，</w:t>
      </w:r>
      <w:r>
        <w:rPr>
          <w:rFonts w:hint="eastAsia" w:ascii="Times New Roman" w:hAnsi="Times New Roman" w:eastAsia="宋体" w:cs="Times New Roman"/>
          <w:sz w:val="24"/>
          <w:szCs w:val="24"/>
        </w:rPr>
        <w:t>建筑</w:t>
      </w:r>
      <w:r>
        <w:rPr>
          <w:rFonts w:ascii="Times New Roman" w:hAnsi="Times New Roman" w:eastAsia="宋体" w:cs="Times New Roman"/>
          <w:sz w:val="24"/>
          <w:szCs w:val="24"/>
        </w:rPr>
        <w:t>面积</w:t>
      </w:r>
      <w:r>
        <w:rPr>
          <w:rFonts w:hint="eastAsia" w:ascii="Times New Roman" w:hAnsi="Times New Roman" w:eastAsia="宋体" w:cs="Times New Roman"/>
          <w:sz w:val="24"/>
          <w:szCs w:val="24"/>
          <w:lang w:val="en-US" w:eastAsia="zh-CN"/>
        </w:rPr>
        <w:t>900</w:t>
      </w:r>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w:t>
      </w:r>
      <w:r>
        <w:rPr>
          <w:rFonts w:ascii="Times New Roman" w:hAnsi="Times New Roman" w:eastAsia="宋体" w:cs="Times New Roman"/>
          <w:sz w:val="24"/>
          <w:szCs w:val="24"/>
        </w:rPr>
        <w:t>购置的设备有：</w:t>
      </w:r>
      <w:r>
        <w:rPr>
          <w:rFonts w:hint="eastAsia" w:ascii="Times New Roman" w:hAnsi="Times New Roman" w:eastAsia="宋体" w:cs="Times New Roman"/>
          <w:sz w:val="24"/>
          <w:szCs w:val="24"/>
          <w:lang w:val="en-US" w:eastAsia="zh-CN"/>
        </w:rPr>
        <w:t>冲床19台等</w:t>
      </w:r>
      <w:r>
        <w:rPr>
          <w:rFonts w:ascii="Times New Roman" w:hAnsi="Times New Roman" w:eastAsia="宋体" w:cs="Times New Roman"/>
          <w:sz w:val="24"/>
          <w:szCs w:val="24"/>
        </w:rPr>
        <w:t>。厂区平面布置情况见附图3。</w:t>
      </w:r>
    </w:p>
    <w:p>
      <w:pPr>
        <w:pStyle w:val="6"/>
        <w:adjustRightInd w:val="0"/>
        <w:snapToGrid w:val="0"/>
        <w:spacing w:line="360" w:lineRule="auto"/>
        <w:rPr>
          <w:rFonts w:ascii="Times New Roman" w:hAnsi="Times New Roman" w:cs="Times New Roman"/>
        </w:rPr>
      </w:pPr>
      <w:bookmarkStart w:id="69" w:name="_Toc11760_WPSOffice_Level2"/>
      <w:r>
        <w:rPr>
          <w:rFonts w:ascii="Times New Roman" w:hAnsi="Times New Roman" w:cs="Times New Roman"/>
        </w:rPr>
        <w:t>2.2 建设内容</w:t>
      </w:r>
      <w:bookmarkEnd w:id="69"/>
    </w:p>
    <w:p>
      <w:pPr>
        <w:pStyle w:val="7"/>
        <w:adjustRightInd w:val="0"/>
        <w:snapToGrid w:val="0"/>
        <w:spacing w:line="360" w:lineRule="auto"/>
        <w:rPr>
          <w:rFonts w:ascii="Times New Roman" w:hAnsi="Times New Roman" w:cs="Times New Roman"/>
        </w:rPr>
      </w:pPr>
      <w:bookmarkStart w:id="70" w:name="_Toc496979004"/>
      <w:bookmarkStart w:id="71" w:name="_Toc497001440"/>
      <w:r>
        <w:rPr>
          <w:rFonts w:ascii="Times New Roman" w:hAnsi="Times New Roman" w:cs="Times New Roman"/>
        </w:rPr>
        <w:t>2.2.1 生产规模及产品方案</w:t>
      </w:r>
      <w:bookmarkEnd w:id="70"/>
      <w:bookmarkEnd w:id="7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cs="Times New Roman"/>
          <w:sz w:val="24"/>
          <w:szCs w:val="24"/>
        </w:rPr>
      </w:pPr>
      <w:bookmarkStart w:id="72" w:name="_Toc27804"/>
      <w:bookmarkStart w:id="73" w:name="_Toc497001441"/>
      <w:bookmarkStart w:id="74" w:name="_Toc496979005"/>
      <w:r>
        <w:rPr>
          <w:rFonts w:ascii="Times New Roman" w:hAnsi="Times New Roman" w:eastAsia="宋体" w:cs="Times New Roman"/>
          <w:sz w:val="24"/>
          <w:szCs w:val="24"/>
        </w:rPr>
        <w:t>本项目</w:t>
      </w:r>
      <w:bookmarkEnd w:id="72"/>
      <w:r>
        <w:rPr>
          <w:rFonts w:hint="eastAsia" w:ascii="Times New Roman" w:hAnsi="Times New Roman" w:eastAsia="宋体" w:cs="Times New Roman"/>
          <w:sz w:val="24"/>
          <w:szCs w:val="24"/>
        </w:rPr>
        <w:t>设计生产能力为年产</w:t>
      </w:r>
      <w:r>
        <w:rPr>
          <w:rFonts w:hint="eastAsia" w:ascii="Times New Roman" w:hAnsi="Times New Roman" w:eastAsia="宋体" w:cs="Times New Roman"/>
          <w:sz w:val="24"/>
          <w:szCs w:val="24"/>
          <w:lang w:eastAsia="zh-CN"/>
        </w:rPr>
        <w:t>管件</w:t>
      </w:r>
      <w:r>
        <w:rPr>
          <w:rFonts w:hint="eastAsia" w:ascii="Times New Roman" w:hAnsi="Times New Roman" w:eastAsia="宋体" w:cs="Times New Roman"/>
          <w:sz w:val="24"/>
          <w:szCs w:val="24"/>
          <w:lang w:val="en-US" w:eastAsia="zh-CN"/>
        </w:rPr>
        <w:t>2000吨</w:t>
      </w:r>
      <w:r>
        <w:rPr>
          <w:rFonts w:hint="eastAsia" w:ascii="Times New Roman" w:hAnsi="Times New Roman" w:eastAsia="宋体" w:cs="Times New Roman"/>
          <w:sz w:val="24"/>
          <w:szCs w:val="24"/>
        </w:rPr>
        <w:t>。</w:t>
      </w:r>
    </w:p>
    <w:p>
      <w:pPr>
        <w:pStyle w:val="7"/>
        <w:spacing w:line="440" w:lineRule="atLeast"/>
        <w:rPr>
          <w:rFonts w:ascii="Times New Roman" w:hAnsi="Times New Roman" w:cs="Times New Roman"/>
        </w:rPr>
      </w:pPr>
      <w:r>
        <w:rPr>
          <w:rFonts w:ascii="Times New Roman" w:hAnsi="Times New Roman" w:cs="Times New Roman"/>
        </w:rPr>
        <w:t>2.2.2 主要原辅材料</w:t>
      </w:r>
      <w:bookmarkEnd w:id="73"/>
      <w:bookmarkEnd w:id="74"/>
    </w:p>
    <w:p>
      <w:pPr>
        <w:spacing w:line="440" w:lineRule="atLeast"/>
        <w:ind w:firstLine="480"/>
        <w:rPr>
          <w:rFonts w:ascii="Times New Roman" w:hAnsi="Times New Roman" w:eastAsia="宋体" w:cs="Times New Roman"/>
          <w:sz w:val="24"/>
          <w:szCs w:val="24"/>
        </w:rPr>
      </w:pPr>
      <w:r>
        <w:rPr>
          <w:rFonts w:ascii="Times New Roman" w:hAnsi="Times New Roman" w:eastAsia="宋体" w:cs="Times New Roman"/>
          <w:sz w:val="24"/>
          <w:szCs w:val="24"/>
        </w:rPr>
        <w:t>项目</w:t>
      </w:r>
      <w:r>
        <w:rPr>
          <w:rFonts w:hint="eastAsia" w:ascii="Times New Roman" w:hAnsi="Times New Roman" w:eastAsia="宋体" w:cs="Times New Roman"/>
          <w:sz w:val="24"/>
          <w:szCs w:val="24"/>
          <w:lang w:eastAsia="zh-CN"/>
        </w:rPr>
        <w:t>主要</w:t>
      </w:r>
      <w:r>
        <w:rPr>
          <w:rFonts w:ascii="Times New Roman" w:hAnsi="Times New Roman" w:eastAsia="宋体" w:cs="Times New Roman"/>
          <w:sz w:val="24"/>
          <w:szCs w:val="24"/>
        </w:rPr>
        <w:t>原辅材料见表2-2。</w:t>
      </w:r>
    </w:p>
    <w:p>
      <w:pPr>
        <w:adjustRightInd w:val="0"/>
        <w:snapToGrid w:val="0"/>
        <w:spacing w:line="440" w:lineRule="exact"/>
        <w:jc w:val="cente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表2-2    原辅材料及能源消耗表</w:t>
      </w:r>
    </w:p>
    <w:tbl>
      <w:tblPr>
        <w:tblStyle w:val="11"/>
        <w:tblW w:w="844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1"/>
        <w:gridCol w:w="2740"/>
        <w:gridCol w:w="2400"/>
        <w:gridCol w:w="23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序号</w:t>
            </w:r>
          </w:p>
        </w:tc>
        <w:tc>
          <w:tcPr>
            <w:tcW w:w="2740"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名称</w:t>
            </w:r>
          </w:p>
        </w:tc>
        <w:tc>
          <w:tcPr>
            <w:tcW w:w="2400"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单位</w:t>
            </w:r>
          </w:p>
        </w:tc>
        <w:tc>
          <w:tcPr>
            <w:tcW w:w="2350"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用量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1</w:t>
            </w:r>
          </w:p>
        </w:tc>
        <w:tc>
          <w:tcPr>
            <w:tcW w:w="2740" w:type="dxa"/>
            <w:vAlign w:val="center"/>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bCs/>
                <w:iCs/>
                <w:szCs w:val="21"/>
                <w:lang w:eastAsia="zh-CN"/>
              </w:rPr>
              <w:t>钢板</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1500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2</w:t>
            </w:r>
          </w:p>
        </w:tc>
        <w:tc>
          <w:tcPr>
            <w:tcW w:w="2740" w:type="dxa"/>
            <w:vAlign w:val="center"/>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szCs w:val="21"/>
                <w:lang w:eastAsia="zh-CN"/>
              </w:rPr>
              <w:t>钢管</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3</w:t>
            </w:r>
          </w:p>
        </w:tc>
        <w:tc>
          <w:tcPr>
            <w:tcW w:w="2740" w:type="dxa"/>
            <w:vAlign w:val="center"/>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bCs/>
                <w:iCs/>
                <w:szCs w:val="21"/>
                <w:lang w:val="en-US" w:eastAsia="zh-CN"/>
              </w:rPr>
              <w:t>焊丝</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ascii="Times New Roman" w:hAnsi="Times New Roman" w:eastAsia="宋体" w:cs="Times New Roman"/>
                <w:bCs/>
                <w:iCs/>
                <w:szCs w:val="21"/>
              </w:rPr>
            </w:pPr>
            <w:r>
              <w:rPr>
                <w:rFonts w:hint="eastAsia" w:ascii="Times New Roman" w:hAnsi="Times New Roman" w:cs="Times New Roman"/>
                <w:szCs w:val="21"/>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4</w:t>
            </w:r>
          </w:p>
        </w:tc>
        <w:tc>
          <w:tcPr>
            <w:tcW w:w="2740" w:type="dxa"/>
            <w:vAlign w:val="center"/>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szCs w:val="21"/>
                <w:lang w:eastAsia="zh-CN"/>
              </w:rPr>
              <w:t>螺丝</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5</w:t>
            </w:r>
          </w:p>
        </w:tc>
        <w:tc>
          <w:tcPr>
            <w:tcW w:w="2740" w:type="dxa"/>
            <w:vAlign w:val="center"/>
          </w:tcPr>
          <w:p>
            <w:pPr>
              <w:jc w:val="center"/>
              <w:rPr>
                <w:rFonts w:hint="default" w:ascii="Times New Roman" w:hAnsi="Times New Roman" w:eastAsia="宋体" w:cs="Times New Roman"/>
                <w:bCs/>
                <w:iCs/>
                <w:szCs w:val="21"/>
                <w:lang w:val="en-US" w:eastAsia="zh-CN"/>
              </w:rPr>
            </w:pPr>
            <w:r>
              <w:rPr>
                <w:rFonts w:hint="eastAsia" w:ascii="Times New Roman" w:hAnsi="Times New Roman" w:eastAsia="宋体" w:cs="Times New Roman"/>
                <w:szCs w:val="21"/>
                <w:lang w:val="en-US" w:eastAsia="zh-CN"/>
              </w:rPr>
              <w:t>CO</w:t>
            </w:r>
            <w:r>
              <w:rPr>
                <w:rFonts w:hint="eastAsia" w:ascii="Times New Roman" w:hAnsi="Times New Roman" w:eastAsia="宋体" w:cs="Times New Roman"/>
                <w:szCs w:val="21"/>
                <w:vertAlign w:val="subscript"/>
                <w:lang w:val="en-US" w:eastAsia="zh-CN"/>
              </w:rPr>
              <w:t>2</w:t>
            </w:r>
          </w:p>
        </w:tc>
        <w:tc>
          <w:tcPr>
            <w:tcW w:w="2400" w:type="dxa"/>
            <w:vAlign w:val="center"/>
          </w:tcPr>
          <w:p>
            <w:pPr>
              <w:jc w:val="center"/>
              <w:rPr>
                <w:rFonts w:ascii="Times New Roman" w:hAnsi="Times New Roman" w:eastAsia="宋体" w:cs="Times New Roman"/>
                <w:szCs w:val="21"/>
              </w:rPr>
            </w:pPr>
            <w:r>
              <w:rPr>
                <w:rFonts w:ascii="Times New Roman" w:hAnsi="Times New Roman" w:cs="Times New Roman"/>
                <w:szCs w:val="21"/>
              </w:rPr>
              <w:t>t/a</w:t>
            </w:r>
          </w:p>
        </w:tc>
        <w:tc>
          <w:tcPr>
            <w:tcW w:w="2350" w:type="dxa"/>
          </w:tcPr>
          <w:p>
            <w:pPr>
              <w:jc w:val="center"/>
              <w:rPr>
                <w:rFonts w:hint="eastAsia" w:ascii="Times New Roman" w:hAnsi="Times New Roman" w:eastAsia="宋体" w:cs="Times New Roman"/>
                <w:bCs/>
                <w:iCs/>
                <w:szCs w:val="21"/>
                <w:lang w:eastAsia="zh-CN"/>
              </w:rPr>
            </w:pPr>
            <w:r>
              <w:rPr>
                <w:rFonts w:hint="eastAsia" w:ascii="Times New Roman" w:hAnsi="Times New Roman" w:eastAsia="宋体" w:cs="Times New Roman"/>
                <w:szCs w:val="21"/>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6</w:t>
            </w:r>
          </w:p>
        </w:tc>
        <w:tc>
          <w:tcPr>
            <w:tcW w:w="2740" w:type="dxa"/>
            <w:vAlign w:val="center"/>
          </w:tcPr>
          <w:p>
            <w:pPr>
              <w:jc w:val="center"/>
              <w:rPr>
                <w:rFonts w:hint="eastAsia" w:ascii="Times New Roman" w:hAnsi="Times New Roman" w:cs="Times New Roman" w:eastAsiaTheme="minorEastAsia"/>
                <w:szCs w:val="21"/>
                <w:lang w:eastAsia="zh-CN"/>
              </w:rPr>
            </w:pPr>
            <w:r>
              <w:rPr>
                <w:rFonts w:hint="eastAsia" w:ascii="Times New Roman" w:hAnsi="Times New Roman" w:cs="Times New Roman"/>
                <w:szCs w:val="21"/>
                <w:lang w:eastAsia="zh-CN"/>
              </w:rPr>
              <w:t>电</w:t>
            </w:r>
          </w:p>
        </w:tc>
        <w:tc>
          <w:tcPr>
            <w:tcW w:w="2400" w:type="dxa"/>
            <w:vAlign w:val="center"/>
          </w:tcPr>
          <w:p>
            <w:pPr>
              <w:jc w:val="center"/>
              <w:rPr>
                <w:rFonts w:ascii="Times New Roman" w:hAnsi="Times New Roman" w:cs="Times New Roman"/>
                <w:sz w:val="24"/>
                <w:szCs w:val="24"/>
              </w:rPr>
            </w:pPr>
            <w:r>
              <w:rPr>
                <w:rFonts w:ascii="Times New Roman" w:hAnsi="Times New Roman" w:cs="Times New Roman"/>
                <w:szCs w:val="21"/>
              </w:rPr>
              <w:t>万kW·h/a</w:t>
            </w:r>
          </w:p>
        </w:tc>
        <w:tc>
          <w:tcPr>
            <w:tcW w:w="2350" w:type="dxa"/>
          </w:tcPr>
          <w:p>
            <w:pPr>
              <w:jc w:val="center"/>
              <w:rPr>
                <w:rFonts w:hint="default" w:ascii="Times New Roman" w:hAnsi="Times New Roman" w:cs="Times New Roman" w:eastAsiaTheme="minorEastAsia"/>
                <w:szCs w:val="21"/>
                <w:lang w:val="en-US" w:eastAsia="zh-CN"/>
              </w:rPr>
            </w:pPr>
            <w:r>
              <w:rPr>
                <w:rFonts w:hint="eastAsia" w:ascii="Times New Roman" w:hAnsi="Times New Roman" w:cs="Times New Roman"/>
                <w:szCs w:val="21"/>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 w:type="dxa"/>
            <w:vAlign w:val="center"/>
          </w:tcPr>
          <w:p>
            <w:pPr>
              <w:adjustRightInd w:val="0"/>
              <w:snapToGrid w:val="0"/>
              <w:spacing w:line="440" w:lineRule="exact"/>
              <w:jc w:val="center"/>
              <w:rPr>
                <w:rFonts w:ascii="Times New Roman" w:hAnsi="Times New Roman" w:eastAsia="宋体" w:cs="Times New Roman"/>
                <w:bCs/>
                <w:iCs/>
                <w:szCs w:val="21"/>
              </w:rPr>
            </w:pPr>
            <w:r>
              <w:rPr>
                <w:rFonts w:ascii="Times New Roman" w:hAnsi="Times New Roman" w:eastAsia="宋体" w:cs="Times New Roman"/>
                <w:bCs/>
                <w:iCs/>
                <w:szCs w:val="21"/>
              </w:rPr>
              <w:t>7</w:t>
            </w:r>
          </w:p>
        </w:tc>
        <w:tc>
          <w:tcPr>
            <w:tcW w:w="2740" w:type="dxa"/>
            <w:vAlign w:val="center"/>
          </w:tcPr>
          <w:p>
            <w:pPr>
              <w:jc w:val="center"/>
              <w:rPr>
                <w:rFonts w:hint="eastAsia" w:ascii="Times New Roman" w:hAnsi="Times New Roman" w:cs="Times New Roman" w:eastAsiaTheme="minorEastAsia"/>
                <w:szCs w:val="21"/>
                <w:lang w:eastAsia="zh-CN"/>
              </w:rPr>
            </w:pPr>
            <w:r>
              <w:rPr>
                <w:rFonts w:hint="eastAsia" w:ascii="Times New Roman" w:hAnsi="Times New Roman" w:cs="Times New Roman"/>
                <w:szCs w:val="21"/>
                <w:lang w:eastAsia="zh-CN"/>
              </w:rPr>
              <w:t>水</w:t>
            </w:r>
          </w:p>
        </w:tc>
        <w:tc>
          <w:tcPr>
            <w:tcW w:w="2400" w:type="dxa"/>
            <w:vAlign w:val="center"/>
          </w:tcPr>
          <w:p>
            <w:pPr>
              <w:jc w:val="center"/>
              <w:rPr>
                <w:rFonts w:ascii="Times New Roman" w:hAnsi="Times New Roman" w:cs="Times New Roman"/>
                <w:sz w:val="24"/>
                <w:szCs w:val="24"/>
              </w:rPr>
            </w:pPr>
            <w:r>
              <w:rPr>
                <w:rFonts w:hint="eastAsia" w:ascii="Times New Roman" w:hAnsi="Times New Roman" w:cs="Times New Roman"/>
                <w:sz w:val="24"/>
                <w:szCs w:val="24"/>
                <w:lang w:val="en-US" w:eastAsia="zh-CN"/>
              </w:rPr>
              <w:t>t</w:t>
            </w:r>
            <w:r>
              <w:rPr>
                <w:rFonts w:ascii="Times New Roman" w:hAnsi="Times New Roman" w:cs="Times New Roman"/>
                <w:sz w:val="24"/>
                <w:szCs w:val="24"/>
              </w:rPr>
              <w:t>/a</w:t>
            </w:r>
          </w:p>
        </w:tc>
        <w:tc>
          <w:tcPr>
            <w:tcW w:w="2350" w:type="dxa"/>
          </w:tcPr>
          <w:p>
            <w:pPr>
              <w:jc w:val="center"/>
              <w:rPr>
                <w:rFonts w:hint="default" w:ascii="Times New Roman" w:hAnsi="Times New Roman" w:cs="Times New Roman" w:eastAsiaTheme="minorEastAsia"/>
                <w:szCs w:val="21"/>
                <w:lang w:val="en-US" w:eastAsia="zh-CN"/>
              </w:rPr>
            </w:pPr>
            <w:r>
              <w:rPr>
                <w:rFonts w:hint="eastAsia" w:ascii="Times New Roman" w:hAnsi="Times New Roman" w:cs="Times New Roman"/>
                <w:szCs w:val="21"/>
                <w:lang w:val="en-US" w:eastAsia="zh-CN"/>
              </w:rPr>
              <w:t>90</w:t>
            </w:r>
          </w:p>
        </w:tc>
      </w:tr>
    </w:tbl>
    <w:p>
      <w:pPr>
        <w:adjustRightInd w:val="0"/>
        <w:snapToGrid w:val="0"/>
        <w:spacing w:line="440" w:lineRule="exact"/>
        <w:jc w:val="center"/>
        <w:rPr>
          <w:rFonts w:ascii="Times New Roman" w:hAnsi="Times New Roman" w:eastAsia="宋体" w:cs="Times New Roman"/>
          <w:b/>
          <w:sz w:val="24"/>
          <w:szCs w:val="24"/>
        </w:rPr>
      </w:pP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b/>
          <w:sz w:val="24"/>
          <w:szCs w:val="24"/>
        </w:rPr>
        <w:t>表2-3    主要建设内容一览表</w:t>
      </w:r>
    </w:p>
    <w:tbl>
      <w:tblPr>
        <w:tblStyle w:val="11"/>
        <w:tblW w:w="808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85"/>
        <w:gridCol w:w="1418"/>
        <w:gridCol w:w="5884"/>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785" w:type="dxa"/>
            <w:noWrap w:val="0"/>
            <w:vAlign w:val="center"/>
          </w:tcPr>
          <w:p>
            <w:pPr>
              <w:jc w:val="center"/>
              <w:rPr>
                <w:szCs w:val="24"/>
              </w:rPr>
            </w:pPr>
            <w:bookmarkStart w:id="75" w:name="_Toc496979007"/>
            <w:bookmarkStart w:id="76" w:name="_Toc497001443"/>
            <w:r>
              <w:rPr>
                <w:rFonts w:hint="eastAsia" w:hAnsi="宋体"/>
              </w:rPr>
              <w:t>名称</w:t>
            </w:r>
          </w:p>
        </w:tc>
        <w:tc>
          <w:tcPr>
            <w:tcW w:w="7302" w:type="dxa"/>
            <w:gridSpan w:val="2"/>
            <w:noWrap w:val="0"/>
            <w:vAlign w:val="center"/>
          </w:tcPr>
          <w:p>
            <w:pPr>
              <w:jc w:val="center"/>
              <w:rPr>
                <w:szCs w:val="24"/>
              </w:rPr>
            </w:pPr>
            <w:r>
              <w:rPr>
                <w:rFonts w:hint="eastAsia" w:hAnsi="宋体"/>
              </w:rPr>
              <w:t>工程内容</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9" w:hRule="atLeast"/>
          <w:jc w:val="center"/>
        </w:trPr>
        <w:tc>
          <w:tcPr>
            <w:tcW w:w="785" w:type="dxa"/>
            <w:vMerge w:val="restart"/>
            <w:noWrap w:val="0"/>
            <w:vAlign w:val="center"/>
          </w:tcPr>
          <w:p>
            <w:pPr>
              <w:jc w:val="center"/>
              <w:rPr>
                <w:szCs w:val="24"/>
              </w:rPr>
            </w:pPr>
            <w:r>
              <w:rPr>
                <w:rFonts w:hint="eastAsia" w:hAnsi="宋体"/>
              </w:rPr>
              <w:t>主体工程</w:t>
            </w:r>
          </w:p>
        </w:tc>
        <w:tc>
          <w:tcPr>
            <w:tcW w:w="1418" w:type="dxa"/>
            <w:noWrap w:val="0"/>
            <w:vAlign w:val="center"/>
          </w:tcPr>
          <w:p>
            <w:pPr>
              <w:jc w:val="center"/>
              <w:rPr>
                <w:szCs w:val="24"/>
              </w:rPr>
            </w:pPr>
            <w:r>
              <w:rPr>
                <w:rFonts w:hint="eastAsia"/>
                <w:szCs w:val="24"/>
              </w:rPr>
              <w:t>生产线</w:t>
            </w:r>
          </w:p>
        </w:tc>
        <w:tc>
          <w:tcPr>
            <w:tcW w:w="5884" w:type="dxa"/>
            <w:noWrap w:val="0"/>
            <w:vAlign w:val="center"/>
          </w:tcPr>
          <w:p>
            <w:pPr>
              <w:jc w:val="center"/>
              <w:rPr>
                <w:szCs w:val="24"/>
              </w:rPr>
            </w:pPr>
            <w:r>
              <w:rPr>
                <w:rFonts w:hint="eastAsia"/>
                <w:szCs w:val="24"/>
              </w:rPr>
              <w:t>管件生产线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01" w:hRule="exact"/>
          <w:jc w:val="center"/>
        </w:trPr>
        <w:tc>
          <w:tcPr>
            <w:tcW w:w="785" w:type="dxa"/>
            <w:vMerge w:val="continue"/>
            <w:noWrap w:val="0"/>
            <w:vAlign w:val="center"/>
          </w:tcPr>
          <w:p>
            <w:pPr>
              <w:jc w:val="center"/>
              <w:rPr>
                <w:rFonts w:hint="eastAsia" w:hAnsi="宋体"/>
              </w:rPr>
            </w:pPr>
          </w:p>
        </w:tc>
        <w:tc>
          <w:tcPr>
            <w:tcW w:w="1418" w:type="dxa"/>
            <w:noWrap w:val="0"/>
            <w:vAlign w:val="center"/>
          </w:tcPr>
          <w:p>
            <w:pPr>
              <w:jc w:val="center"/>
              <w:rPr>
                <w:szCs w:val="24"/>
              </w:rPr>
            </w:pPr>
            <w:r>
              <w:rPr>
                <w:rFonts w:hint="eastAsia"/>
                <w:szCs w:val="24"/>
              </w:rPr>
              <w:t>生产车间一</w:t>
            </w:r>
          </w:p>
        </w:tc>
        <w:tc>
          <w:tcPr>
            <w:tcW w:w="5884" w:type="dxa"/>
            <w:noWrap w:val="0"/>
            <w:vAlign w:val="center"/>
          </w:tcPr>
          <w:p>
            <w:pPr>
              <w:jc w:val="left"/>
              <w:rPr>
                <w:szCs w:val="24"/>
              </w:rPr>
            </w:pPr>
            <w:r>
              <w:rPr>
                <w:rFonts w:hint="eastAsia"/>
                <w:szCs w:val="24"/>
              </w:rPr>
              <w:t>1座，建筑面积2000m</w:t>
            </w:r>
            <w:r>
              <w:rPr>
                <w:rFonts w:hint="eastAsia"/>
                <w:szCs w:val="24"/>
                <w:vertAlign w:val="superscript"/>
              </w:rPr>
              <w:t>2</w:t>
            </w:r>
            <w:r>
              <w:rPr>
                <w:rFonts w:hint="eastAsia"/>
                <w:szCs w:val="24"/>
              </w:rPr>
              <w:t>，高度为10m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1" w:hRule="exact"/>
          <w:jc w:val="center"/>
        </w:trPr>
        <w:tc>
          <w:tcPr>
            <w:tcW w:w="785" w:type="dxa"/>
            <w:vMerge w:val="continue"/>
            <w:noWrap w:val="0"/>
            <w:vAlign w:val="center"/>
          </w:tcPr>
          <w:p>
            <w:pPr>
              <w:jc w:val="center"/>
              <w:rPr>
                <w:rFonts w:hint="eastAsia" w:hAnsi="宋体"/>
              </w:rPr>
            </w:pPr>
          </w:p>
        </w:tc>
        <w:tc>
          <w:tcPr>
            <w:tcW w:w="1418" w:type="dxa"/>
            <w:noWrap w:val="0"/>
            <w:vAlign w:val="center"/>
          </w:tcPr>
          <w:p>
            <w:pPr>
              <w:jc w:val="center"/>
              <w:rPr>
                <w:szCs w:val="24"/>
              </w:rPr>
            </w:pPr>
            <w:r>
              <w:rPr>
                <w:rFonts w:hint="eastAsia"/>
                <w:szCs w:val="24"/>
              </w:rPr>
              <w:t>生产车间二</w:t>
            </w:r>
          </w:p>
        </w:tc>
        <w:tc>
          <w:tcPr>
            <w:tcW w:w="5884" w:type="dxa"/>
            <w:noWrap w:val="0"/>
            <w:vAlign w:val="center"/>
          </w:tcPr>
          <w:p>
            <w:pPr>
              <w:jc w:val="left"/>
              <w:rPr>
                <w:szCs w:val="24"/>
              </w:rPr>
            </w:pPr>
            <w:r>
              <w:rPr>
                <w:rFonts w:hint="eastAsia"/>
                <w:szCs w:val="24"/>
              </w:rPr>
              <w:t>1座，建筑面积300m</w:t>
            </w:r>
            <w:r>
              <w:rPr>
                <w:rFonts w:hint="eastAsia"/>
                <w:szCs w:val="24"/>
                <w:vertAlign w:val="superscript"/>
              </w:rPr>
              <w:t>2</w:t>
            </w:r>
            <w:r>
              <w:rPr>
                <w:rFonts w:hint="eastAsia"/>
                <w:szCs w:val="24"/>
              </w:rPr>
              <w:t>，高度为8m</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exact"/>
          <w:jc w:val="center"/>
        </w:trPr>
        <w:tc>
          <w:tcPr>
            <w:tcW w:w="785" w:type="dxa"/>
            <w:vMerge w:val="restart"/>
            <w:noWrap w:val="0"/>
            <w:vAlign w:val="center"/>
          </w:tcPr>
          <w:p>
            <w:pPr>
              <w:jc w:val="center"/>
              <w:rPr>
                <w:szCs w:val="24"/>
              </w:rPr>
            </w:pPr>
            <w:r>
              <w:rPr>
                <w:rFonts w:hint="eastAsia" w:hAnsi="宋体"/>
              </w:rPr>
              <w:t>公用工程</w:t>
            </w:r>
          </w:p>
        </w:tc>
        <w:tc>
          <w:tcPr>
            <w:tcW w:w="1418" w:type="dxa"/>
            <w:noWrap w:val="0"/>
            <w:vAlign w:val="center"/>
          </w:tcPr>
          <w:p>
            <w:pPr>
              <w:jc w:val="center"/>
              <w:rPr>
                <w:szCs w:val="21"/>
              </w:rPr>
            </w:pPr>
            <w:r>
              <w:rPr>
                <w:rFonts w:hint="eastAsia" w:hAnsi="宋体"/>
                <w:szCs w:val="21"/>
              </w:rPr>
              <w:t>供水</w:t>
            </w:r>
            <w:r>
              <w:rPr>
                <w:szCs w:val="21"/>
              </w:rPr>
              <w:t xml:space="preserve"> </w:t>
            </w:r>
          </w:p>
        </w:tc>
        <w:tc>
          <w:tcPr>
            <w:tcW w:w="5884" w:type="dxa"/>
            <w:noWrap w:val="0"/>
            <w:vAlign w:val="center"/>
          </w:tcPr>
          <w:p>
            <w:pPr>
              <w:jc w:val="left"/>
              <w:rPr>
                <w:szCs w:val="21"/>
              </w:rPr>
            </w:pPr>
            <w:r>
              <w:rPr>
                <w:rFonts w:hint="eastAsia" w:hAnsi="宋体"/>
              </w:rPr>
              <w:t>盐山五里窑金锁园区</w:t>
            </w:r>
            <w:r>
              <w:rPr>
                <w:rFonts w:hint="eastAsia" w:hAnsi="宋体"/>
                <w:szCs w:val="21"/>
              </w:rPr>
              <w:t>供水管网供给</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供电</w:t>
            </w:r>
            <w:r>
              <w:rPr>
                <w:szCs w:val="21"/>
              </w:rPr>
              <w:t xml:space="preserve"> </w:t>
            </w:r>
          </w:p>
        </w:tc>
        <w:tc>
          <w:tcPr>
            <w:tcW w:w="5884" w:type="dxa"/>
            <w:noWrap w:val="0"/>
            <w:vAlign w:val="center"/>
          </w:tcPr>
          <w:p>
            <w:pPr>
              <w:jc w:val="left"/>
              <w:rPr>
                <w:szCs w:val="21"/>
              </w:rPr>
            </w:pPr>
            <w:r>
              <w:rPr>
                <w:rFonts w:hint="eastAsia" w:hAnsi="宋体"/>
              </w:rPr>
              <w:t>盐山五里窑金锁园区</w:t>
            </w:r>
            <w:r>
              <w:rPr>
                <w:rFonts w:hint="eastAsia" w:hAnsi="宋体"/>
                <w:szCs w:val="21"/>
              </w:rPr>
              <w:t>供电系统提供</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85" w:type="dxa"/>
            <w:vMerge w:val="restart"/>
            <w:noWrap w:val="0"/>
            <w:vAlign w:val="center"/>
          </w:tcPr>
          <w:p>
            <w:pPr>
              <w:widowControl/>
              <w:jc w:val="left"/>
              <w:rPr>
                <w:szCs w:val="24"/>
              </w:rPr>
            </w:pPr>
            <w:r>
              <w:rPr>
                <w:rFonts w:hint="eastAsia"/>
                <w:szCs w:val="24"/>
              </w:rPr>
              <w:t>环保工程</w:t>
            </w:r>
          </w:p>
        </w:tc>
        <w:tc>
          <w:tcPr>
            <w:tcW w:w="1418" w:type="dxa"/>
            <w:noWrap w:val="0"/>
            <w:vAlign w:val="center"/>
          </w:tcPr>
          <w:p>
            <w:pPr>
              <w:jc w:val="center"/>
              <w:rPr>
                <w:szCs w:val="21"/>
              </w:rPr>
            </w:pPr>
            <w:r>
              <w:rPr>
                <w:rFonts w:hint="eastAsia" w:hAnsi="宋体"/>
                <w:szCs w:val="21"/>
              </w:rPr>
              <w:t>废气</w:t>
            </w:r>
          </w:p>
        </w:tc>
        <w:tc>
          <w:tcPr>
            <w:tcW w:w="5884" w:type="dxa"/>
            <w:noWrap w:val="0"/>
            <w:vAlign w:val="center"/>
          </w:tcPr>
          <w:p>
            <w:pPr>
              <w:jc w:val="left"/>
              <w:rPr>
                <w:szCs w:val="21"/>
              </w:rPr>
            </w:pPr>
            <w:r>
              <w:rPr>
                <w:rFonts w:hint="eastAsia" w:hAnsi="宋体"/>
                <w:szCs w:val="21"/>
              </w:rPr>
              <w:t>下料、机加工、焊接工序产生的烟尘由移动式焊烟净化器处理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89"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废水</w:t>
            </w:r>
          </w:p>
        </w:tc>
        <w:tc>
          <w:tcPr>
            <w:tcW w:w="5884" w:type="dxa"/>
            <w:noWrap w:val="0"/>
            <w:vAlign w:val="center"/>
          </w:tcPr>
          <w:p>
            <w:pPr>
              <w:jc w:val="left"/>
              <w:rPr>
                <w:szCs w:val="21"/>
              </w:rPr>
            </w:pPr>
            <w:r>
              <w:rPr>
                <w:rFonts w:hint="eastAsia" w:hAnsi="宋体"/>
                <w:szCs w:val="21"/>
              </w:rPr>
              <w:t>办公生活产生生活污水，用于厂区泼洒抑尘，不外排，厂区设防渗旱厕定期清掏用作农肥</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噪声</w:t>
            </w:r>
          </w:p>
        </w:tc>
        <w:tc>
          <w:tcPr>
            <w:tcW w:w="5884" w:type="dxa"/>
            <w:noWrap w:val="0"/>
            <w:vAlign w:val="center"/>
          </w:tcPr>
          <w:p>
            <w:pPr>
              <w:jc w:val="left"/>
              <w:rPr>
                <w:szCs w:val="21"/>
              </w:rPr>
            </w:pPr>
            <w:r>
              <w:rPr>
                <w:rFonts w:hint="eastAsia" w:hAnsi="宋体"/>
                <w:szCs w:val="21"/>
              </w:rPr>
              <w:t>基础减振，厂房隔声</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621" w:hRule="atLeast"/>
          <w:jc w:val="center"/>
        </w:trPr>
        <w:tc>
          <w:tcPr>
            <w:tcW w:w="785" w:type="dxa"/>
            <w:vMerge w:val="continue"/>
            <w:noWrap w:val="0"/>
            <w:vAlign w:val="center"/>
          </w:tcPr>
          <w:p>
            <w:pPr>
              <w:widowControl/>
              <w:jc w:val="left"/>
              <w:rPr>
                <w:szCs w:val="24"/>
              </w:rPr>
            </w:pPr>
          </w:p>
        </w:tc>
        <w:tc>
          <w:tcPr>
            <w:tcW w:w="1418" w:type="dxa"/>
            <w:noWrap w:val="0"/>
            <w:vAlign w:val="center"/>
          </w:tcPr>
          <w:p>
            <w:pPr>
              <w:jc w:val="center"/>
              <w:rPr>
                <w:szCs w:val="21"/>
              </w:rPr>
            </w:pPr>
            <w:r>
              <w:rPr>
                <w:rFonts w:hint="eastAsia" w:hAnsi="宋体"/>
                <w:szCs w:val="21"/>
              </w:rPr>
              <w:t>固废</w:t>
            </w:r>
          </w:p>
        </w:tc>
        <w:tc>
          <w:tcPr>
            <w:tcW w:w="5884" w:type="dxa"/>
            <w:noWrap w:val="0"/>
            <w:vAlign w:val="center"/>
          </w:tcPr>
          <w:p>
            <w:pPr>
              <w:jc w:val="left"/>
              <w:rPr>
                <w:szCs w:val="21"/>
              </w:rPr>
            </w:pPr>
            <w:r>
              <w:rPr>
                <w:rFonts w:hint="eastAsia" w:hAnsi="宋体"/>
                <w:szCs w:val="21"/>
              </w:rPr>
              <w:t>下料、压制、机加工产生的边角料收集后外售综合利用</w:t>
            </w:r>
          </w:p>
          <w:p>
            <w:pPr>
              <w:jc w:val="left"/>
              <w:rPr>
                <w:szCs w:val="21"/>
              </w:rPr>
            </w:pPr>
            <w:r>
              <w:rPr>
                <w:rFonts w:hint="eastAsia" w:hAnsi="宋体"/>
                <w:szCs w:val="21"/>
              </w:rPr>
              <w:t>生活垃圾：收集后由环卫部门定期清运处理</w:t>
            </w:r>
          </w:p>
          <w:p>
            <w:pPr>
              <w:jc w:val="left"/>
              <w:rPr>
                <w:szCs w:val="21"/>
                <w:highlight w:val="yellow"/>
              </w:rPr>
            </w:pPr>
            <w:r>
              <w:rPr>
                <w:rFonts w:hint="eastAsia" w:hAnsi="宋体"/>
                <w:szCs w:val="21"/>
              </w:rPr>
              <w:t>焊烟净化器收集粉尘：收集后外售综合利用</w:t>
            </w:r>
          </w:p>
        </w:tc>
      </w:tr>
    </w:tbl>
    <w:p>
      <w:pPr>
        <w:pStyle w:val="7"/>
        <w:rPr>
          <w:rFonts w:ascii="Times New Roman" w:hAnsi="Times New Roman" w:cs="Times New Roman"/>
        </w:rPr>
      </w:pPr>
      <w:r>
        <w:rPr>
          <w:rFonts w:ascii="Times New Roman" w:hAnsi="Times New Roman" w:cs="Times New Roman"/>
        </w:rPr>
        <w:t>2.2.4 生产设备</w:t>
      </w:r>
      <w:bookmarkEnd w:id="75"/>
      <w:bookmarkEnd w:id="76"/>
    </w:p>
    <w:p>
      <w:pPr>
        <w:spacing w:line="360" w:lineRule="auto"/>
        <w:ind w:firstLine="480" w:firstLineChars="200"/>
        <w:textAlignment w:val="baseline"/>
        <w:rPr>
          <w:rFonts w:ascii="Times New Roman" w:hAnsi="Times New Roman" w:eastAsia="宋体" w:cs="Times New Roman"/>
          <w:sz w:val="24"/>
          <w:szCs w:val="24"/>
        </w:rPr>
      </w:pPr>
      <w:r>
        <w:rPr>
          <w:rFonts w:ascii="Times New Roman" w:hAnsi="Times New Roman" w:eastAsia="宋体" w:cs="Times New Roman"/>
          <w:sz w:val="24"/>
          <w:szCs w:val="24"/>
        </w:rPr>
        <w:t>项目设备一览表见表2-4。</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表2-4  设备一览表</w:t>
      </w:r>
    </w:p>
    <w:tbl>
      <w:tblPr>
        <w:tblStyle w:val="1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24"/>
        <w:gridCol w:w="2225"/>
        <w:gridCol w:w="2224"/>
        <w:gridCol w:w="22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2224" w:type="dxa"/>
            <w:noWrap w:val="0"/>
            <w:vAlign w:val="center"/>
          </w:tcPr>
          <w:p>
            <w:pPr>
              <w:widowControl/>
              <w:spacing w:line="0" w:lineRule="atLeast"/>
              <w:jc w:val="center"/>
              <w:textAlignment w:val="baseline"/>
              <w:rPr>
                <w:kern w:val="0"/>
                <w:szCs w:val="21"/>
                <w:u w:val="none" w:color="000000"/>
              </w:rPr>
            </w:pPr>
            <w:r>
              <w:rPr>
                <w:kern w:val="0"/>
                <w:szCs w:val="21"/>
                <w:u w:val="none" w:color="000000"/>
              </w:rPr>
              <w:t>序号</w:t>
            </w:r>
          </w:p>
        </w:tc>
        <w:tc>
          <w:tcPr>
            <w:tcW w:w="2225" w:type="dxa"/>
            <w:noWrap w:val="0"/>
            <w:vAlign w:val="center"/>
          </w:tcPr>
          <w:p>
            <w:pPr>
              <w:widowControl/>
              <w:spacing w:line="0" w:lineRule="atLeast"/>
              <w:jc w:val="center"/>
              <w:textAlignment w:val="baseline"/>
              <w:rPr>
                <w:kern w:val="0"/>
                <w:szCs w:val="21"/>
                <w:u w:val="none" w:color="000000"/>
              </w:rPr>
            </w:pPr>
            <w:r>
              <w:rPr>
                <w:kern w:val="0"/>
                <w:szCs w:val="21"/>
                <w:u w:val="none" w:color="000000"/>
              </w:rPr>
              <w:t>名称</w:t>
            </w:r>
          </w:p>
        </w:tc>
        <w:tc>
          <w:tcPr>
            <w:tcW w:w="2224" w:type="dxa"/>
            <w:noWrap w:val="0"/>
            <w:vAlign w:val="center"/>
          </w:tcPr>
          <w:p>
            <w:pPr>
              <w:widowControl/>
              <w:spacing w:line="0" w:lineRule="atLeast"/>
              <w:jc w:val="center"/>
              <w:textAlignment w:val="baseline"/>
              <w:rPr>
                <w:kern w:val="0"/>
                <w:szCs w:val="21"/>
                <w:u w:val="none" w:color="000000"/>
              </w:rPr>
            </w:pPr>
            <w:r>
              <w:rPr>
                <w:kern w:val="0"/>
                <w:szCs w:val="21"/>
                <w:u w:val="none" w:color="000000"/>
              </w:rPr>
              <w:t>单位</w:t>
            </w:r>
          </w:p>
        </w:tc>
        <w:tc>
          <w:tcPr>
            <w:tcW w:w="2227" w:type="dxa"/>
            <w:noWrap w:val="0"/>
            <w:vAlign w:val="center"/>
          </w:tcPr>
          <w:p>
            <w:pPr>
              <w:widowControl/>
              <w:spacing w:line="0" w:lineRule="atLeast"/>
              <w:jc w:val="center"/>
              <w:textAlignment w:val="baseline"/>
              <w:rPr>
                <w:kern w:val="0"/>
                <w:szCs w:val="21"/>
                <w:u w:val="none" w:color="000000"/>
              </w:rPr>
            </w:pPr>
            <w:r>
              <w:rPr>
                <w:kern w:val="0"/>
                <w:szCs w:val="21"/>
                <w:u w:val="none" w:color="000000"/>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2224" w:type="dxa"/>
            <w:noWrap w:val="0"/>
            <w:vAlign w:val="center"/>
          </w:tcPr>
          <w:p>
            <w:pPr>
              <w:spacing w:line="0" w:lineRule="atLeast"/>
              <w:jc w:val="center"/>
              <w:textAlignment w:val="baseline"/>
              <w:rPr>
                <w:kern w:val="0"/>
                <w:szCs w:val="21"/>
                <w:u w:val="none" w:color="000000"/>
              </w:rPr>
            </w:pPr>
            <w:r>
              <w:rPr>
                <w:kern w:val="0"/>
                <w:szCs w:val="21"/>
                <w:u w:val="none" w:color="000000"/>
              </w:rPr>
              <w:t>1</w:t>
            </w:r>
          </w:p>
        </w:tc>
        <w:tc>
          <w:tcPr>
            <w:tcW w:w="2225" w:type="dxa"/>
            <w:noWrap w:val="0"/>
            <w:vAlign w:val="center"/>
          </w:tcPr>
          <w:p>
            <w:pPr>
              <w:jc w:val="center"/>
              <w:rPr>
                <w:rFonts w:hint="default"/>
                <w:szCs w:val="21"/>
                <w:lang w:val="en-US" w:eastAsia="zh-CN"/>
              </w:rPr>
            </w:pPr>
            <w:r>
              <w:rPr>
                <w:rFonts w:hint="eastAsia"/>
                <w:szCs w:val="21"/>
                <w:lang w:val="en-US" w:eastAsia="zh-CN"/>
              </w:rPr>
              <w:t>35吨冲床</w:t>
            </w:r>
          </w:p>
        </w:tc>
        <w:tc>
          <w:tcPr>
            <w:tcW w:w="2224" w:type="dxa"/>
            <w:noWrap w:val="0"/>
            <w:vAlign w:val="center"/>
          </w:tcPr>
          <w:p>
            <w:pPr>
              <w:widowControl/>
              <w:spacing w:line="0" w:lineRule="atLeast"/>
              <w:jc w:val="center"/>
              <w:textAlignment w:val="baseline"/>
              <w:rPr>
                <w:kern w:val="0"/>
                <w:szCs w:val="21"/>
                <w:u w:val="none" w:color="000000"/>
              </w:rPr>
            </w:pPr>
            <w:r>
              <w:rPr>
                <w:kern w:val="0"/>
                <w:szCs w:val="21"/>
                <w:u w:val="none" w:color="000000"/>
              </w:rPr>
              <w:t>台</w:t>
            </w:r>
          </w:p>
        </w:tc>
        <w:tc>
          <w:tcPr>
            <w:tcW w:w="2227" w:type="dxa"/>
            <w:noWrap w:val="0"/>
            <w:vAlign w:val="center"/>
          </w:tcPr>
          <w:p>
            <w:pPr>
              <w:jc w:val="center"/>
              <w:rPr>
                <w:kern w:val="0"/>
                <w:sz w:val="21"/>
                <w:szCs w:val="21"/>
                <w:u w:val="none" w:color="000000"/>
              </w:rPr>
            </w:pPr>
            <w:r>
              <w:rPr>
                <w:rFonts w:hint="eastAsia"/>
                <w:sz w:val="21"/>
                <w:szCs w:val="21"/>
                <w:vertAlign w:val="baseline"/>
                <w:lang w:val="en-US" w:eastAsia="zh-CN"/>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2224" w:type="dxa"/>
            <w:noWrap w:val="0"/>
            <w:vAlign w:val="center"/>
          </w:tcPr>
          <w:p>
            <w:pPr>
              <w:widowControl/>
              <w:spacing w:line="0" w:lineRule="atLeast"/>
              <w:jc w:val="center"/>
              <w:textAlignment w:val="baseline"/>
              <w:rPr>
                <w:kern w:val="0"/>
                <w:szCs w:val="21"/>
                <w:u w:val="none" w:color="000000"/>
              </w:rPr>
            </w:pPr>
            <w:r>
              <w:rPr>
                <w:kern w:val="0"/>
                <w:szCs w:val="21"/>
                <w:u w:val="none" w:color="000000"/>
              </w:rPr>
              <w:t>2</w:t>
            </w:r>
          </w:p>
        </w:tc>
        <w:tc>
          <w:tcPr>
            <w:tcW w:w="2225" w:type="dxa"/>
            <w:noWrap w:val="0"/>
            <w:vAlign w:val="center"/>
          </w:tcPr>
          <w:p>
            <w:pPr>
              <w:jc w:val="center"/>
              <w:rPr>
                <w:rFonts w:hint="default"/>
                <w:szCs w:val="21"/>
                <w:lang w:val="en-US" w:eastAsia="zh-CN"/>
              </w:rPr>
            </w:pPr>
            <w:r>
              <w:rPr>
                <w:rFonts w:hint="eastAsia"/>
                <w:szCs w:val="21"/>
                <w:lang w:val="en-US" w:eastAsia="zh-CN"/>
              </w:rPr>
              <w:t>25吨冲床</w:t>
            </w:r>
          </w:p>
        </w:tc>
        <w:tc>
          <w:tcPr>
            <w:tcW w:w="2224" w:type="dxa"/>
            <w:noWrap w:val="0"/>
            <w:vAlign w:val="center"/>
          </w:tcPr>
          <w:p>
            <w:pPr>
              <w:widowControl/>
              <w:spacing w:line="0" w:lineRule="atLeast"/>
              <w:jc w:val="center"/>
              <w:textAlignment w:val="baseline"/>
              <w:rPr>
                <w:kern w:val="0"/>
                <w:szCs w:val="21"/>
                <w:u w:val="none" w:color="000000"/>
              </w:rPr>
            </w:pPr>
            <w:r>
              <w:rPr>
                <w:kern w:val="0"/>
                <w:szCs w:val="21"/>
                <w:u w:val="none" w:color="000000"/>
              </w:rPr>
              <w:t>台</w:t>
            </w:r>
          </w:p>
        </w:tc>
        <w:tc>
          <w:tcPr>
            <w:tcW w:w="2227" w:type="dxa"/>
            <w:noWrap w:val="0"/>
            <w:vAlign w:val="center"/>
          </w:tcPr>
          <w:p>
            <w:pPr>
              <w:jc w:val="center"/>
              <w:rPr>
                <w:kern w:val="0"/>
                <w:sz w:val="21"/>
                <w:szCs w:val="21"/>
                <w:u w:val="none" w:color="000000"/>
              </w:rPr>
            </w:pPr>
            <w:r>
              <w:rPr>
                <w:rFonts w:hint="eastAsia"/>
                <w:sz w:val="21"/>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2224" w:type="dxa"/>
            <w:noWrap w:val="0"/>
            <w:vAlign w:val="center"/>
          </w:tcPr>
          <w:p>
            <w:pPr>
              <w:widowControl/>
              <w:spacing w:line="0" w:lineRule="atLeast"/>
              <w:jc w:val="center"/>
              <w:textAlignment w:val="baseline"/>
              <w:rPr>
                <w:kern w:val="0"/>
                <w:szCs w:val="21"/>
                <w:u w:val="none" w:color="000000"/>
              </w:rPr>
            </w:pPr>
            <w:r>
              <w:rPr>
                <w:kern w:val="0"/>
                <w:szCs w:val="21"/>
                <w:u w:val="none" w:color="000000"/>
              </w:rPr>
              <w:t>3</w:t>
            </w:r>
          </w:p>
        </w:tc>
        <w:tc>
          <w:tcPr>
            <w:tcW w:w="2225" w:type="dxa"/>
            <w:noWrap w:val="0"/>
            <w:vAlign w:val="center"/>
          </w:tcPr>
          <w:p>
            <w:pPr>
              <w:jc w:val="center"/>
              <w:rPr>
                <w:rFonts w:hint="default"/>
                <w:szCs w:val="21"/>
                <w:lang w:val="en-US" w:eastAsia="zh-CN"/>
              </w:rPr>
            </w:pPr>
            <w:r>
              <w:rPr>
                <w:rFonts w:hint="eastAsia"/>
                <w:szCs w:val="21"/>
                <w:lang w:val="en-US" w:eastAsia="zh-CN"/>
              </w:rPr>
              <w:t>60吨冲床</w:t>
            </w:r>
          </w:p>
        </w:tc>
        <w:tc>
          <w:tcPr>
            <w:tcW w:w="2224" w:type="dxa"/>
            <w:noWrap w:val="0"/>
            <w:vAlign w:val="center"/>
          </w:tcPr>
          <w:p>
            <w:pPr>
              <w:widowControl/>
              <w:spacing w:line="0" w:lineRule="atLeast"/>
              <w:jc w:val="center"/>
              <w:textAlignment w:val="baseline"/>
              <w:rPr>
                <w:kern w:val="0"/>
                <w:szCs w:val="21"/>
                <w:u w:val="none" w:color="000000"/>
              </w:rPr>
            </w:pPr>
            <w:r>
              <w:rPr>
                <w:kern w:val="0"/>
                <w:szCs w:val="21"/>
                <w:u w:val="none" w:color="000000"/>
              </w:rPr>
              <w:t>台</w:t>
            </w:r>
          </w:p>
        </w:tc>
        <w:tc>
          <w:tcPr>
            <w:tcW w:w="2227" w:type="dxa"/>
            <w:noWrap w:val="0"/>
            <w:vAlign w:val="center"/>
          </w:tcPr>
          <w:p>
            <w:pPr>
              <w:jc w:val="center"/>
              <w:rPr>
                <w:kern w:val="0"/>
                <w:sz w:val="21"/>
                <w:szCs w:val="21"/>
                <w:u w:val="none" w:color="000000"/>
              </w:rPr>
            </w:pPr>
            <w:r>
              <w:rPr>
                <w:rFonts w:hint="eastAsia"/>
                <w:sz w:val="21"/>
                <w:szCs w:val="21"/>
                <w:vertAlign w:val="baseline"/>
                <w:lang w:val="en-US" w:eastAsia="zh-CN"/>
              </w:rPr>
              <w:t>4</w:t>
            </w:r>
          </w:p>
        </w:tc>
      </w:tr>
    </w:tbl>
    <w:p>
      <w:pPr>
        <w:adjustRightInd w:val="0"/>
        <w:snapToGrid w:val="0"/>
        <w:spacing w:line="440" w:lineRule="exact"/>
        <w:jc w:val="center"/>
        <w:rPr>
          <w:rFonts w:ascii="Times New Roman" w:hAnsi="Times New Roman" w:eastAsia="宋体" w:cs="Times New Roman"/>
          <w:b/>
          <w:sz w:val="24"/>
          <w:szCs w:val="24"/>
        </w:rPr>
      </w:pPr>
    </w:p>
    <w:p>
      <w:pPr>
        <w:pStyle w:val="6"/>
        <w:adjustRightInd w:val="0"/>
        <w:snapToGrid w:val="0"/>
        <w:spacing w:line="360" w:lineRule="auto"/>
        <w:rPr>
          <w:rFonts w:ascii="Times New Roman" w:hAnsi="Times New Roman" w:cs="Times New Roman"/>
        </w:rPr>
      </w:pPr>
      <w:bookmarkStart w:id="77" w:name="_Toc9300_WPSOffice_Level2"/>
      <w:r>
        <w:rPr>
          <w:rFonts w:ascii="Times New Roman" w:hAnsi="Times New Roman" w:cs="Times New Roman"/>
        </w:rPr>
        <w:t>2.3 工艺流程</w:t>
      </w:r>
      <w:bookmarkEnd w:id="77"/>
    </w:p>
    <w:p>
      <w:pPr>
        <w:adjustRightInd w:val="0"/>
        <w:snapToGrid w:val="0"/>
        <w:spacing w:line="360" w:lineRule="auto"/>
        <w:ind w:firstLine="480"/>
        <w:jc w:val="left"/>
        <w:rPr>
          <w:rFonts w:hint="eastAsia" w:ascii="Times New Roman" w:hAnsi="Times New Roman" w:eastAsia="宋体" w:cs="Times New Roman"/>
          <w:sz w:val="24"/>
          <w:szCs w:val="24"/>
          <w:lang w:eastAsia="zh-CN"/>
        </w:rPr>
      </w:pPr>
      <w:r>
        <w:rPr>
          <w:sz w:val="24"/>
        </w:rPr>
        <mc:AlternateContent>
          <mc:Choice Requires="wps">
            <w:drawing>
              <wp:anchor distT="0" distB="0" distL="114300" distR="114300" simplePos="0" relativeHeight="251659264" behindDoc="0" locked="0" layoutInCell="1" allowOverlap="1">
                <wp:simplePos x="0" y="0"/>
                <wp:positionH relativeFrom="column">
                  <wp:posOffset>1451610</wp:posOffset>
                </wp:positionH>
                <wp:positionV relativeFrom="paragraph">
                  <wp:posOffset>1233170</wp:posOffset>
                </wp:positionV>
                <wp:extent cx="903605" cy="243205"/>
                <wp:effectExtent l="0" t="0" r="10795" b="4445"/>
                <wp:wrapNone/>
                <wp:docPr id="24" name="文本框 24"/>
                <wp:cNvGraphicFramePr/>
                <a:graphic xmlns:a="http://schemas.openxmlformats.org/drawingml/2006/main">
                  <a:graphicData uri="http://schemas.microsoft.com/office/word/2010/wordprocessingShape">
                    <wps:wsp>
                      <wps:cNvSpPr txBox="1"/>
                      <wps:spPr>
                        <a:xfrm>
                          <a:off x="2425700" y="2138045"/>
                          <a:ext cx="903605" cy="24320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color w:val="000000" w:themeColor="text1"/>
                                <w:lang w:val="en-US" w:eastAsia="zh-CN"/>
                                <w14:textFill>
                                  <w14:solidFill>
                                    <w14:schemeClr w14:val="tx1"/>
                                  </w14:solidFill>
                                </w14:textFill>
                              </w:rPr>
                            </w:pPr>
                            <w:r>
                              <w:rPr>
                                <w:rFonts w:hint="eastAsia"/>
                                <w:lang w:val="en-US" w:eastAsia="zh-CN"/>
                              </w:rPr>
                              <w:t>N2、S2、G1</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14.3pt;margin-top:97.1pt;height:19.15pt;width:71.15pt;z-index:251659264;mso-width-relative:page;mso-height-relative:page;" fillcolor="#FFFFFF [3201]" filled="t" stroked="f" coordsize="21600,21600" o:gfxdata="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&#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Fw2t5TWAAAACwEAAA8AAAAAAAAAAQAgAAAAIgAAAGRy&#10;cy9kb3ducmV2LnhtbFBLAQIUABQAAAAIAIdO4kAvXfCBQAIAAE4EAAAOAAAAAAAAAAEAIAAAACUB&#10;AABkcnMvZTJvRG9jLnhtbFBLBQYAAAAABgAGAFkBAADXBQAAAAA=&#10;">
                <v:fill on="t" focussize="0,0"/>
                <v:stroke on="f" weight="0.5pt"/>
                <v:imagedata o:title=""/>
                <o:lock v:ext="edit" aspectratio="f"/>
                <v:textbox>
                  <w:txbxContent>
                    <w:p>
                      <w:pPr>
                        <w:rPr>
                          <w:rFonts w:hint="default" w:eastAsiaTheme="minorEastAsia"/>
                          <w:color w:val="000000" w:themeColor="text1"/>
                          <w:lang w:val="en-US" w:eastAsia="zh-CN"/>
                          <w14:textFill>
                            <w14:solidFill>
                              <w14:schemeClr w14:val="tx1"/>
                            </w14:solidFill>
                          </w14:textFill>
                        </w:rPr>
                      </w:pPr>
                      <w:r>
                        <w:rPr>
                          <w:rFonts w:hint="eastAsia"/>
                          <w:lang w:val="en-US" w:eastAsia="zh-CN"/>
                        </w:rPr>
                        <w:t>N2、S2、G1</w:t>
                      </w:r>
                    </w:p>
                  </w:txbxContent>
                </v:textbox>
              </v:shape>
            </w:pict>
          </mc:Fallback>
        </mc:AlternateContent>
      </w:r>
    </w:p>
    <w:p>
      <w:pPr>
        <w:adjustRightInd w:val="0"/>
        <w:snapToGrid w:val="0"/>
        <w:spacing w:line="360" w:lineRule="auto"/>
        <w:jc w:val="center"/>
        <w:rPr>
          <w:rFonts w:ascii="Times New Roman" w:hAnsi="Times New Roman" w:eastAsia="宋体" w:cs="Times New Roman"/>
          <w:b/>
          <w:sz w:val="24"/>
          <w:szCs w:val="24"/>
        </w:rPr>
      </w:pPr>
      <w:r>
        <w:drawing>
          <wp:inline distT="0" distB="0" distL="114300" distR="114300">
            <wp:extent cx="5272405" cy="1455420"/>
            <wp:effectExtent l="0" t="0" r="4445" b="1143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9"/>
                    <a:stretch>
                      <a:fillRect/>
                    </a:stretch>
                  </pic:blipFill>
                  <pic:spPr>
                    <a:xfrm>
                      <a:off x="0" y="0"/>
                      <a:ext cx="5272405" cy="1455420"/>
                    </a:xfrm>
                    <a:prstGeom prst="rect">
                      <a:avLst/>
                    </a:prstGeom>
                    <a:noFill/>
                    <a:ln>
                      <a:noFill/>
                    </a:ln>
                  </pic:spPr>
                </pic:pic>
              </a:graphicData>
            </a:graphic>
          </wp:inline>
        </w:drawing>
      </w:r>
    </w:p>
    <w:p>
      <w:pPr>
        <w:adjustRightInd w:val="0"/>
        <w:snapToGrid w:val="0"/>
        <w:spacing w:line="360" w:lineRule="auto"/>
        <w:jc w:val="center"/>
        <w:rPr>
          <w:rFonts w:ascii="Times New Roman" w:hAnsi="Times New Roman" w:eastAsia="宋体" w:cs="Times New Roman"/>
          <w:sz w:val="24"/>
          <w:szCs w:val="24"/>
        </w:rPr>
      </w:pPr>
      <w:r>
        <w:rPr>
          <w:rFonts w:ascii="Times New Roman" w:hAnsi="Times New Roman" w:eastAsia="宋体" w:cs="Times New Roman"/>
          <w:b/>
          <w:sz w:val="24"/>
          <w:szCs w:val="24"/>
        </w:rPr>
        <w:t>图2</w:t>
      </w:r>
      <w:r>
        <w:rPr>
          <w:rFonts w:hint="eastAsia" w:ascii="Times New Roman" w:hAnsi="Times New Roman" w:eastAsia="宋体" w:cs="Times New Roman"/>
          <w:b/>
          <w:sz w:val="24"/>
          <w:szCs w:val="24"/>
        </w:rPr>
        <w:t>-1</w:t>
      </w:r>
      <w:r>
        <w:rPr>
          <w:rFonts w:ascii="Times New Roman" w:hAnsi="Times New Roman" w:eastAsia="宋体" w:cs="Times New Roman"/>
          <w:b/>
          <w:sz w:val="24"/>
          <w:szCs w:val="24"/>
        </w:rPr>
        <w:t xml:space="preserve">  工艺流程图</w:t>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工艺流程简述：</w:t>
      </w:r>
    </w:p>
    <w:p>
      <w:pPr>
        <w:tabs>
          <w:tab w:val="left" w:pos="2928"/>
        </w:tabs>
        <w:spacing w:line="360" w:lineRule="auto"/>
        <w:ind w:firstLine="480" w:firstLineChars="200"/>
        <w:rPr>
          <w:sz w:val="24"/>
          <w:szCs w:val="24"/>
        </w:rPr>
      </w:pPr>
      <w:r>
        <w:rPr>
          <w:rFonts w:hint="eastAsia"/>
          <w:sz w:val="24"/>
          <w:szCs w:val="24"/>
          <w:lang w:eastAsia="zh-CN"/>
        </w:rPr>
        <w:t>冲压</w:t>
      </w:r>
      <w:r>
        <w:rPr>
          <w:sz w:val="24"/>
          <w:szCs w:val="24"/>
        </w:rPr>
        <w:t>：</w:t>
      </w:r>
      <w:r>
        <w:rPr>
          <w:rFonts w:hint="eastAsia"/>
          <w:sz w:val="24"/>
          <w:szCs w:val="24"/>
          <w:lang w:eastAsia="zh-CN"/>
        </w:rPr>
        <w:t>将原料用冲床冲压出</w:t>
      </w:r>
      <w:r>
        <w:rPr>
          <w:sz w:val="24"/>
          <w:szCs w:val="24"/>
        </w:rPr>
        <w:t>；</w:t>
      </w:r>
    </w:p>
    <w:p>
      <w:pPr>
        <w:adjustRightInd w:val="0"/>
        <w:snapToGrid w:val="0"/>
        <w:spacing w:line="440" w:lineRule="exact"/>
        <w:ind w:firstLine="480" w:firstLineChars="200"/>
        <w:jc w:val="left"/>
        <w:rPr>
          <w:rFonts w:hint="eastAsia"/>
          <w:sz w:val="24"/>
          <w:szCs w:val="24"/>
          <w:lang w:eastAsia="zh-CN"/>
        </w:rPr>
      </w:pPr>
      <w:r>
        <w:rPr>
          <w:rFonts w:hint="eastAsia"/>
          <w:sz w:val="24"/>
          <w:szCs w:val="24"/>
          <w:lang w:eastAsia="zh-CN"/>
        </w:rPr>
        <w:t>检验：检验是否合格，合格即为成品。</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w:t>
      </w:r>
      <w:r>
        <w:rPr>
          <w:rFonts w:hint="eastAsia" w:ascii="Times New Roman" w:hAnsi="Times New Roman" w:eastAsia="宋体" w:cs="Times New Roman"/>
          <w:b/>
          <w:sz w:val="24"/>
          <w:szCs w:val="24"/>
        </w:rPr>
        <w:t>5</w:t>
      </w:r>
      <w:r>
        <w:rPr>
          <w:rFonts w:ascii="Times New Roman" w:hAnsi="Times New Roman" w:eastAsia="宋体" w:cs="Times New Roman"/>
          <w:b/>
          <w:sz w:val="24"/>
          <w:szCs w:val="24"/>
        </w:rPr>
        <w:t>排污节点汇总表</w:t>
      </w:r>
    </w:p>
    <w:tbl>
      <w:tblPr>
        <w:tblStyle w:val="11"/>
        <w:tblW w:w="9468"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21"/>
        <w:gridCol w:w="1722"/>
        <w:gridCol w:w="1418"/>
        <w:gridCol w:w="2835"/>
        <w:gridCol w:w="22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1221" w:type="dxa"/>
            <w:tcBorders>
              <w:top w:val="single" w:color="000000" w:sz="4" w:space="0"/>
              <w:left w:val="single" w:color="000000" w:sz="4" w:space="0"/>
              <w:bottom w:val="single" w:color="000000" w:sz="4" w:space="0"/>
              <w:right w:val="single" w:color="000000" w:sz="4" w:space="0"/>
              <w:tl2br w:val="single" w:color="auto" w:sz="4" w:space="0"/>
            </w:tcBorders>
            <w:noWrap w:val="0"/>
            <w:vAlign w:val="top"/>
          </w:tcPr>
          <w:p>
            <w:pPr>
              <w:jc w:val="right"/>
              <w:rPr>
                <w:sz w:val="21"/>
                <w:szCs w:val="21"/>
              </w:rPr>
            </w:pPr>
            <w:r>
              <w:rPr>
                <w:sz w:val="21"/>
                <w:szCs w:val="21"/>
              </w:rPr>
              <w:t>内容</w:t>
            </w:r>
          </w:p>
          <w:p>
            <w:pPr>
              <w:rPr>
                <w:sz w:val="21"/>
                <w:szCs w:val="21"/>
              </w:rPr>
            </w:pPr>
            <w:r>
              <w:rPr>
                <w:sz w:val="21"/>
                <w:szCs w:val="21"/>
              </w:rPr>
              <w:t>类型</w:t>
            </w:r>
          </w:p>
        </w:tc>
        <w:tc>
          <w:tcPr>
            <w:tcW w:w="1722" w:type="dxa"/>
            <w:tcBorders>
              <w:top w:val="single" w:color="000000" w:sz="4" w:space="0"/>
              <w:left w:val="single" w:color="auto" w:sz="4" w:space="0"/>
              <w:bottom w:val="single" w:color="000000" w:sz="4" w:space="0"/>
              <w:right w:val="single" w:color="000000" w:sz="4" w:space="0"/>
            </w:tcBorders>
            <w:noWrap w:val="0"/>
            <w:vAlign w:val="center"/>
          </w:tcPr>
          <w:p>
            <w:pPr>
              <w:jc w:val="center"/>
              <w:rPr>
                <w:sz w:val="21"/>
                <w:szCs w:val="21"/>
              </w:rPr>
            </w:pPr>
            <w:r>
              <w:rPr>
                <w:sz w:val="21"/>
                <w:szCs w:val="21"/>
              </w:rPr>
              <w:t>排放源</w:t>
            </w:r>
          </w:p>
          <w:p>
            <w:pPr>
              <w:jc w:val="center"/>
              <w:rPr>
                <w:sz w:val="21"/>
                <w:szCs w:val="21"/>
              </w:rPr>
            </w:pPr>
            <w:r>
              <w:rPr>
                <w:sz w:val="21"/>
                <w:szCs w:val="21"/>
              </w:rPr>
              <w:t>(编号)</w:t>
            </w:r>
          </w:p>
        </w:tc>
        <w:tc>
          <w:tcPr>
            <w:tcW w:w="1418" w:type="dxa"/>
            <w:tcBorders>
              <w:top w:val="single" w:color="000000" w:sz="4" w:space="0"/>
              <w:left w:val="single" w:color="auto" w:sz="4" w:space="0"/>
              <w:bottom w:val="single" w:color="000000" w:sz="4" w:space="0"/>
              <w:right w:val="single" w:color="000000" w:sz="4" w:space="0"/>
            </w:tcBorders>
            <w:noWrap w:val="0"/>
            <w:vAlign w:val="center"/>
          </w:tcPr>
          <w:p>
            <w:pPr>
              <w:jc w:val="center"/>
              <w:rPr>
                <w:sz w:val="21"/>
                <w:szCs w:val="21"/>
              </w:rPr>
            </w:pPr>
            <w:r>
              <w:rPr>
                <w:sz w:val="21"/>
                <w:szCs w:val="21"/>
              </w:rPr>
              <w:t>污染物名称</w:t>
            </w:r>
          </w:p>
        </w:tc>
        <w:tc>
          <w:tcPr>
            <w:tcW w:w="2835" w:type="dxa"/>
            <w:tcBorders>
              <w:top w:val="single" w:color="000000" w:sz="4" w:space="0"/>
              <w:left w:val="single" w:color="auto" w:sz="4" w:space="0"/>
              <w:bottom w:val="single" w:color="000000" w:sz="4" w:space="0"/>
              <w:right w:val="single" w:color="000000" w:sz="4" w:space="0"/>
            </w:tcBorders>
            <w:noWrap w:val="0"/>
            <w:vAlign w:val="center"/>
          </w:tcPr>
          <w:p>
            <w:pPr>
              <w:jc w:val="center"/>
              <w:rPr>
                <w:sz w:val="21"/>
                <w:szCs w:val="21"/>
              </w:rPr>
            </w:pPr>
            <w:r>
              <w:rPr>
                <w:sz w:val="21"/>
                <w:szCs w:val="21"/>
              </w:rPr>
              <w:t>防治措施</w:t>
            </w:r>
          </w:p>
        </w:tc>
        <w:tc>
          <w:tcPr>
            <w:tcW w:w="2272" w:type="dxa"/>
            <w:tcBorders>
              <w:top w:val="single" w:color="000000" w:sz="4" w:space="0"/>
              <w:left w:val="single" w:color="auto" w:sz="4" w:space="0"/>
              <w:bottom w:val="single" w:color="000000" w:sz="4" w:space="0"/>
              <w:right w:val="single" w:color="000000" w:sz="4" w:space="0"/>
            </w:tcBorders>
            <w:noWrap w:val="0"/>
            <w:vAlign w:val="center"/>
          </w:tcPr>
          <w:p>
            <w:pPr>
              <w:jc w:val="center"/>
              <w:rPr>
                <w:sz w:val="21"/>
                <w:szCs w:val="21"/>
              </w:rPr>
            </w:pPr>
            <w:r>
              <w:rPr>
                <w:sz w:val="21"/>
                <w:szCs w:val="21"/>
              </w:rPr>
              <w:t>预期治理效果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815" w:hRule="atLeast"/>
        </w:trPr>
        <w:tc>
          <w:tcPr>
            <w:tcW w:w="1221" w:type="dxa"/>
            <w:tcBorders>
              <w:top w:val="single" w:color="auto" w:sz="4" w:space="0"/>
              <w:left w:val="single" w:color="000000" w:sz="4" w:space="0"/>
              <w:right w:val="single" w:color="000000" w:sz="4" w:space="0"/>
            </w:tcBorders>
            <w:noWrap w:val="0"/>
            <w:vAlign w:val="center"/>
          </w:tcPr>
          <w:p>
            <w:pPr>
              <w:spacing w:line="500" w:lineRule="exact"/>
              <w:jc w:val="center"/>
              <w:rPr>
                <w:sz w:val="21"/>
                <w:szCs w:val="21"/>
              </w:rPr>
            </w:pPr>
            <w:r>
              <w:rPr>
                <w:sz w:val="21"/>
                <w:szCs w:val="21"/>
              </w:rPr>
              <w:t>大气污染物</w:t>
            </w:r>
          </w:p>
        </w:tc>
        <w:tc>
          <w:tcPr>
            <w:tcW w:w="1722" w:type="dxa"/>
            <w:tcBorders>
              <w:top w:val="single" w:color="auto" w:sz="4" w:space="0"/>
              <w:left w:val="single" w:color="auto" w:sz="4" w:space="0"/>
              <w:right w:val="single" w:color="000000" w:sz="4" w:space="0"/>
            </w:tcBorders>
            <w:noWrap w:val="0"/>
            <w:vAlign w:val="center"/>
          </w:tcPr>
          <w:p>
            <w:pPr>
              <w:jc w:val="center"/>
              <w:rPr>
                <w:rFonts w:hint="default" w:eastAsia="宋体"/>
                <w:sz w:val="21"/>
                <w:szCs w:val="21"/>
                <w:lang w:val="en-US" w:eastAsia="zh-CN"/>
              </w:rPr>
            </w:pPr>
            <w:r>
              <w:rPr>
                <w:rFonts w:hint="eastAsia" w:eastAsia="宋体"/>
                <w:sz w:val="21"/>
                <w:szCs w:val="21"/>
                <w:lang w:val="en-US" w:eastAsia="zh-CN"/>
              </w:rPr>
              <w:t>-</w:t>
            </w:r>
          </w:p>
        </w:tc>
        <w:tc>
          <w:tcPr>
            <w:tcW w:w="1418" w:type="dxa"/>
            <w:tcBorders>
              <w:top w:val="single" w:color="auto" w:sz="4" w:space="0"/>
              <w:left w:val="single" w:color="auto" w:sz="4" w:space="0"/>
              <w:right w:val="single" w:color="000000" w:sz="4" w:space="0"/>
            </w:tcBorders>
            <w:noWrap w:val="0"/>
            <w:vAlign w:val="center"/>
          </w:tcPr>
          <w:p>
            <w:pPr>
              <w:jc w:val="center"/>
              <w:rPr>
                <w:rFonts w:hint="eastAsia" w:eastAsia="宋体"/>
                <w:sz w:val="21"/>
                <w:szCs w:val="21"/>
                <w:lang w:val="en-US" w:eastAsia="zh-CN"/>
              </w:rPr>
            </w:pPr>
            <w:r>
              <w:rPr>
                <w:rFonts w:hint="eastAsia"/>
                <w:sz w:val="21"/>
                <w:szCs w:val="21"/>
                <w:lang w:val="en-US" w:eastAsia="zh-CN"/>
              </w:rPr>
              <w:t>-</w:t>
            </w:r>
          </w:p>
        </w:tc>
        <w:tc>
          <w:tcPr>
            <w:tcW w:w="2835" w:type="dxa"/>
            <w:tcBorders>
              <w:top w:val="single" w:color="auto" w:sz="4" w:space="0"/>
              <w:left w:val="single" w:color="auto" w:sz="4" w:space="0"/>
              <w:right w:val="single" w:color="000000" w:sz="4" w:space="0"/>
            </w:tcBorders>
            <w:noWrap w:val="0"/>
            <w:vAlign w:val="center"/>
          </w:tcPr>
          <w:p>
            <w:pPr>
              <w:jc w:val="center"/>
              <w:rPr>
                <w:rFonts w:hint="eastAsia" w:eastAsia="宋体"/>
                <w:sz w:val="21"/>
                <w:szCs w:val="21"/>
                <w:lang w:val="en-US" w:eastAsia="zh-CN"/>
              </w:rPr>
            </w:pPr>
            <w:r>
              <w:rPr>
                <w:rFonts w:hint="eastAsia"/>
                <w:sz w:val="21"/>
                <w:szCs w:val="21"/>
                <w:lang w:val="en-US" w:eastAsia="zh-CN"/>
              </w:rPr>
              <w:t>-</w:t>
            </w:r>
          </w:p>
        </w:tc>
        <w:tc>
          <w:tcPr>
            <w:tcW w:w="2272" w:type="dxa"/>
            <w:tcBorders>
              <w:top w:val="single" w:color="auto" w:sz="4" w:space="0"/>
              <w:left w:val="single" w:color="auto" w:sz="4" w:space="0"/>
              <w:right w:val="single" w:color="000000" w:sz="4" w:space="0"/>
            </w:tcBorders>
            <w:noWrap w:val="0"/>
            <w:vAlign w:val="center"/>
          </w:tcPr>
          <w:p>
            <w:pPr>
              <w:jc w:val="center"/>
              <w:rPr>
                <w:rFonts w:hint="eastAsia" w:eastAsia="宋体"/>
                <w:sz w:val="21"/>
                <w:szCs w:val="21"/>
                <w:lang w:val="en-US"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48" w:hRule="atLeast"/>
        </w:trPr>
        <w:tc>
          <w:tcPr>
            <w:tcW w:w="1221" w:type="dxa"/>
            <w:tcBorders>
              <w:left w:val="single" w:color="000000" w:sz="4" w:space="0"/>
              <w:right w:val="single" w:color="000000" w:sz="4" w:space="0"/>
            </w:tcBorders>
            <w:noWrap w:val="0"/>
            <w:vAlign w:val="center"/>
          </w:tcPr>
          <w:p>
            <w:pPr>
              <w:spacing w:line="500" w:lineRule="exact"/>
              <w:jc w:val="center"/>
              <w:rPr>
                <w:sz w:val="21"/>
                <w:szCs w:val="21"/>
              </w:rPr>
            </w:pPr>
            <w:r>
              <w:rPr>
                <w:sz w:val="21"/>
                <w:szCs w:val="21"/>
              </w:rPr>
              <w:t>水污染物</w:t>
            </w:r>
          </w:p>
        </w:tc>
        <w:tc>
          <w:tcPr>
            <w:tcW w:w="1722" w:type="dxa"/>
            <w:tcBorders>
              <w:top w:val="single" w:color="auto" w:sz="4" w:space="0"/>
              <w:left w:val="single" w:color="auto" w:sz="4" w:space="0"/>
              <w:right w:val="single" w:color="000000" w:sz="4" w:space="0"/>
            </w:tcBorders>
            <w:noWrap w:val="0"/>
            <w:vAlign w:val="center"/>
          </w:tcPr>
          <w:p>
            <w:pPr>
              <w:jc w:val="center"/>
              <w:rPr>
                <w:bCs/>
                <w:sz w:val="21"/>
                <w:szCs w:val="21"/>
              </w:rPr>
            </w:pPr>
            <w:r>
              <w:rPr>
                <w:bCs/>
                <w:sz w:val="21"/>
                <w:szCs w:val="21"/>
              </w:rPr>
              <w:t>厂区职工</w:t>
            </w:r>
          </w:p>
        </w:tc>
        <w:tc>
          <w:tcPr>
            <w:tcW w:w="1418" w:type="dxa"/>
            <w:tcBorders>
              <w:top w:val="single" w:color="auto" w:sz="4" w:space="0"/>
              <w:left w:val="single" w:color="auto" w:sz="4" w:space="0"/>
              <w:right w:val="single" w:color="000000" w:sz="4" w:space="0"/>
            </w:tcBorders>
            <w:noWrap w:val="0"/>
            <w:vAlign w:val="center"/>
          </w:tcPr>
          <w:p>
            <w:pPr>
              <w:jc w:val="center"/>
              <w:rPr>
                <w:bCs/>
                <w:sz w:val="21"/>
                <w:szCs w:val="21"/>
              </w:rPr>
            </w:pPr>
            <w:r>
              <w:rPr>
                <w:bCs/>
                <w:sz w:val="21"/>
                <w:szCs w:val="21"/>
              </w:rPr>
              <w:t>生活污水</w:t>
            </w:r>
          </w:p>
          <w:p>
            <w:pPr>
              <w:jc w:val="center"/>
              <w:rPr>
                <w:bCs/>
                <w:sz w:val="21"/>
                <w:szCs w:val="21"/>
              </w:rPr>
            </w:pPr>
            <w:r>
              <w:rPr>
                <w:bCs/>
                <w:sz w:val="21"/>
                <w:szCs w:val="21"/>
              </w:rPr>
              <w:t>COD</w:t>
            </w:r>
          </w:p>
          <w:p>
            <w:pPr>
              <w:jc w:val="center"/>
              <w:rPr>
                <w:bCs/>
                <w:sz w:val="21"/>
                <w:szCs w:val="21"/>
              </w:rPr>
            </w:pPr>
            <w:r>
              <w:rPr>
                <w:bCs/>
                <w:sz w:val="21"/>
                <w:szCs w:val="21"/>
              </w:rPr>
              <w:t>SS</w:t>
            </w:r>
          </w:p>
          <w:p>
            <w:pPr>
              <w:jc w:val="center"/>
              <w:rPr>
                <w:bCs/>
                <w:sz w:val="21"/>
                <w:szCs w:val="21"/>
              </w:rPr>
            </w:pPr>
            <w:r>
              <w:rPr>
                <w:bCs/>
                <w:sz w:val="21"/>
                <w:szCs w:val="21"/>
              </w:rPr>
              <w:t>氨氮</w:t>
            </w:r>
          </w:p>
        </w:tc>
        <w:tc>
          <w:tcPr>
            <w:tcW w:w="2835" w:type="dxa"/>
            <w:tcBorders>
              <w:top w:val="single" w:color="auto" w:sz="4" w:space="0"/>
              <w:left w:val="single" w:color="auto" w:sz="4" w:space="0"/>
              <w:right w:val="single" w:color="000000" w:sz="4" w:space="0"/>
            </w:tcBorders>
            <w:noWrap w:val="0"/>
            <w:vAlign w:val="center"/>
          </w:tcPr>
          <w:p>
            <w:pPr>
              <w:jc w:val="center"/>
              <w:rPr>
                <w:bCs/>
                <w:sz w:val="21"/>
                <w:szCs w:val="21"/>
              </w:rPr>
            </w:pPr>
            <w:r>
              <w:rPr>
                <w:bCs/>
                <w:sz w:val="21"/>
                <w:szCs w:val="21"/>
              </w:rPr>
              <w:t>厂区设防渗旱厕，定时清掏</w:t>
            </w:r>
          </w:p>
        </w:tc>
        <w:tc>
          <w:tcPr>
            <w:tcW w:w="2272" w:type="dxa"/>
            <w:tcBorders>
              <w:left w:val="single" w:color="auto" w:sz="4" w:space="0"/>
              <w:right w:val="single" w:color="000000" w:sz="4" w:space="0"/>
            </w:tcBorders>
            <w:noWrap w:val="0"/>
            <w:vAlign w:val="center"/>
          </w:tcPr>
          <w:p>
            <w:pPr>
              <w:jc w:val="center"/>
              <w:rPr>
                <w:rFonts w:hint="eastAsia" w:eastAsia="宋体"/>
                <w:sz w:val="21"/>
                <w:szCs w:val="21"/>
                <w:lang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9" w:hRule="atLeast"/>
        </w:trPr>
        <w:tc>
          <w:tcPr>
            <w:tcW w:w="1221" w:type="dxa"/>
            <w:vMerge w:val="restart"/>
            <w:tcBorders>
              <w:top w:val="single" w:color="auto" w:sz="4" w:space="0"/>
              <w:left w:val="single" w:color="000000" w:sz="4" w:space="0"/>
              <w:right w:val="single" w:color="000000" w:sz="4" w:space="0"/>
            </w:tcBorders>
            <w:noWrap w:val="0"/>
            <w:vAlign w:val="center"/>
          </w:tcPr>
          <w:p>
            <w:pPr>
              <w:spacing w:line="500" w:lineRule="exact"/>
              <w:jc w:val="both"/>
              <w:rPr>
                <w:sz w:val="21"/>
                <w:szCs w:val="21"/>
              </w:rPr>
            </w:pPr>
            <w:r>
              <w:rPr>
                <w:sz w:val="21"/>
                <w:szCs w:val="21"/>
              </w:rPr>
              <w:t>固体废物</w:t>
            </w:r>
          </w:p>
        </w:tc>
        <w:tc>
          <w:tcPr>
            <w:tcW w:w="1722" w:type="dxa"/>
            <w:tcBorders>
              <w:top w:val="single" w:color="auto" w:sz="4" w:space="0"/>
              <w:left w:val="single" w:color="auto" w:sz="4" w:space="0"/>
              <w:right w:val="single" w:color="000000" w:sz="4" w:space="0"/>
            </w:tcBorders>
            <w:noWrap w:val="0"/>
            <w:vAlign w:val="center"/>
          </w:tcPr>
          <w:p>
            <w:pPr>
              <w:jc w:val="center"/>
              <w:rPr>
                <w:sz w:val="21"/>
                <w:szCs w:val="21"/>
              </w:rPr>
            </w:pPr>
            <w:r>
              <w:rPr>
                <w:rFonts w:hint="eastAsia"/>
                <w:sz w:val="21"/>
                <w:szCs w:val="21"/>
                <w:lang w:eastAsia="zh-CN"/>
              </w:rPr>
              <w:t>冲压</w:t>
            </w:r>
            <w:r>
              <w:rPr>
                <w:sz w:val="21"/>
                <w:szCs w:val="21"/>
              </w:rPr>
              <w:t>工序</w:t>
            </w:r>
          </w:p>
        </w:tc>
        <w:tc>
          <w:tcPr>
            <w:tcW w:w="1418" w:type="dxa"/>
            <w:tcBorders>
              <w:top w:val="single" w:color="auto" w:sz="4" w:space="0"/>
              <w:left w:val="single" w:color="auto" w:sz="4" w:space="0"/>
              <w:bottom w:val="single" w:color="auto" w:sz="4" w:space="0"/>
              <w:right w:val="single" w:color="000000" w:sz="4" w:space="0"/>
            </w:tcBorders>
            <w:noWrap w:val="0"/>
            <w:vAlign w:val="center"/>
          </w:tcPr>
          <w:p>
            <w:pPr>
              <w:jc w:val="center"/>
              <w:rPr>
                <w:sz w:val="21"/>
                <w:szCs w:val="21"/>
              </w:rPr>
            </w:pPr>
            <w:r>
              <w:rPr>
                <w:sz w:val="21"/>
                <w:szCs w:val="21"/>
              </w:rPr>
              <w:t>下脚料</w:t>
            </w:r>
          </w:p>
        </w:tc>
        <w:tc>
          <w:tcPr>
            <w:tcW w:w="2835" w:type="dxa"/>
            <w:tcBorders>
              <w:top w:val="single" w:color="auto" w:sz="4" w:space="0"/>
              <w:left w:val="single" w:color="auto" w:sz="4" w:space="0"/>
              <w:right w:val="single" w:color="000000" w:sz="4" w:space="0"/>
            </w:tcBorders>
            <w:noWrap w:val="0"/>
            <w:vAlign w:val="center"/>
          </w:tcPr>
          <w:p>
            <w:pPr>
              <w:jc w:val="center"/>
              <w:rPr>
                <w:bCs/>
                <w:sz w:val="21"/>
                <w:szCs w:val="21"/>
              </w:rPr>
            </w:pPr>
            <w:r>
              <w:rPr>
                <w:sz w:val="21"/>
                <w:szCs w:val="21"/>
              </w:rPr>
              <w:t>收集后外售</w:t>
            </w:r>
          </w:p>
        </w:tc>
        <w:tc>
          <w:tcPr>
            <w:tcW w:w="2272" w:type="dxa"/>
            <w:tcBorders>
              <w:top w:val="single" w:color="auto" w:sz="4" w:space="0"/>
              <w:left w:val="single" w:color="auto" w:sz="4" w:space="0"/>
              <w:right w:val="single" w:color="000000" w:sz="4" w:space="0"/>
            </w:tcBorders>
            <w:noWrap w:val="0"/>
            <w:vAlign w:val="center"/>
          </w:tcPr>
          <w:p>
            <w:pPr>
              <w:jc w:val="center"/>
              <w:rPr>
                <w:rFonts w:hint="eastAsia" w:eastAsia="宋体"/>
                <w:sz w:val="21"/>
                <w:szCs w:val="21"/>
                <w:lang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39" w:hRule="atLeast"/>
        </w:trPr>
        <w:tc>
          <w:tcPr>
            <w:tcW w:w="1221" w:type="dxa"/>
            <w:vMerge w:val="continue"/>
            <w:tcBorders>
              <w:left w:val="single" w:color="000000" w:sz="4" w:space="0"/>
              <w:right w:val="single" w:color="000000" w:sz="4" w:space="0"/>
            </w:tcBorders>
            <w:noWrap w:val="0"/>
            <w:vAlign w:val="center"/>
          </w:tcPr>
          <w:p>
            <w:pPr>
              <w:jc w:val="center"/>
              <w:rPr>
                <w:sz w:val="21"/>
                <w:szCs w:val="21"/>
              </w:rPr>
            </w:pPr>
          </w:p>
        </w:tc>
        <w:tc>
          <w:tcPr>
            <w:tcW w:w="1722" w:type="dxa"/>
            <w:tcBorders>
              <w:top w:val="single" w:color="auto" w:sz="4" w:space="0"/>
              <w:left w:val="single" w:color="auto" w:sz="4" w:space="0"/>
              <w:bottom w:val="single" w:color="auto" w:sz="4" w:space="0"/>
              <w:right w:val="single" w:color="000000" w:sz="4" w:space="0"/>
            </w:tcBorders>
            <w:noWrap w:val="0"/>
            <w:vAlign w:val="center"/>
          </w:tcPr>
          <w:p>
            <w:pPr>
              <w:jc w:val="center"/>
              <w:rPr>
                <w:bCs/>
                <w:sz w:val="21"/>
                <w:szCs w:val="21"/>
              </w:rPr>
            </w:pPr>
            <w:r>
              <w:rPr>
                <w:rFonts w:hint="eastAsia"/>
                <w:bCs/>
                <w:sz w:val="21"/>
                <w:szCs w:val="21"/>
                <w:lang w:eastAsia="zh-CN"/>
              </w:rPr>
              <w:t>检验</w:t>
            </w:r>
            <w:r>
              <w:rPr>
                <w:bCs/>
                <w:sz w:val="21"/>
                <w:szCs w:val="21"/>
              </w:rPr>
              <w:t>工序</w:t>
            </w:r>
          </w:p>
        </w:tc>
        <w:tc>
          <w:tcPr>
            <w:tcW w:w="1418" w:type="dxa"/>
            <w:tcBorders>
              <w:top w:val="single" w:color="auto" w:sz="4" w:space="0"/>
              <w:left w:val="single" w:color="auto" w:sz="4" w:space="0"/>
              <w:bottom w:val="single" w:color="auto" w:sz="4" w:space="0"/>
              <w:right w:val="single" w:color="000000" w:sz="4" w:space="0"/>
            </w:tcBorders>
            <w:noWrap w:val="0"/>
            <w:vAlign w:val="center"/>
          </w:tcPr>
          <w:p>
            <w:pPr>
              <w:jc w:val="center"/>
              <w:rPr>
                <w:bCs/>
                <w:sz w:val="21"/>
                <w:szCs w:val="21"/>
              </w:rPr>
            </w:pPr>
            <w:r>
              <w:rPr>
                <w:rFonts w:hint="eastAsia"/>
                <w:bCs/>
                <w:sz w:val="21"/>
                <w:szCs w:val="21"/>
              </w:rPr>
              <w:t>不合格产品</w:t>
            </w:r>
          </w:p>
        </w:tc>
        <w:tc>
          <w:tcPr>
            <w:tcW w:w="2835" w:type="dxa"/>
            <w:tcBorders>
              <w:top w:val="single" w:color="auto" w:sz="4" w:space="0"/>
              <w:left w:val="single" w:color="auto" w:sz="4" w:space="0"/>
              <w:bottom w:val="single" w:color="auto" w:sz="4" w:space="0"/>
              <w:right w:val="single" w:color="000000" w:sz="4" w:space="0"/>
            </w:tcBorders>
            <w:noWrap w:val="0"/>
            <w:vAlign w:val="center"/>
          </w:tcPr>
          <w:p>
            <w:pPr>
              <w:jc w:val="center"/>
              <w:rPr>
                <w:bCs/>
                <w:sz w:val="21"/>
                <w:szCs w:val="21"/>
              </w:rPr>
            </w:pPr>
            <w:r>
              <w:rPr>
                <w:bCs/>
                <w:sz w:val="21"/>
                <w:szCs w:val="21"/>
              </w:rPr>
              <w:t>收集后外售</w:t>
            </w:r>
          </w:p>
        </w:tc>
        <w:tc>
          <w:tcPr>
            <w:tcW w:w="2272" w:type="dxa"/>
            <w:tcBorders>
              <w:top w:val="single" w:color="auto" w:sz="4" w:space="0"/>
              <w:left w:val="single" w:color="auto" w:sz="4" w:space="0"/>
              <w:bottom w:val="single" w:color="auto" w:sz="4" w:space="0"/>
              <w:right w:val="single" w:color="000000" w:sz="4" w:space="0"/>
            </w:tcBorders>
            <w:noWrap w:val="0"/>
            <w:vAlign w:val="center"/>
          </w:tcPr>
          <w:p>
            <w:pPr>
              <w:jc w:val="center"/>
              <w:rPr>
                <w:rFonts w:hint="eastAsia" w:eastAsia="宋体"/>
                <w:sz w:val="21"/>
                <w:szCs w:val="21"/>
                <w:lang w:val="en-US"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39" w:hRule="atLeast"/>
        </w:trPr>
        <w:tc>
          <w:tcPr>
            <w:tcW w:w="1221" w:type="dxa"/>
            <w:vMerge w:val="continue"/>
            <w:tcBorders>
              <w:left w:val="single" w:color="000000" w:sz="4" w:space="0"/>
              <w:right w:val="single" w:color="000000" w:sz="4" w:space="0"/>
            </w:tcBorders>
            <w:noWrap w:val="0"/>
            <w:vAlign w:val="center"/>
          </w:tcPr>
          <w:p>
            <w:pPr>
              <w:jc w:val="center"/>
              <w:rPr>
                <w:sz w:val="21"/>
                <w:szCs w:val="21"/>
              </w:rPr>
            </w:pPr>
          </w:p>
        </w:tc>
        <w:tc>
          <w:tcPr>
            <w:tcW w:w="1722" w:type="dxa"/>
            <w:tcBorders>
              <w:top w:val="single" w:color="auto" w:sz="4" w:space="0"/>
              <w:left w:val="single" w:color="auto" w:sz="4" w:space="0"/>
              <w:bottom w:val="single" w:color="auto" w:sz="4" w:space="0"/>
              <w:right w:val="single" w:color="000000" w:sz="4" w:space="0"/>
            </w:tcBorders>
            <w:noWrap w:val="0"/>
            <w:vAlign w:val="center"/>
          </w:tcPr>
          <w:p>
            <w:pPr>
              <w:keepNext w:val="0"/>
              <w:keepLines w:val="0"/>
              <w:suppressLineNumbers w:val="0"/>
              <w:spacing w:before="0" w:beforeAutospacing="0" w:after="0" w:afterAutospacing="0" w:line="400" w:lineRule="exact"/>
              <w:ind w:left="0" w:leftChars="0" w:right="0" w:rightChars="0"/>
              <w:jc w:val="center"/>
              <w:rPr>
                <w:rFonts w:hint="eastAsia" w:eastAsia="宋体"/>
                <w:bCs/>
                <w:sz w:val="21"/>
                <w:szCs w:val="21"/>
                <w:lang w:eastAsia="zh-CN"/>
              </w:rPr>
            </w:pPr>
            <w:r>
              <w:rPr>
                <w:rFonts w:hint="eastAsia"/>
                <w:color w:val="000000"/>
                <w:sz w:val="21"/>
                <w:szCs w:val="21"/>
                <w:lang w:eastAsia="zh-CN"/>
              </w:rPr>
              <w:t>冲压工序</w:t>
            </w:r>
          </w:p>
        </w:tc>
        <w:tc>
          <w:tcPr>
            <w:tcW w:w="1418" w:type="dxa"/>
            <w:tcBorders>
              <w:top w:val="single" w:color="auto" w:sz="4" w:space="0"/>
              <w:left w:val="single" w:color="auto" w:sz="4" w:space="0"/>
              <w:bottom w:val="single" w:color="auto" w:sz="4" w:space="0"/>
              <w:right w:val="single" w:color="000000" w:sz="4" w:space="0"/>
            </w:tcBorders>
            <w:noWrap w:val="0"/>
            <w:vAlign w:val="center"/>
          </w:tcPr>
          <w:p>
            <w:pPr>
              <w:keepNext w:val="0"/>
              <w:keepLines w:val="0"/>
              <w:suppressLineNumbers w:val="0"/>
              <w:spacing w:before="0" w:beforeAutospacing="0" w:after="0" w:afterAutospacing="0" w:line="400" w:lineRule="exact"/>
              <w:ind w:left="0" w:leftChars="0" w:right="0" w:rightChars="0"/>
              <w:jc w:val="center"/>
              <w:rPr>
                <w:rFonts w:hint="eastAsia"/>
                <w:bCs/>
                <w:sz w:val="21"/>
                <w:szCs w:val="21"/>
              </w:rPr>
            </w:pPr>
            <w:r>
              <w:rPr>
                <w:rFonts w:hint="default"/>
                <w:color w:val="000000"/>
                <w:sz w:val="21"/>
                <w:szCs w:val="21"/>
              </w:rPr>
              <w:t>废润滑油</w:t>
            </w:r>
          </w:p>
        </w:tc>
        <w:tc>
          <w:tcPr>
            <w:tcW w:w="2835" w:type="dxa"/>
            <w:tcBorders>
              <w:top w:val="single" w:color="auto" w:sz="4" w:space="0"/>
              <w:left w:val="single" w:color="auto" w:sz="4" w:space="0"/>
              <w:bottom w:val="single" w:color="auto" w:sz="4" w:space="0"/>
              <w:right w:val="single" w:color="000000" w:sz="4" w:space="0"/>
            </w:tcBorders>
            <w:noWrap w:val="0"/>
            <w:vAlign w:val="center"/>
          </w:tcPr>
          <w:p>
            <w:pPr>
              <w:keepNext w:val="0"/>
              <w:keepLines w:val="0"/>
              <w:suppressLineNumbers w:val="0"/>
              <w:spacing w:before="0" w:beforeAutospacing="0" w:after="0" w:afterAutospacing="0" w:line="400" w:lineRule="exact"/>
              <w:ind w:left="0" w:leftChars="0" w:right="0" w:rightChars="0"/>
              <w:jc w:val="center"/>
              <w:rPr>
                <w:bCs/>
                <w:sz w:val="21"/>
                <w:szCs w:val="21"/>
              </w:rPr>
            </w:pPr>
            <w:r>
              <w:rPr>
                <w:rFonts w:hint="default"/>
                <w:color w:val="000000"/>
                <w:sz w:val="21"/>
                <w:szCs w:val="21"/>
              </w:rPr>
              <w:t>暂存于危废间，定期交有危废处置资质单位处理</w:t>
            </w:r>
          </w:p>
        </w:tc>
        <w:tc>
          <w:tcPr>
            <w:tcW w:w="2272" w:type="dxa"/>
            <w:tcBorders>
              <w:top w:val="single" w:color="auto" w:sz="4" w:space="0"/>
              <w:left w:val="single" w:color="auto" w:sz="4" w:space="0"/>
              <w:bottom w:val="single" w:color="auto" w:sz="4" w:space="0"/>
              <w:right w:val="single" w:color="000000" w:sz="4" w:space="0"/>
            </w:tcBorders>
            <w:noWrap w:val="0"/>
            <w:vAlign w:val="center"/>
          </w:tcPr>
          <w:p>
            <w:pPr>
              <w:jc w:val="center"/>
              <w:rPr>
                <w:rFonts w:hint="default"/>
                <w:sz w:val="21"/>
                <w:szCs w:val="21"/>
                <w:lang w:val="en-US"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90" w:hRule="atLeast"/>
        </w:trPr>
        <w:tc>
          <w:tcPr>
            <w:tcW w:w="1221" w:type="dxa"/>
            <w:vMerge w:val="continue"/>
            <w:tcBorders>
              <w:left w:val="single" w:color="000000" w:sz="4" w:space="0"/>
              <w:right w:val="single" w:color="000000" w:sz="4" w:space="0"/>
            </w:tcBorders>
            <w:noWrap w:val="0"/>
            <w:vAlign w:val="center"/>
          </w:tcPr>
          <w:p>
            <w:pPr>
              <w:jc w:val="center"/>
              <w:rPr>
                <w:sz w:val="21"/>
                <w:szCs w:val="21"/>
              </w:rPr>
            </w:pPr>
          </w:p>
        </w:tc>
        <w:tc>
          <w:tcPr>
            <w:tcW w:w="1722" w:type="dxa"/>
            <w:tcBorders>
              <w:top w:val="single" w:color="auto" w:sz="4" w:space="0"/>
              <w:left w:val="single" w:color="auto" w:sz="4" w:space="0"/>
              <w:bottom w:val="single" w:color="auto" w:sz="4" w:space="0"/>
              <w:right w:val="single" w:color="000000" w:sz="4" w:space="0"/>
            </w:tcBorders>
            <w:noWrap w:val="0"/>
            <w:vAlign w:val="center"/>
          </w:tcPr>
          <w:p>
            <w:pPr>
              <w:jc w:val="center"/>
              <w:rPr>
                <w:bCs/>
                <w:sz w:val="21"/>
                <w:szCs w:val="21"/>
              </w:rPr>
            </w:pPr>
            <w:r>
              <w:rPr>
                <w:bCs/>
                <w:sz w:val="21"/>
                <w:szCs w:val="21"/>
              </w:rPr>
              <w:t>职工办公生活</w:t>
            </w:r>
          </w:p>
        </w:tc>
        <w:tc>
          <w:tcPr>
            <w:tcW w:w="1418" w:type="dxa"/>
            <w:tcBorders>
              <w:top w:val="single" w:color="auto" w:sz="4" w:space="0"/>
              <w:left w:val="single" w:color="auto" w:sz="4" w:space="0"/>
              <w:bottom w:val="single" w:color="auto" w:sz="4" w:space="0"/>
              <w:right w:val="single" w:color="000000" w:sz="4" w:space="0"/>
            </w:tcBorders>
            <w:noWrap w:val="0"/>
            <w:vAlign w:val="center"/>
          </w:tcPr>
          <w:p>
            <w:pPr>
              <w:jc w:val="center"/>
              <w:rPr>
                <w:bCs/>
                <w:sz w:val="21"/>
                <w:szCs w:val="21"/>
              </w:rPr>
            </w:pPr>
            <w:r>
              <w:rPr>
                <w:bCs/>
                <w:sz w:val="21"/>
                <w:szCs w:val="21"/>
              </w:rPr>
              <w:t>生活垃圾</w:t>
            </w:r>
          </w:p>
        </w:tc>
        <w:tc>
          <w:tcPr>
            <w:tcW w:w="2835" w:type="dxa"/>
            <w:tcBorders>
              <w:top w:val="single" w:color="auto" w:sz="4" w:space="0"/>
              <w:left w:val="single" w:color="auto" w:sz="4" w:space="0"/>
              <w:bottom w:val="single" w:color="auto" w:sz="4" w:space="0"/>
              <w:right w:val="single" w:color="000000" w:sz="4" w:space="0"/>
            </w:tcBorders>
            <w:noWrap w:val="0"/>
            <w:vAlign w:val="center"/>
          </w:tcPr>
          <w:p>
            <w:pPr>
              <w:jc w:val="center"/>
              <w:rPr>
                <w:bCs/>
                <w:sz w:val="21"/>
                <w:szCs w:val="21"/>
              </w:rPr>
            </w:pPr>
            <w:r>
              <w:rPr>
                <w:bCs/>
                <w:sz w:val="21"/>
                <w:szCs w:val="21"/>
              </w:rPr>
              <w:t>由环卫部门清运处理</w:t>
            </w:r>
          </w:p>
        </w:tc>
        <w:tc>
          <w:tcPr>
            <w:tcW w:w="2272" w:type="dxa"/>
            <w:tcBorders>
              <w:top w:val="single" w:color="auto" w:sz="4" w:space="0"/>
              <w:left w:val="single" w:color="auto" w:sz="4" w:space="0"/>
              <w:bottom w:val="single" w:color="auto" w:sz="4" w:space="0"/>
              <w:right w:val="single" w:color="000000" w:sz="4" w:space="0"/>
            </w:tcBorders>
            <w:noWrap w:val="0"/>
            <w:vAlign w:val="center"/>
          </w:tcPr>
          <w:p>
            <w:pPr>
              <w:jc w:val="center"/>
              <w:rPr>
                <w:rFonts w:hint="eastAsia" w:eastAsia="宋体"/>
                <w:sz w:val="21"/>
                <w:szCs w:val="21"/>
                <w:lang w:eastAsia="zh-CN"/>
              </w:rPr>
            </w:pPr>
            <w:r>
              <w:rPr>
                <w:rFonts w:hint="eastAsia"/>
                <w:sz w:val="21"/>
                <w:szCs w:val="21"/>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475" w:hRule="atLeast"/>
        </w:trPr>
        <w:tc>
          <w:tcPr>
            <w:tcW w:w="1221" w:type="dxa"/>
            <w:tcBorders>
              <w:left w:val="single" w:color="000000" w:sz="4" w:space="0"/>
              <w:right w:val="single" w:color="000000" w:sz="4" w:space="0"/>
            </w:tcBorders>
            <w:noWrap w:val="0"/>
            <w:vAlign w:val="center"/>
          </w:tcPr>
          <w:p>
            <w:pPr>
              <w:jc w:val="center"/>
              <w:rPr>
                <w:sz w:val="21"/>
                <w:szCs w:val="21"/>
              </w:rPr>
            </w:pPr>
            <w:r>
              <w:rPr>
                <w:sz w:val="21"/>
                <w:szCs w:val="21"/>
              </w:rPr>
              <w:t>噪</w:t>
            </w:r>
          </w:p>
          <w:p>
            <w:pPr>
              <w:jc w:val="center"/>
              <w:rPr>
                <w:sz w:val="21"/>
                <w:szCs w:val="21"/>
              </w:rPr>
            </w:pPr>
            <w:r>
              <w:rPr>
                <w:sz w:val="21"/>
                <w:szCs w:val="21"/>
              </w:rPr>
              <w:t>声</w:t>
            </w:r>
          </w:p>
        </w:tc>
        <w:tc>
          <w:tcPr>
            <w:tcW w:w="8247" w:type="dxa"/>
            <w:gridSpan w:val="4"/>
            <w:tcBorders>
              <w:top w:val="single" w:color="auto" w:sz="4" w:space="0"/>
              <w:left w:val="single" w:color="auto" w:sz="4" w:space="0"/>
              <w:bottom w:val="single" w:color="auto" w:sz="4" w:space="0"/>
              <w:right w:val="single" w:color="000000" w:sz="4" w:space="0"/>
            </w:tcBorders>
            <w:noWrap w:val="0"/>
            <w:vAlign w:val="center"/>
          </w:tcPr>
          <w:p>
            <w:pPr>
              <w:keepNext w:val="0"/>
              <w:keepLines w:val="0"/>
              <w:pageBreakBefore w:val="0"/>
              <w:widowControl w:val="0"/>
              <w:kinsoku/>
              <w:wordWrap/>
              <w:overflowPunct/>
              <w:topLinePunct w:val="0"/>
              <w:autoSpaceDE/>
              <w:autoSpaceDN/>
              <w:bidi w:val="0"/>
              <w:adjustRightInd/>
              <w:snapToGrid/>
              <w:spacing w:line="360" w:lineRule="auto"/>
              <w:textAlignment w:val="auto"/>
              <w:rPr>
                <w:sz w:val="21"/>
                <w:szCs w:val="21"/>
              </w:rPr>
            </w:pPr>
            <w:r>
              <w:rPr>
                <w:kern w:val="24"/>
                <w:sz w:val="21"/>
                <w:szCs w:val="21"/>
              </w:rPr>
              <w:t xml:space="preserve">    项目运营过程中的噪声主要为</w:t>
            </w:r>
            <w:r>
              <w:rPr>
                <w:rFonts w:hint="eastAsia"/>
                <w:kern w:val="24"/>
                <w:sz w:val="21"/>
                <w:szCs w:val="21"/>
                <w:lang w:eastAsia="zh-CN"/>
              </w:rPr>
              <w:t>35吨冲床</w:t>
            </w:r>
            <w:r>
              <w:rPr>
                <w:kern w:val="24"/>
                <w:sz w:val="21"/>
                <w:szCs w:val="21"/>
              </w:rPr>
              <w:t>等生产设备运行过程中产生的混合噪声，噪声值约为7</w:t>
            </w:r>
            <w:r>
              <w:rPr>
                <w:rFonts w:hint="eastAsia"/>
                <w:kern w:val="24"/>
                <w:sz w:val="21"/>
                <w:szCs w:val="21"/>
              </w:rPr>
              <w:t>5</w:t>
            </w:r>
            <w:r>
              <w:rPr>
                <w:kern w:val="24"/>
                <w:sz w:val="21"/>
                <w:szCs w:val="21"/>
              </w:rPr>
              <w:t>～95dB(A)。采用低噪声设备，将设备置于车间内，对主要噪声设备设减振垫，降低设备运行噪声，对设备进行定期检修，保持良好的运行状态；经采取上述措施后，厂界噪声满足《工业企业厂界环境噪声排放标准（GB12348-2008）中</w:t>
            </w:r>
            <w:r>
              <w:rPr>
                <w:rFonts w:hint="eastAsia"/>
                <w:kern w:val="24"/>
                <w:sz w:val="21"/>
                <w:szCs w:val="21"/>
                <w:lang w:val="en-US" w:eastAsia="zh-CN"/>
              </w:rPr>
              <w:t>2</w:t>
            </w:r>
            <w:r>
              <w:rPr>
                <w:kern w:val="24"/>
                <w:sz w:val="21"/>
                <w:szCs w:val="21"/>
              </w:rPr>
              <w:t>类标准，对周围环境影响较小</w:t>
            </w:r>
            <w:r>
              <w:rPr>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9" w:hRule="atLeast"/>
        </w:trPr>
        <w:tc>
          <w:tcPr>
            <w:tcW w:w="1221" w:type="dxa"/>
            <w:tcBorders>
              <w:left w:val="single" w:color="000000" w:sz="4" w:space="0"/>
              <w:right w:val="single" w:color="000000" w:sz="4" w:space="0"/>
            </w:tcBorders>
            <w:noWrap w:val="0"/>
            <w:vAlign w:val="center"/>
          </w:tcPr>
          <w:p>
            <w:pPr>
              <w:jc w:val="center"/>
              <w:rPr>
                <w:sz w:val="21"/>
                <w:szCs w:val="21"/>
              </w:rPr>
            </w:pPr>
            <w:r>
              <w:rPr>
                <w:sz w:val="21"/>
                <w:szCs w:val="21"/>
              </w:rPr>
              <w:t>其他</w:t>
            </w:r>
          </w:p>
        </w:tc>
        <w:tc>
          <w:tcPr>
            <w:tcW w:w="8247" w:type="dxa"/>
            <w:gridSpan w:val="4"/>
            <w:tcBorders>
              <w:top w:val="single" w:color="auto" w:sz="4" w:space="0"/>
              <w:left w:val="single" w:color="auto" w:sz="4" w:space="0"/>
              <w:bottom w:val="single" w:color="auto" w:sz="4" w:space="0"/>
              <w:right w:val="single" w:color="000000" w:sz="4" w:space="0"/>
            </w:tcBorders>
            <w:noWrap w:val="0"/>
            <w:vAlign w:val="center"/>
          </w:tcPr>
          <w:p>
            <w:pPr>
              <w:jc w:val="center"/>
              <w:rPr>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14" w:hRule="atLeast"/>
        </w:trPr>
        <w:tc>
          <w:tcPr>
            <w:tcW w:w="9468" w:type="dxa"/>
            <w:gridSpan w:val="5"/>
            <w:tcBorders>
              <w:left w:val="single" w:color="000000" w:sz="4" w:space="0"/>
              <w:right w:val="single" w:color="000000" w:sz="4" w:space="0"/>
            </w:tcBorders>
            <w:noWrap w:val="0"/>
            <w:vAlign w:val="center"/>
          </w:tcPr>
          <w:p>
            <w:pPr>
              <w:snapToGrid w:val="0"/>
              <w:rPr>
                <w:sz w:val="21"/>
                <w:szCs w:val="21"/>
              </w:rPr>
            </w:pPr>
            <w:r>
              <w:rPr>
                <w:sz w:val="21"/>
                <w:szCs w:val="21"/>
              </w:rPr>
              <w:t>生态保护措施及预期效果</w:t>
            </w:r>
          </w:p>
          <w:p>
            <w:pPr>
              <w:jc w:val="center"/>
              <w:rPr>
                <w:sz w:val="21"/>
                <w:szCs w:val="21"/>
              </w:rPr>
            </w:pPr>
          </w:p>
          <w:p>
            <w:pPr>
              <w:rPr>
                <w:sz w:val="21"/>
                <w:szCs w:val="21"/>
              </w:rPr>
            </w:pPr>
          </w:p>
          <w:p>
            <w:pPr>
              <w:rPr>
                <w:sz w:val="21"/>
                <w:szCs w:val="21"/>
              </w:rPr>
            </w:pPr>
          </w:p>
          <w:p>
            <w:pPr>
              <w:pStyle w:val="2"/>
              <w:rPr>
                <w:sz w:val="21"/>
                <w:szCs w:val="21"/>
              </w:rPr>
            </w:pPr>
          </w:p>
          <w:p>
            <w:pPr>
              <w:pStyle w:val="3"/>
              <w:ind w:left="0" w:leftChars="0" w:firstLine="0" w:firstLineChars="0"/>
              <w:rPr>
                <w:sz w:val="21"/>
                <w:szCs w:val="21"/>
              </w:rPr>
            </w:pPr>
          </w:p>
        </w:tc>
      </w:tr>
    </w:tbl>
    <w:p>
      <w:pPr>
        <w:adjustRightInd w:val="0"/>
        <w:snapToGrid w:val="0"/>
        <w:spacing w:line="440" w:lineRule="exact"/>
        <w:jc w:val="center"/>
        <w:rPr>
          <w:rFonts w:ascii="Times New Roman" w:hAnsi="Times New Roman" w:eastAsia="宋体" w:cs="Times New Roman"/>
          <w:b/>
          <w:sz w:val="24"/>
          <w:szCs w:val="24"/>
        </w:rPr>
      </w:pPr>
    </w:p>
    <w:p>
      <w:pPr>
        <w:pStyle w:val="6"/>
        <w:tabs>
          <w:tab w:val="left" w:pos="4845"/>
        </w:tabs>
        <w:adjustRightInd w:val="0"/>
        <w:snapToGrid w:val="0"/>
        <w:spacing w:line="360" w:lineRule="auto"/>
        <w:rPr>
          <w:rFonts w:ascii="Times New Roman" w:hAnsi="Times New Roman" w:cs="Times New Roman"/>
        </w:rPr>
      </w:pPr>
      <w:bookmarkStart w:id="78" w:name="_Toc8113_WPSOffice_Level2"/>
      <w:r>
        <w:rPr>
          <w:rFonts w:ascii="Times New Roman" w:hAnsi="Times New Roman" w:cs="Times New Roman"/>
        </w:rPr>
        <w:t>2.4 劳动定员及工作制度</w:t>
      </w:r>
      <w:bookmarkEnd w:id="78"/>
      <w:r>
        <w:rPr>
          <w:rFonts w:ascii="Times New Roman" w:hAnsi="Times New Roman" w:cs="Times New Roman"/>
        </w:rPr>
        <w:tab/>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项目劳动定员为</w:t>
      </w:r>
      <w:r>
        <w:rPr>
          <w:rFonts w:hint="eastAsia" w:ascii="Times New Roman" w:hAnsi="Times New Roman" w:eastAsia="宋体" w:cs="Times New Roman"/>
          <w:sz w:val="24"/>
          <w:szCs w:val="20"/>
          <w:lang w:val="en-US" w:eastAsia="zh-CN"/>
        </w:rPr>
        <w:t>5</w:t>
      </w:r>
      <w:r>
        <w:rPr>
          <w:rFonts w:ascii="Times New Roman" w:hAnsi="Times New Roman" w:eastAsia="宋体" w:cs="Times New Roman"/>
          <w:sz w:val="24"/>
          <w:szCs w:val="20"/>
        </w:rPr>
        <w:t>人，年工作300天，采用1班制，每班工作8小时。</w:t>
      </w:r>
    </w:p>
    <w:p>
      <w:pPr>
        <w:pStyle w:val="6"/>
        <w:adjustRightInd w:val="0"/>
        <w:snapToGrid w:val="0"/>
        <w:spacing w:line="360" w:lineRule="auto"/>
        <w:rPr>
          <w:rFonts w:ascii="Times New Roman" w:hAnsi="Times New Roman" w:cs="Times New Roman"/>
        </w:rPr>
      </w:pPr>
      <w:bookmarkStart w:id="79" w:name="_Toc23533_WPSOffice_Level2"/>
      <w:r>
        <w:rPr>
          <w:rFonts w:ascii="Times New Roman" w:hAnsi="Times New Roman" w:cs="Times New Roman"/>
        </w:rPr>
        <w:t>2.5 公用工程</w:t>
      </w:r>
      <w:bookmarkEnd w:id="79"/>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（1）给</w:t>
      </w:r>
      <w:r>
        <w:rPr>
          <w:rFonts w:hint="eastAsia" w:ascii="Times New Roman" w:hAnsi="Times New Roman" w:eastAsia="宋体" w:cs="Times New Roman"/>
          <w:sz w:val="24"/>
          <w:szCs w:val="20"/>
          <w:lang w:val="en-US" w:eastAsia="zh-CN"/>
        </w:rPr>
        <w:t>排</w:t>
      </w:r>
      <w:r>
        <w:rPr>
          <w:rFonts w:ascii="Times New Roman" w:hAnsi="Times New Roman" w:eastAsia="宋体" w:cs="Times New Roman"/>
          <w:sz w:val="24"/>
          <w:szCs w:val="20"/>
        </w:rPr>
        <w:t>水</w:t>
      </w:r>
    </w:p>
    <w:p>
      <w:pPr>
        <w:adjustRightInd w:val="0"/>
        <w:snapToGrid w:val="0"/>
        <w:spacing w:line="360" w:lineRule="auto"/>
        <w:ind w:firstLine="480" w:firstLineChars="200"/>
        <w:rPr>
          <w:bCs/>
          <w:sz w:val="24"/>
          <w:szCs w:val="24"/>
        </w:rPr>
      </w:pPr>
      <w:r>
        <w:rPr>
          <w:bCs/>
          <w:sz w:val="24"/>
          <w:szCs w:val="24"/>
        </w:rPr>
        <w:t>项目用水分生产用水及生活用水，</w:t>
      </w:r>
      <w:r>
        <w:rPr>
          <w:rFonts w:hint="eastAsia"/>
          <w:bCs/>
          <w:sz w:val="24"/>
          <w:szCs w:val="24"/>
        </w:rPr>
        <w:t>由</w:t>
      </w:r>
      <w:r>
        <w:rPr>
          <w:rFonts w:hint="eastAsia"/>
          <w:kern w:val="0"/>
          <w:sz w:val="24"/>
          <w:szCs w:val="24"/>
          <w:u w:val="none" w:color="000000"/>
          <w:lang w:eastAsia="zh-CN"/>
        </w:rPr>
        <w:t>张官屯乡</w:t>
      </w:r>
      <w:r>
        <w:rPr>
          <w:sz w:val="24"/>
          <w:szCs w:val="24"/>
        </w:rPr>
        <w:t>供水管网提供</w:t>
      </w:r>
      <w:r>
        <w:rPr>
          <w:rFonts w:hint="eastAsia"/>
          <w:sz w:val="24"/>
          <w:szCs w:val="24"/>
        </w:rPr>
        <w:t>，</w:t>
      </w:r>
      <w:r>
        <w:rPr>
          <w:sz w:val="24"/>
          <w:szCs w:val="24"/>
        </w:rPr>
        <w:t>生产</w:t>
      </w:r>
      <w:r>
        <w:rPr>
          <w:rFonts w:hint="eastAsia"/>
          <w:sz w:val="24"/>
          <w:szCs w:val="24"/>
          <w:lang w:eastAsia="zh-CN"/>
        </w:rPr>
        <w:t>不</w:t>
      </w:r>
      <w:r>
        <w:rPr>
          <w:sz w:val="24"/>
          <w:szCs w:val="24"/>
        </w:rPr>
        <w:t>用水。员工生活用水按20L/d·人计，生活用水量为</w:t>
      </w:r>
      <w:r>
        <w:rPr>
          <w:rFonts w:hint="eastAsia"/>
          <w:sz w:val="24"/>
          <w:szCs w:val="24"/>
          <w:lang w:val="en-US" w:eastAsia="zh-CN"/>
        </w:rPr>
        <w:t>30</w:t>
      </w:r>
      <w:r>
        <w:rPr>
          <w:sz w:val="24"/>
          <w:szCs w:val="24"/>
        </w:rPr>
        <w:t>m</w:t>
      </w:r>
      <w:r>
        <w:rPr>
          <w:sz w:val="24"/>
          <w:szCs w:val="24"/>
          <w:vertAlign w:val="superscript"/>
        </w:rPr>
        <w:t>3</w:t>
      </w:r>
      <w:r>
        <w:rPr>
          <w:sz w:val="24"/>
          <w:szCs w:val="24"/>
        </w:rPr>
        <w:t>/a</w:t>
      </w:r>
      <w:r>
        <w:rPr>
          <w:bCs/>
          <w:sz w:val="24"/>
          <w:szCs w:val="24"/>
        </w:rPr>
        <w:t>，可满足项目用水需求。</w:t>
      </w:r>
    </w:p>
    <w:p>
      <w:pPr>
        <w:adjustRightInd w:val="0"/>
        <w:snapToGrid w:val="0"/>
        <w:spacing w:line="360" w:lineRule="auto"/>
        <w:ind w:firstLine="420" w:firstLineChars="200"/>
        <w:rPr>
          <w:rFonts w:hint="eastAsia" w:ascii="Times New Roman" w:hAnsi="Times New Roman" w:eastAsia="宋体" w:cs="Times New Roman"/>
          <w:sz w:val="24"/>
          <w:szCs w:val="20"/>
          <w:lang w:eastAsia="zh-CN"/>
        </w:rPr>
      </w:pPr>
      <w:r>
        <w:drawing>
          <wp:inline distT="0" distB="0" distL="114300" distR="114300">
            <wp:extent cx="5270500" cy="1206500"/>
            <wp:effectExtent l="0" t="0" r="6350" b="1270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0"/>
                    <a:stretch>
                      <a:fillRect/>
                    </a:stretch>
                  </pic:blipFill>
                  <pic:spPr>
                    <a:xfrm>
                      <a:off x="0" y="0"/>
                      <a:ext cx="5270500" cy="1206500"/>
                    </a:xfrm>
                    <a:prstGeom prst="rect">
                      <a:avLst/>
                    </a:prstGeom>
                    <a:noFill/>
                    <a:ln>
                      <a:noFill/>
                    </a:ln>
                  </pic:spPr>
                </pic:pic>
              </a:graphicData>
            </a:graphic>
          </wp:inline>
        </w:drawing>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（3）供电</w:t>
      </w:r>
    </w:p>
    <w:p>
      <w:pPr>
        <w:widowControl/>
        <w:spacing w:line="360" w:lineRule="auto"/>
        <w:ind w:firstLine="480" w:firstLineChars="200"/>
        <w:textAlignment w:val="baseline"/>
        <w:rPr>
          <w:kern w:val="0"/>
          <w:sz w:val="24"/>
          <w:szCs w:val="20"/>
          <w:u w:val="none" w:color="000000"/>
        </w:rPr>
      </w:pPr>
      <w:r>
        <w:rPr>
          <w:kern w:val="0"/>
          <w:sz w:val="24"/>
          <w:szCs w:val="20"/>
          <w:u w:val="none" w:color="000000"/>
        </w:rPr>
        <w:t>项目年用电量为</w:t>
      </w:r>
      <w:r>
        <w:rPr>
          <w:rFonts w:hint="eastAsia"/>
          <w:kern w:val="0"/>
          <w:sz w:val="24"/>
          <w:szCs w:val="20"/>
          <w:u w:val="none" w:color="000000"/>
          <w:lang w:val="en-US" w:eastAsia="zh-CN"/>
        </w:rPr>
        <w:t>5</w:t>
      </w:r>
      <w:r>
        <w:rPr>
          <w:kern w:val="0"/>
          <w:sz w:val="24"/>
          <w:szCs w:val="20"/>
          <w:u w:val="none" w:color="000000"/>
        </w:rPr>
        <w:t>万kw·h/a，</w:t>
      </w:r>
      <w:r>
        <w:rPr>
          <w:sz w:val="24"/>
        </w:rPr>
        <w:t>电源引</w:t>
      </w:r>
      <w:r>
        <w:rPr>
          <w:rFonts w:hint="eastAsia"/>
          <w:sz w:val="24"/>
          <w:lang w:eastAsia="zh-CN"/>
        </w:rPr>
        <w:t>自张官屯乡</w:t>
      </w:r>
      <w:r>
        <w:rPr>
          <w:sz w:val="24"/>
        </w:rPr>
        <w:t>变电所，</w:t>
      </w:r>
      <w:r>
        <w:rPr>
          <w:kern w:val="0"/>
          <w:sz w:val="24"/>
          <w:szCs w:val="20"/>
          <w:u w:val="none" w:color="000000"/>
        </w:rPr>
        <w:t>可以满足项目用电需求。</w:t>
      </w:r>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（4）供热</w:t>
      </w:r>
    </w:p>
    <w:p>
      <w:pPr>
        <w:adjustRightInd w:val="0"/>
        <w:snapToGrid w:val="0"/>
        <w:spacing w:line="360" w:lineRule="auto"/>
        <w:ind w:firstLine="600" w:firstLineChars="250"/>
        <w:rPr>
          <w:rFonts w:ascii="Times New Roman" w:hAnsi="Times New Roman" w:eastAsia="宋体" w:cs="Times New Roman"/>
          <w:sz w:val="24"/>
          <w:szCs w:val="20"/>
        </w:rPr>
      </w:pPr>
      <w:r>
        <w:rPr>
          <w:kern w:val="0"/>
          <w:sz w:val="24"/>
          <w:szCs w:val="20"/>
          <w:u w:val="none" w:color="000000"/>
        </w:rPr>
        <w:t>办公室取暖由空调提供</w:t>
      </w:r>
      <w:r>
        <w:rPr>
          <w:rFonts w:hAnsi="宋体"/>
          <w:kern w:val="44"/>
          <w:sz w:val="24"/>
          <w:lang w:val="en-US" w:eastAsia="zh-CN"/>
        </w:rPr>
        <w:t>。</w:t>
      </w:r>
    </w:p>
    <w:p>
      <w:pPr>
        <w:pStyle w:val="6"/>
        <w:adjustRightInd w:val="0"/>
        <w:snapToGrid w:val="0"/>
        <w:spacing w:line="360" w:lineRule="auto"/>
        <w:rPr>
          <w:rFonts w:ascii="Times New Roman" w:hAnsi="Times New Roman" w:cs="Times New Roman"/>
        </w:rPr>
      </w:pPr>
      <w:bookmarkStart w:id="80" w:name="_Toc32369_WPSOffice_Level2"/>
      <w:r>
        <w:rPr>
          <w:rFonts w:ascii="Times New Roman" w:hAnsi="Times New Roman" w:cs="Times New Roman"/>
        </w:rPr>
        <w:t>2.6 环评审批情况</w:t>
      </w:r>
      <w:bookmarkEnd w:id="80"/>
    </w:p>
    <w:p>
      <w:pPr>
        <w:adjustRightInd w:val="0"/>
        <w:snapToGrid w:val="0"/>
        <w:spacing w:line="360" w:lineRule="auto"/>
        <w:ind w:firstLine="480" w:firstLineChars="200"/>
        <w:rPr>
          <w:rFonts w:ascii="Times New Roman" w:hAnsi="Times New Roman" w:eastAsia="宋体" w:cs="Times New Roman"/>
          <w:sz w:val="24"/>
          <w:szCs w:val="20"/>
        </w:rPr>
      </w:pPr>
      <w:r>
        <w:rPr>
          <w:rFonts w:hint="eastAsia" w:ascii="Times New Roman" w:hAnsi="Times New Roman" w:eastAsia="宋体" w:cs="Times New Roman"/>
          <w:sz w:val="24"/>
          <w:szCs w:val="20"/>
          <w:lang w:eastAsia="zh-CN"/>
        </w:rPr>
        <w:t>沧县东达五金制品加工厂</w:t>
      </w:r>
      <w:r>
        <w:rPr>
          <w:rFonts w:ascii="Times New Roman" w:hAnsi="Times New Roman" w:eastAsia="宋体" w:cs="Times New Roman"/>
          <w:sz w:val="24"/>
          <w:szCs w:val="20"/>
        </w:rPr>
        <w:t>于201</w:t>
      </w:r>
      <w:r>
        <w:rPr>
          <w:rFonts w:hint="eastAsia" w:ascii="Times New Roman" w:hAnsi="Times New Roman" w:eastAsia="宋体" w:cs="Times New Roman"/>
          <w:sz w:val="24"/>
          <w:szCs w:val="20"/>
          <w:lang w:val="en-US" w:eastAsia="zh-CN"/>
        </w:rPr>
        <w:t>9</w:t>
      </w:r>
      <w:r>
        <w:rPr>
          <w:rFonts w:ascii="Times New Roman" w:hAnsi="Times New Roman" w:eastAsia="宋体" w:cs="Times New Roman"/>
          <w:sz w:val="24"/>
          <w:szCs w:val="20"/>
        </w:rPr>
        <w:t>年</w:t>
      </w:r>
      <w:r>
        <w:rPr>
          <w:rFonts w:hint="eastAsia" w:ascii="Times New Roman" w:hAnsi="Times New Roman" w:eastAsia="宋体" w:cs="Times New Roman"/>
          <w:sz w:val="24"/>
          <w:szCs w:val="20"/>
          <w:lang w:val="en-US" w:eastAsia="zh-CN"/>
        </w:rPr>
        <w:t>8</w:t>
      </w:r>
      <w:r>
        <w:rPr>
          <w:rFonts w:ascii="Times New Roman" w:hAnsi="Times New Roman" w:eastAsia="宋体" w:cs="Times New Roman"/>
          <w:sz w:val="24"/>
          <w:szCs w:val="20"/>
        </w:rPr>
        <w:t>月委托</w:t>
      </w:r>
      <w:r>
        <w:rPr>
          <w:rFonts w:hint="eastAsia"/>
          <w:bCs/>
          <w:kern w:val="0"/>
          <w:sz w:val="24"/>
          <w:szCs w:val="20"/>
          <w:u w:val="none" w:color="000000"/>
          <w:shd w:val="clear" w:color="auto" w:fill="auto"/>
          <w:lang w:eastAsia="zh-CN"/>
        </w:rPr>
        <w:t>河南金环环境影响评价有限公司</w:t>
      </w:r>
      <w:r>
        <w:rPr>
          <w:rFonts w:ascii="Times New Roman" w:hAnsi="Times New Roman" w:eastAsia="宋体" w:cs="Times New Roman"/>
          <w:sz w:val="24"/>
          <w:szCs w:val="20"/>
        </w:rPr>
        <w:t>编制《</w:t>
      </w:r>
      <w:r>
        <w:rPr>
          <w:rFonts w:hint="eastAsia" w:ascii="Times New Roman" w:hAnsi="Times New Roman" w:eastAsia="宋体" w:cs="Times New Roman"/>
          <w:sz w:val="24"/>
          <w:szCs w:val="20"/>
          <w:lang w:eastAsia="zh-CN"/>
        </w:rPr>
        <w:t>年产100吨刀片刺绳卡扣及各种配件项目</w:t>
      </w:r>
      <w:r>
        <w:rPr>
          <w:rFonts w:hint="eastAsia" w:ascii="Times New Roman" w:hAnsi="Times New Roman" w:eastAsia="宋体" w:cs="Times New Roman"/>
          <w:sz w:val="24"/>
          <w:szCs w:val="20"/>
        </w:rPr>
        <w:t>环境影响报告表</w:t>
      </w:r>
      <w:r>
        <w:rPr>
          <w:rFonts w:ascii="Times New Roman" w:hAnsi="Times New Roman" w:eastAsia="宋体" w:cs="Times New Roman"/>
          <w:sz w:val="24"/>
          <w:szCs w:val="20"/>
        </w:rPr>
        <w:t>》，该项目环评报告于</w:t>
      </w:r>
      <w:r>
        <w:rPr>
          <w:rFonts w:ascii="Times New Roman" w:hAnsi="Times New Roman" w:eastAsia="宋体" w:cs="Times New Roman"/>
          <w:color w:val="000000" w:themeColor="text1"/>
          <w:sz w:val="24"/>
          <w:szCs w:val="20"/>
          <w14:textFill>
            <w14:solidFill>
              <w14:schemeClr w14:val="tx1"/>
            </w14:solidFill>
          </w14:textFill>
        </w:rPr>
        <w:t>201</w:t>
      </w:r>
      <w:r>
        <w:rPr>
          <w:rFonts w:hint="eastAsia" w:ascii="Times New Roman" w:hAnsi="Times New Roman" w:eastAsia="宋体" w:cs="Times New Roman"/>
          <w:color w:val="000000" w:themeColor="text1"/>
          <w:sz w:val="24"/>
          <w:szCs w:val="20"/>
          <w:lang w:val="en-US" w:eastAsia="zh-CN"/>
          <w14:textFill>
            <w14:solidFill>
              <w14:schemeClr w14:val="tx1"/>
            </w14:solidFill>
          </w14:textFill>
        </w:rPr>
        <w:t>9</w:t>
      </w:r>
      <w:r>
        <w:rPr>
          <w:rFonts w:ascii="Times New Roman" w:hAnsi="Times New Roman" w:eastAsia="宋体" w:cs="Times New Roman"/>
          <w:color w:val="000000" w:themeColor="text1"/>
          <w:sz w:val="24"/>
          <w:szCs w:val="20"/>
          <w14:textFill>
            <w14:solidFill>
              <w14:schemeClr w14:val="tx1"/>
            </w14:solidFill>
          </w14:textFill>
        </w:rPr>
        <w:t>年</w:t>
      </w:r>
      <w:r>
        <w:rPr>
          <w:rFonts w:hint="eastAsia" w:ascii="Times New Roman" w:hAnsi="Times New Roman" w:eastAsia="宋体" w:cs="Times New Roman"/>
          <w:color w:val="000000" w:themeColor="text1"/>
          <w:sz w:val="24"/>
          <w:szCs w:val="20"/>
          <w:lang w:val="en-US" w:eastAsia="zh-CN"/>
          <w14:textFill>
            <w14:solidFill>
              <w14:schemeClr w14:val="tx1"/>
            </w14:solidFill>
          </w14:textFill>
        </w:rPr>
        <w:t>9</w:t>
      </w:r>
      <w:r>
        <w:rPr>
          <w:rFonts w:ascii="Times New Roman" w:hAnsi="Times New Roman" w:eastAsia="宋体" w:cs="Times New Roman"/>
          <w:color w:val="000000" w:themeColor="text1"/>
          <w:sz w:val="24"/>
          <w:szCs w:val="20"/>
          <w14:textFill>
            <w14:solidFill>
              <w14:schemeClr w14:val="tx1"/>
            </w14:solidFill>
          </w14:textFill>
        </w:rPr>
        <w:t>月</w:t>
      </w:r>
      <w:r>
        <w:rPr>
          <w:rFonts w:hint="eastAsia" w:ascii="Times New Roman" w:hAnsi="Times New Roman" w:eastAsia="宋体" w:cs="Times New Roman"/>
          <w:color w:val="000000" w:themeColor="text1"/>
          <w:sz w:val="24"/>
          <w:szCs w:val="20"/>
          <w:lang w:val="en-US" w:eastAsia="zh-CN"/>
          <w14:textFill>
            <w14:solidFill>
              <w14:schemeClr w14:val="tx1"/>
            </w14:solidFill>
          </w14:textFill>
        </w:rPr>
        <w:t>12</w:t>
      </w:r>
      <w:r>
        <w:rPr>
          <w:rFonts w:ascii="Times New Roman" w:hAnsi="Times New Roman" w:eastAsia="宋体" w:cs="Times New Roman"/>
          <w:color w:val="000000" w:themeColor="text1"/>
          <w:sz w:val="24"/>
          <w:szCs w:val="20"/>
          <w14:textFill>
            <w14:solidFill>
              <w14:schemeClr w14:val="tx1"/>
            </w14:solidFill>
          </w14:textFill>
        </w:rPr>
        <w:t>日</w:t>
      </w:r>
      <w:r>
        <w:rPr>
          <w:rFonts w:ascii="Times New Roman" w:hAnsi="Times New Roman" w:eastAsia="宋体" w:cs="Times New Roman"/>
          <w:sz w:val="24"/>
          <w:szCs w:val="20"/>
        </w:rPr>
        <w:t>通过</w:t>
      </w:r>
      <w:r>
        <w:rPr>
          <w:rFonts w:hint="eastAsia" w:ascii="Times New Roman" w:hAnsi="Times New Roman" w:eastAsia="宋体" w:cs="Times New Roman"/>
          <w:sz w:val="24"/>
          <w:szCs w:val="20"/>
          <w:lang w:eastAsia="zh-CN"/>
        </w:rPr>
        <w:t>盐山县</w:t>
      </w:r>
      <w:r>
        <w:rPr>
          <w:rFonts w:ascii="Times New Roman" w:hAnsi="Times New Roman" w:eastAsia="宋体" w:cs="Times New Roman"/>
          <w:sz w:val="24"/>
          <w:szCs w:val="20"/>
        </w:rPr>
        <w:t>环境保护局审批，审批文号为</w:t>
      </w:r>
      <w:r>
        <w:rPr>
          <w:rFonts w:hint="eastAsia" w:ascii="Times New Roman" w:hAnsi="Times New Roman" w:eastAsia="宋体" w:cs="Times New Roman"/>
          <w:sz w:val="24"/>
          <w:szCs w:val="20"/>
          <w:lang w:eastAsia="zh-CN"/>
        </w:rPr>
        <w:t>盐环表</w:t>
      </w:r>
      <w:r>
        <w:rPr>
          <w:rFonts w:ascii="Times New Roman" w:hAnsi="Times New Roman" w:eastAsia="宋体" w:cs="Times New Roman"/>
          <w:sz w:val="24"/>
          <w:szCs w:val="20"/>
        </w:rPr>
        <w:t>[201</w:t>
      </w:r>
      <w:r>
        <w:rPr>
          <w:rFonts w:hint="eastAsia" w:ascii="Times New Roman" w:hAnsi="Times New Roman" w:eastAsia="宋体" w:cs="Times New Roman"/>
          <w:sz w:val="24"/>
          <w:szCs w:val="20"/>
          <w:lang w:val="en-US" w:eastAsia="zh-CN"/>
        </w:rPr>
        <w:t>9</w:t>
      </w:r>
      <w:r>
        <w:rPr>
          <w:rFonts w:ascii="Times New Roman" w:hAnsi="Times New Roman" w:eastAsia="宋体" w:cs="Times New Roman"/>
          <w:sz w:val="24"/>
          <w:szCs w:val="20"/>
        </w:rPr>
        <w:t>]</w:t>
      </w:r>
      <w:r>
        <w:rPr>
          <w:rFonts w:hint="eastAsia" w:ascii="Times New Roman" w:hAnsi="Times New Roman" w:eastAsia="宋体" w:cs="Times New Roman"/>
          <w:sz w:val="24"/>
          <w:szCs w:val="20"/>
          <w:lang w:val="en-US" w:eastAsia="zh-CN"/>
        </w:rPr>
        <w:t>201</w:t>
      </w:r>
      <w:r>
        <w:rPr>
          <w:rFonts w:ascii="Times New Roman" w:hAnsi="Times New Roman" w:eastAsia="宋体" w:cs="Times New Roman"/>
          <w:sz w:val="24"/>
          <w:szCs w:val="20"/>
        </w:rPr>
        <w:t>号。</w:t>
      </w:r>
    </w:p>
    <w:p>
      <w:pPr>
        <w:pStyle w:val="6"/>
        <w:rPr>
          <w:rFonts w:ascii="Times New Roman" w:hAnsi="Times New Roman" w:cs="Times New Roman"/>
        </w:rPr>
      </w:pPr>
      <w:bookmarkStart w:id="81" w:name="_Toc10926_WPSOffice_Level2"/>
      <w:r>
        <w:rPr>
          <w:rFonts w:ascii="Times New Roman" w:hAnsi="Times New Roman" w:cs="Times New Roman"/>
        </w:rPr>
        <w:t>2.7 项目投资</w:t>
      </w:r>
      <w:bookmarkEnd w:id="81"/>
    </w:p>
    <w:p>
      <w:pPr>
        <w:adjustRightInd w:val="0"/>
        <w:snapToGrid w:val="0"/>
        <w:spacing w:line="360" w:lineRule="auto"/>
        <w:ind w:firstLine="480" w:firstLineChars="200"/>
        <w:rPr>
          <w:rFonts w:ascii="Times New Roman" w:hAnsi="Times New Roman" w:eastAsia="宋体" w:cs="Times New Roman"/>
          <w:sz w:val="24"/>
          <w:szCs w:val="20"/>
        </w:rPr>
      </w:pPr>
      <w:r>
        <w:rPr>
          <w:rFonts w:ascii="Times New Roman" w:hAnsi="Times New Roman" w:eastAsia="宋体" w:cs="Times New Roman"/>
          <w:sz w:val="24"/>
          <w:szCs w:val="20"/>
        </w:rPr>
        <w:t>本项目总投资</w:t>
      </w:r>
      <w:r>
        <w:rPr>
          <w:rFonts w:hint="eastAsia" w:ascii="Times New Roman" w:hAnsi="Times New Roman" w:eastAsia="宋体" w:cs="Times New Roman"/>
          <w:sz w:val="24"/>
          <w:szCs w:val="20"/>
          <w:lang w:val="en-US" w:eastAsia="zh-CN"/>
        </w:rPr>
        <w:t>300</w:t>
      </w:r>
      <w:r>
        <w:rPr>
          <w:rFonts w:ascii="Times New Roman" w:hAnsi="Times New Roman" w:eastAsia="宋体" w:cs="Times New Roman"/>
          <w:sz w:val="24"/>
          <w:szCs w:val="20"/>
        </w:rPr>
        <w:t>万元，其中环保投资</w:t>
      </w:r>
      <w:r>
        <w:rPr>
          <w:rFonts w:hint="eastAsia" w:ascii="Times New Roman" w:hAnsi="Times New Roman" w:eastAsia="宋体" w:cs="Times New Roman"/>
          <w:sz w:val="24"/>
          <w:szCs w:val="20"/>
          <w:lang w:val="en-US" w:eastAsia="zh-CN"/>
        </w:rPr>
        <w:t>10</w:t>
      </w:r>
      <w:r>
        <w:rPr>
          <w:rFonts w:ascii="Times New Roman" w:hAnsi="Times New Roman" w:eastAsia="宋体" w:cs="Times New Roman"/>
          <w:sz w:val="24"/>
          <w:szCs w:val="20"/>
        </w:rPr>
        <w:t>万元，环保投资占总投资的</w:t>
      </w:r>
      <w:r>
        <w:rPr>
          <w:rFonts w:hint="eastAsia" w:ascii="Times New Roman" w:hAnsi="Times New Roman" w:eastAsia="宋体" w:cs="Times New Roman"/>
          <w:sz w:val="24"/>
          <w:szCs w:val="20"/>
        </w:rPr>
        <w:t>1.</w:t>
      </w:r>
      <w:r>
        <w:rPr>
          <w:rFonts w:hint="eastAsia" w:ascii="Times New Roman" w:hAnsi="Times New Roman" w:eastAsia="宋体" w:cs="Times New Roman"/>
          <w:sz w:val="24"/>
          <w:szCs w:val="20"/>
          <w:lang w:val="en-US" w:eastAsia="zh-CN"/>
        </w:rPr>
        <w:t>67</w:t>
      </w:r>
      <w:r>
        <w:rPr>
          <w:rFonts w:ascii="Times New Roman" w:hAnsi="Times New Roman" w:eastAsia="宋体" w:cs="Times New Roman"/>
          <w:sz w:val="24"/>
          <w:szCs w:val="20"/>
        </w:rPr>
        <w:t>%。</w:t>
      </w:r>
    </w:p>
    <w:p>
      <w:pPr>
        <w:pStyle w:val="6"/>
        <w:rPr>
          <w:rFonts w:ascii="Times New Roman" w:hAnsi="Times New Roman" w:cs="Times New Roman"/>
        </w:rPr>
      </w:pPr>
      <w:bookmarkStart w:id="82" w:name="_Toc24140_WPSOffice_Level2"/>
      <w:r>
        <w:rPr>
          <w:rFonts w:ascii="Times New Roman" w:hAnsi="Times New Roman" w:cs="Times New Roman"/>
        </w:rPr>
        <w:t>2.8 环境保护“三同时”落实情况</w:t>
      </w:r>
      <w:bookmarkEnd w:id="82"/>
    </w:p>
    <w:p>
      <w:pPr>
        <w:widowControl/>
        <w:spacing w:beforeLines="50" w:afterLines="50"/>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本项目环评及批复阶段要求建设内容“三同时”情况落实见表2-7。</w:t>
      </w:r>
    </w:p>
    <w:p>
      <w:pPr>
        <w:adjustRightInd w:val="0"/>
        <w:snapToGrid w:val="0"/>
        <w:spacing w:line="440" w:lineRule="exact"/>
        <w:jc w:val="center"/>
        <w:rPr>
          <w:rFonts w:ascii="Times New Roman" w:hAnsi="Times New Roman" w:eastAsia="宋体" w:cs="Times New Roman"/>
          <w:b/>
          <w:sz w:val="24"/>
          <w:szCs w:val="24"/>
        </w:rPr>
      </w:pPr>
      <w:r>
        <w:rPr>
          <w:rFonts w:ascii="Times New Roman" w:hAnsi="Times New Roman" w:eastAsia="宋体" w:cs="Times New Roman"/>
          <w:b/>
          <w:sz w:val="24"/>
          <w:szCs w:val="24"/>
        </w:rPr>
        <w:t>表2-</w:t>
      </w:r>
      <w:bookmarkStart w:id="83" w:name="_Hlk496992852"/>
      <w:r>
        <w:rPr>
          <w:rFonts w:hint="eastAsia" w:ascii="Times New Roman" w:hAnsi="Times New Roman" w:eastAsia="宋体" w:cs="Times New Roman"/>
          <w:b/>
          <w:sz w:val="24"/>
          <w:szCs w:val="24"/>
        </w:rPr>
        <w:t>7</w:t>
      </w:r>
      <w:r>
        <w:rPr>
          <w:rFonts w:ascii="Times New Roman" w:hAnsi="Times New Roman" w:eastAsia="宋体" w:cs="Times New Roman"/>
          <w:b/>
          <w:sz w:val="24"/>
          <w:szCs w:val="24"/>
        </w:rPr>
        <w:t>环境保护“三同时”落实情况</w:t>
      </w:r>
      <w:bookmarkEnd w:id="83"/>
    </w:p>
    <w:tbl>
      <w:tblPr>
        <w:tblStyle w:val="11"/>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56"/>
        <w:gridCol w:w="1032"/>
        <w:gridCol w:w="992"/>
        <w:gridCol w:w="1461"/>
        <w:gridCol w:w="1863"/>
        <w:gridCol w:w="24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38" w:hRule="atLeast"/>
          <w:jc w:val="center"/>
        </w:trPr>
        <w:tc>
          <w:tcPr>
            <w:tcW w:w="556" w:type="dxa"/>
            <w:noWrap w:val="0"/>
            <w:vAlign w:val="center"/>
          </w:tcPr>
          <w:p>
            <w:pPr>
              <w:pStyle w:val="4"/>
              <w:adjustRightInd w:val="0"/>
              <w:spacing w:line="240" w:lineRule="auto"/>
              <w:jc w:val="center"/>
              <w:rPr>
                <w:sz w:val="21"/>
                <w:szCs w:val="21"/>
              </w:rPr>
            </w:pPr>
            <w:bookmarkStart w:id="84" w:name="_Toc32611_WPSOffice_Level2"/>
            <w:r>
              <w:rPr>
                <w:sz w:val="21"/>
                <w:szCs w:val="21"/>
              </w:rPr>
              <w:t>项目</w:t>
            </w:r>
          </w:p>
        </w:tc>
        <w:tc>
          <w:tcPr>
            <w:tcW w:w="1032" w:type="dxa"/>
            <w:noWrap w:val="0"/>
            <w:vAlign w:val="center"/>
          </w:tcPr>
          <w:p>
            <w:pPr>
              <w:pStyle w:val="4"/>
              <w:adjustRightInd w:val="0"/>
              <w:spacing w:line="240" w:lineRule="auto"/>
              <w:jc w:val="center"/>
              <w:rPr>
                <w:sz w:val="21"/>
                <w:szCs w:val="21"/>
              </w:rPr>
            </w:pPr>
            <w:r>
              <w:rPr>
                <w:sz w:val="21"/>
                <w:szCs w:val="21"/>
              </w:rPr>
              <w:t>污染源</w:t>
            </w:r>
          </w:p>
        </w:tc>
        <w:tc>
          <w:tcPr>
            <w:tcW w:w="992" w:type="dxa"/>
            <w:noWrap w:val="0"/>
            <w:vAlign w:val="center"/>
          </w:tcPr>
          <w:p>
            <w:pPr>
              <w:pStyle w:val="4"/>
              <w:adjustRightInd w:val="0"/>
              <w:spacing w:line="240" w:lineRule="auto"/>
              <w:jc w:val="center"/>
              <w:rPr>
                <w:sz w:val="21"/>
                <w:szCs w:val="21"/>
              </w:rPr>
            </w:pPr>
            <w:r>
              <w:rPr>
                <w:sz w:val="21"/>
                <w:szCs w:val="21"/>
              </w:rPr>
              <w:t>污染物</w:t>
            </w:r>
          </w:p>
        </w:tc>
        <w:tc>
          <w:tcPr>
            <w:tcW w:w="1461" w:type="dxa"/>
            <w:noWrap w:val="0"/>
            <w:vAlign w:val="center"/>
          </w:tcPr>
          <w:p>
            <w:pPr>
              <w:pStyle w:val="4"/>
              <w:adjustRightInd w:val="0"/>
              <w:spacing w:line="240" w:lineRule="auto"/>
              <w:jc w:val="center"/>
              <w:rPr>
                <w:sz w:val="21"/>
                <w:szCs w:val="21"/>
              </w:rPr>
            </w:pPr>
            <w:r>
              <w:rPr>
                <w:sz w:val="21"/>
                <w:szCs w:val="21"/>
              </w:rPr>
              <w:t>环保设施</w:t>
            </w:r>
          </w:p>
          <w:p>
            <w:pPr>
              <w:pStyle w:val="4"/>
              <w:adjustRightInd w:val="0"/>
              <w:spacing w:line="240" w:lineRule="auto"/>
              <w:jc w:val="center"/>
              <w:rPr>
                <w:sz w:val="21"/>
                <w:szCs w:val="21"/>
              </w:rPr>
            </w:pPr>
            <w:r>
              <w:rPr>
                <w:sz w:val="21"/>
                <w:szCs w:val="21"/>
              </w:rPr>
              <w:t>名称</w:t>
            </w:r>
          </w:p>
        </w:tc>
        <w:tc>
          <w:tcPr>
            <w:tcW w:w="1863" w:type="dxa"/>
            <w:noWrap w:val="0"/>
            <w:vAlign w:val="center"/>
          </w:tcPr>
          <w:p>
            <w:pPr>
              <w:pStyle w:val="4"/>
              <w:adjustRightInd w:val="0"/>
              <w:spacing w:line="240" w:lineRule="auto"/>
              <w:jc w:val="center"/>
              <w:rPr>
                <w:sz w:val="21"/>
                <w:szCs w:val="21"/>
              </w:rPr>
            </w:pPr>
            <w:r>
              <w:rPr>
                <w:sz w:val="21"/>
                <w:szCs w:val="21"/>
              </w:rPr>
              <w:t>验收指标</w:t>
            </w:r>
          </w:p>
        </w:tc>
        <w:tc>
          <w:tcPr>
            <w:tcW w:w="2495" w:type="dxa"/>
            <w:noWrap w:val="0"/>
            <w:vAlign w:val="center"/>
          </w:tcPr>
          <w:p>
            <w:pPr>
              <w:pStyle w:val="4"/>
              <w:adjustRightInd w:val="0"/>
              <w:spacing w:line="240" w:lineRule="auto"/>
              <w:jc w:val="center"/>
              <w:rPr>
                <w:sz w:val="21"/>
                <w:szCs w:val="21"/>
              </w:rPr>
            </w:pPr>
            <w:r>
              <w:rPr>
                <w:sz w:val="21"/>
                <w:szCs w:val="21"/>
              </w:rPr>
              <w:t>验收标准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3" w:hRule="atLeast"/>
          <w:jc w:val="center"/>
        </w:trPr>
        <w:tc>
          <w:tcPr>
            <w:tcW w:w="556" w:type="dxa"/>
            <w:noWrap w:val="0"/>
            <w:vAlign w:val="center"/>
          </w:tcPr>
          <w:p>
            <w:pPr>
              <w:pStyle w:val="4"/>
              <w:adjustRightInd w:val="0"/>
              <w:spacing w:line="240" w:lineRule="auto"/>
              <w:jc w:val="center"/>
              <w:rPr>
                <w:sz w:val="21"/>
                <w:szCs w:val="21"/>
              </w:rPr>
            </w:pPr>
            <w:r>
              <w:rPr>
                <w:sz w:val="21"/>
                <w:szCs w:val="21"/>
              </w:rPr>
              <w:t>废气</w:t>
            </w:r>
          </w:p>
        </w:tc>
        <w:tc>
          <w:tcPr>
            <w:tcW w:w="1032" w:type="dxa"/>
            <w:noWrap w:val="0"/>
            <w:vAlign w:val="center"/>
          </w:tcPr>
          <w:p>
            <w:pPr>
              <w:pStyle w:val="4"/>
              <w:adjustRightInd w:val="0"/>
              <w:spacing w:line="240" w:lineRule="auto"/>
              <w:jc w:val="center"/>
              <w:rPr>
                <w:rFonts w:hint="eastAsia" w:eastAsia="宋体"/>
                <w:sz w:val="21"/>
                <w:szCs w:val="21"/>
                <w:lang w:val="en-US" w:eastAsia="zh-CN"/>
              </w:rPr>
            </w:pPr>
            <w:r>
              <w:rPr>
                <w:rFonts w:hint="eastAsia"/>
                <w:sz w:val="21"/>
                <w:szCs w:val="21"/>
                <w:lang w:val="en-US" w:eastAsia="zh-CN"/>
              </w:rPr>
              <w:t>-</w:t>
            </w:r>
          </w:p>
        </w:tc>
        <w:tc>
          <w:tcPr>
            <w:tcW w:w="992" w:type="dxa"/>
            <w:noWrap w:val="0"/>
            <w:vAlign w:val="center"/>
          </w:tcPr>
          <w:p>
            <w:pPr>
              <w:pStyle w:val="4"/>
              <w:adjustRightInd w:val="0"/>
              <w:spacing w:line="240" w:lineRule="auto"/>
              <w:jc w:val="center"/>
              <w:rPr>
                <w:rFonts w:hint="eastAsia" w:eastAsia="宋体"/>
                <w:sz w:val="21"/>
                <w:szCs w:val="21"/>
                <w:lang w:val="en-US" w:eastAsia="zh-CN"/>
              </w:rPr>
            </w:pPr>
            <w:r>
              <w:rPr>
                <w:rFonts w:hint="eastAsia"/>
                <w:sz w:val="21"/>
                <w:szCs w:val="21"/>
                <w:lang w:val="en-US" w:eastAsia="zh-CN"/>
              </w:rPr>
              <w:t>-</w:t>
            </w:r>
          </w:p>
        </w:tc>
        <w:tc>
          <w:tcPr>
            <w:tcW w:w="1461" w:type="dxa"/>
            <w:noWrap w:val="0"/>
            <w:vAlign w:val="center"/>
          </w:tcPr>
          <w:p>
            <w:pPr>
              <w:pStyle w:val="4"/>
              <w:adjustRightInd w:val="0"/>
              <w:spacing w:line="240" w:lineRule="auto"/>
              <w:jc w:val="center"/>
              <w:rPr>
                <w:rFonts w:hint="default" w:eastAsia="宋体"/>
                <w:sz w:val="21"/>
                <w:szCs w:val="21"/>
                <w:lang w:val="en-US" w:eastAsia="zh-CN"/>
              </w:rPr>
            </w:pPr>
            <w:r>
              <w:rPr>
                <w:rFonts w:hint="eastAsia" w:eastAsia="宋体"/>
                <w:sz w:val="21"/>
                <w:szCs w:val="21"/>
                <w:lang w:val="en-US" w:eastAsia="zh-CN"/>
              </w:rPr>
              <w:t>-</w:t>
            </w:r>
          </w:p>
        </w:tc>
        <w:tc>
          <w:tcPr>
            <w:tcW w:w="1863" w:type="dxa"/>
            <w:noWrap w:val="0"/>
            <w:vAlign w:val="center"/>
          </w:tcPr>
          <w:p>
            <w:pPr>
              <w:keepNext w:val="0"/>
              <w:keepLines w:val="0"/>
              <w:pageBreakBefore w:val="0"/>
              <w:widowControl w:val="0"/>
              <w:kinsoku/>
              <w:wordWrap/>
              <w:overflowPunct/>
              <w:topLinePunct w:val="0"/>
              <w:autoSpaceDE/>
              <w:autoSpaceDN/>
              <w:bidi w:val="0"/>
              <w:adjustRightInd/>
              <w:snapToGrid/>
              <w:spacing w:line="0" w:lineRule="atLeast"/>
              <w:jc w:val="center"/>
              <w:textAlignment w:val="auto"/>
              <w:rPr>
                <w:rFonts w:hint="eastAsia" w:eastAsia="宋体"/>
                <w:szCs w:val="21"/>
                <w:lang w:val="en-US" w:eastAsia="zh-CN"/>
              </w:rPr>
            </w:pPr>
            <w:r>
              <w:rPr>
                <w:rFonts w:hint="eastAsia"/>
                <w:szCs w:val="21"/>
                <w:lang w:val="en-US" w:eastAsia="zh-CN"/>
              </w:rPr>
              <w:t>-</w:t>
            </w:r>
          </w:p>
        </w:tc>
        <w:tc>
          <w:tcPr>
            <w:tcW w:w="2495" w:type="dxa"/>
            <w:noWrap w:val="0"/>
            <w:vAlign w:val="center"/>
          </w:tcPr>
          <w:p>
            <w:pPr>
              <w:jc w:val="center"/>
              <w:rPr>
                <w:rFonts w:hint="eastAsia" w:eastAsia="宋体"/>
                <w:szCs w:val="21"/>
                <w:lang w:val="en-US" w:eastAsia="zh-CN"/>
              </w:rPr>
            </w:pPr>
            <w:r>
              <w:rPr>
                <w:rFonts w:hint="eastAsia"/>
                <w:szCs w:val="21"/>
                <w:lang w:val="en-US"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1" w:hRule="atLeast"/>
          <w:jc w:val="center"/>
        </w:trPr>
        <w:tc>
          <w:tcPr>
            <w:tcW w:w="556" w:type="dxa"/>
            <w:noWrap w:val="0"/>
            <w:vAlign w:val="center"/>
          </w:tcPr>
          <w:p>
            <w:pPr>
              <w:pStyle w:val="4"/>
              <w:adjustRightInd w:val="0"/>
              <w:spacing w:line="240" w:lineRule="auto"/>
              <w:jc w:val="center"/>
              <w:rPr>
                <w:sz w:val="21"/>
                <w:szCs w:val="21"/>
              </w:rPr>
            </w:pPr>
            <w:r>
              <w:rPr>
                <w:sz w:val="21"/>
                <w:szCs w:val="21"/>
              </w:rPr>
              <w:t>废水</w:t>
            </w:r>
          </w:p>
        </w:tc>
        <w:tc>
          <w:tcPr>
            <w:tcW w:w="1032" w:type="dxa"/>
            <w:noWrap w:val="0"/>
            <w:vAlign w:val="center"/>
          </w:tcPr>
          <w:p>
            <w:pPr>
              <w:pStyle w:val="4"/>
              <w:adjustRightInd w:val="0"/>
              <w:spacing w:line="240" w:lineRule="auto"/>
              <w:jc w:val="center"/>
              <w:rPr>
                <w:sz w:val="21"/>
                <w:szCs w:val="21"/>
              </w:rPr>
            </w:pPr>
            <w:r>
              <w:rPr>
                <w:sz w:val="21"/>
                <w:szCs w:val="21"/>
              </w:rPr>
              <w:t>厂区职工生活污水</w:t>
            </w:r>
          </w:p>
        </w:tc>
        <w:tc>
          <w:tcPr>
            <w:tcW w:w="992" w:type="dxa"/>
            <w:noWrap w:val="0"/>
            <w:vAlign w:val="center"/>
          </w:tcPr>
          <w:p>
            <w:pPr>
              <w:jc w:val="center"/>
              <w:rPr>
                <w:bCs/>
                <w:szCs w:val="21"/>
              </w:rPr>
            </w:pPr>
            <w:r>
              <w:rPr>
                <w:bCs/>
                <w:szCs w:val="21"/>
              </w:rPr>
              <w:t>COD</w:t>
            </w:r>
          </w:p>
          <w:p>
            <w:pPr>
              <w:jc w:val="center"/>
              <w:rPr>
                <w:bCs/>
                <w:szCs w:val="21"/>
              </w:rPr>
            </w:pPr>
            <w:r>
              <w:rPr>
                <w:bCs/>
                <w:szCs w:val="21"/>
              </w:rPr>
              <w:t>氨氮</w:t>
            </w:r>
          </w:p>
          <w:p>
            <w:pPr>
              <w:jc w:val="center"/>
              <w:rPr>
                <w:szCs w:val="21"/>
              </w:rPr>
            </w:pPr>
            <w:r>
              <w:rPr>
                <w:bCs/>
                <w:szCs w:val="21"/>
              </w:rPr>
              <w:t>SS</w:t>
            </w:r>
          </w:p>
        </w:tc>
        <w:tc>
          <w:tcPr>
            <w:tcW w:w="1461" w:type="dxa"/>
            <w:noWrap w:val="0"/>
            <w:vAlign w:val="center"/>
          </w:tcPr>
          <w:p>
            <w:pPr>
              <w:pStyle w:val="4"/>
              <w:adjustRightInd w:val="0"/>
              <w:spacing w:line="240" w:lineRule="auto"/>
              <w:jc w:val="center"/>
              <w:rPr>
                <w:sz w:val="21"/>
                <w:szCs w:val="21"/>
              </w:rPr>
            </w:pPr>
            <w:r>
              <w:rPr>
                <w:sz w:val="21"/>
                <w:szCs w:val="21"/>
              </w:rPr>
              <w:t>厂区设防渗旱厕，定时清掏</w:t>
            </w:r>
          </w:p>
        </w:tc>
        <w:tc>
          <w:tcPr>
            <w:tcW w:w="1863" w:type="dxa"/>
            <w:noWrap w:val="0"/>
            <w:vAlign w:val="center"/>
          </w:tcPr>
          <w:p>
            <w:pPr>
              <w:snapToGrid w:val="0"/>
              <w:jc w:val="center"/>
              <w:rPr>
                <w:szCs w:val="21"/>
              </w:rPr>
            </w:pPr>
            <w:r>
              <w:rPr>
                <w:szCs w:val="21"/>
              </w:rPr>
              <w:t>-</w:t>
            </w:r>
          </w:p>
        </w:tc>
        <w:tc>
          <w:tcPr>
            <w:tcW w:w="2495" w:type="dxa"/>
            <w:noWrap w:val="0"/>
            <w:vAlign w:val="center"/>
          </w:tcPr>
          <w:p>
            <w:pPr>
              <w:snapToGrid w:val="0"/>
              <w:jc w:val="center"/>
              <w:rPr>
                <w:spacing w:val="2"/>
                <w:szCs w:val="21"/>
              </w:rPr>
            </w:pPr>
            <w:r>
              <w:rPr>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879" w:hRule="atLeast"/>
          <w:jc w:val="center"/>
        </w:trPr>
        <w:tc>
          <w:tcPr>
            <w:tcW w:w="556" w:type="dxa"/>
            <w:noWrap w:val="0"/>
            <w:vAlign w:val="center"/>
          </w:tcPr>
          <w:p>
            <w:pPr>
              <w:pStyle w:val="4"/>
              <w:adjustRightInd w:val="0"/>
              <w:spacing w:line="240" w:lineRule="auto"/>
              <w:jc w:val="center"/>
              <w:rPr>
                <w:sz w:val="21"/>
                <w:szCs w:val="21"/>
              </w:rPr>
            </w:pPr>
            <w:r>
              <w:rPr>
                <w:sz w:val="21"/>
                <w:szCs w:val="21"/>
              </w:rPr>
              <w:t>噪声</w:t>
            </w:r>
          </w:p>
        </w:tc>
        <w:tc>
          <w:tcPr>
            <w:tcW w:w="2024" w:type="dxa"/>
            <w:gridSpan w:val="2"/>
            <w:noWrap w:val="0"/>
            <w:vAlign w:val="center"/>
          </w:tcPr>
          <w:p>
            <w:pPr>
              <w:pStyle w:val="4"/>
              <w:adjustRightInd w:val="0"/>
              <w:spacing w:line="240" w:lineRule="auto"/>
              <w:jc w:val="center"/>
              <w:rPr>
                <w:sz w:val="21"/>
                <w:szCs w:val="21"/>
              </w:rPr>
            </w:pPr>
            <w:r>
              <w:rPr>
                <w:sz w:val="21"/>
                <w:szCs w:val="21"/>
              </w:rPr>
              <w:t>生产设备运行噪声</w:t>
            </w:r>
          </w:p>
        </w:tc>
        <w:tc>
          <w:tcPr>
            <w:tcW w:w="1461" w:type="dxa"/>
            <w:noWrap w:val="0"/>
            <w:vAlign w:val="center"/>
          </w:tcPr>
          <w:p>
            <w:pPr>
              <w:pStyle w:val="4"/>
              <w:adjustRightInd w:val="0"/>
              <w:spacing w:line="240" w:lineRule="auto"/>
              <w:jc w:val="center"/>
              <w:rPr>
                <w:sz w:val="21"/>
                <w:szCs w:val="21"/>
              </w:rPr>
            </w:pPr>
            <w:r>
              <w:rPr>
                <w:sz w:val="21"/>
                <w:szCs w:val="21"/>
              </w:rPr>
              <w:t>选用低噪声设备，厂房内合理布设</w:t>
            </w:r>
          </w:p>
        </w:tc>
        <w:tc>
          <w:tcPr>
            <w:tcW w:w="1863" w:type="dxa"/>
            <w:noWrap w:val="0"/>
            <w:vAlign w:val="center"/>
          </w:tcPr>
          <w:p>
            <w:pPr>
              <w:pStyle w:val="15"/>
              <w:snapToGrid w:val="0"/>
              <w:spacing w:line="240" w:lineRule="auto"/>
              <w:ind w:firstLine="0"/>
              <w:jc w:val="center"/>
              <w:rPr>
                <w:kern w:val="2"/>
                <w:sz w:val="21"/>
                <w:szCs w:val="21"/>
              </w:rPr>
            </w:pPr>
            <w:r>
              <w:rPr>
                <w:kern w:val="2"/>
                <w:sz w:val="21"/>
                <w:szCs w:val="21"/>
              </w:rPr>
              <w:t>昼间≤6</w:t>
            </w:r>
            <w:r>
              <w:rPr>
                <w:rFonts w:hint="eastAsia"/>
                <w:kern w:val="2"/>
                <w:sz w:val="21"/>
                <w:szCs w:val="21"/>
                <w:lang w:val="en-US" w:eastAsia="zh-CN"/>
              </w:rPr>
              <w:t>0</w:t>
            </w:r>
            <w:r>
              <w:rPr>
                <w:kern w:val="2"/>
                <w:sz w:val="21"/>
                <w:szCs w:val="21"/>
              </w:rPr>
              <w:t>dB（A）</w:t>
            </w:r>
          </w:p>
          <w:p>
            <w:pPr>
              <w:pStyle w:val="15"/>
              <w:snapToGrid w:val="0"/>
              <w:spacing w:line="240" w:lineRule="auto"/>
              <w:ind w:firstLine="0"/>
              <w:jc w:val="center"/>
              <w:rPr>
                <w:sz w:val="21"/>
                <w:szCs w:val="21"/>
              </w:rPr>
            </w:pPr>
            <w:r>
              <w:rPr>
                <w:kern w:val="2"/>
                <w:sz w:val="21"/>
                <w:szCs w:val="21"/>
              </w:rPr>
              <w:t>夜间≤5</w:t>
            </w:r>
            <w:r>
              <w:rPr>
                <w:rFonts w:hint="eastAsia"/>
                <w:kern w:val="2"/>
                <w:sz w:val="21"/>
                <w:szCs w:val="21"/>
                <w:lang w:val="en-US" w:eastAsia="zh-CN"/>
              </w:rPr>
              <w:t>0</w:t>
            </w:r>
            <w:r>
              <w:rPr>
                <w:kern w:val="2"/>
                <w:sz w:val="21"/>
                <w:szCs w:val="21"/>
              </w:rPr>
              <w:t>dB（A）</w:t>
            </w:r>
          </w:p>
        </w:tc>
        <w:tc>
          <w:tcPr>
            <w:tcW w:w="2495" w:type="dxa"/>
            <w:noWrap w:val="0"/>
            <w:vAlign w:val="center"/>
          </w:tcPr>
          <w:p>
            <w:pPr>
              <w:pStyle w:val="15"/>
              <w:snapToGrid w:val="0"/>
              <w:spacing w:line="240" w:lineRule="auto"/>
              <w:ind w:firstLine="0"/>
              <w:jc w:val="center"/>
              <w:rPr>
                <w:sz w:val="21"/>
                <w:szCs w:val="21"/>
              </w:rPr>
            </w:pPr>
            <w:r>
              <w:rPr>
                <w:sz w:val="21"/>
                <w:szCs w:val="21"/>
              </w:rPr>
              <w:t>《工业企业厂界环境噪声排放标准》（GB12348-2008）</w:t>
            </w:r>
            <w:r>
              <w:rPr>
                <w:rFonts w:hint="eastAsia"/>
                <w:sz w:val="21"/>
                <w:szCs w:val="21"/>
                <w:lang w:val="en-US" w:eastAsia="zh-CN"/>
              </w:rPr>
              <w:t>2</w:t>
            </w:r>
            <w:r>
              <w:rPr>
                <w:sz w:val="21"/>
                <w:szCs w:val="21"/>
              </w:rPr>
              <w:t>类标准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39" w:hRule="atLeast"/>
          <w:jc w:val="center"/>
        </w:trPr>
        <w:tc>
          <w:tcPr>
            <w:tcW w:w="556" w:type="dxa"/>
            <w:vMerge w:val="restart"/>
            <w:noWrap w:val="0"/>
            <w:vAlign w:val="center"/>
          </w:tcPr>
          <w:p>
            <w:pPr>
              <w:pStyle w:val="4"/>
              <w:adjustRightInd w:val="0"/>
              <w:spacing w:line="240" w:lineRule="auto"/>
              <w:jc w:val="center"/>
              <w:rPr>
                <w:sz w:val="21"/>
                <w:szCs w:val="21"/>
              </w:rPr>
            </w:pPr>
            <w:r>
              <w:rPr>
                <w:sz w:val="21"/>
                <w:szCs w:val="21"/>
              </w:rPr>
              <w:t>固废</w:t>
            </w:r>
          </w:p>
        </w:tc>
        <w:tc>
          <w:tcPr>
            <w:tcW w:w="1032" w:type="dxa"/>
            <w:noWrap w:val="0"/>
            <w:vAlign w:val="center"/>
          </w:tcPr>
          <w:p>
            <w:pPr>
              <w:pStyle w:val="4"/>
              <w:adjustRightInd w:val="0"/>
              <w:spacing w:line="240" w:lineRule="auto"/>
              <w:jc w:val="center"/>
              <w:rPr>
                <w:rFonts w:hint="eastAsia" w:eastAsia="宋体"/>
                <w:sz w:val="21"/>
                <w:szCs w:val="21"/>
                <w:lang w:eastAsia="zh-CN"/>
              </w:rPr>
            </w:pPr>
            <w:r>
              <w:rPr>
                <w:rFonts w:hint="eastAsia"/>
                <w:sz w:val="21"/>
                <w:szCs w:val="21"/>
                <w:lang w:eastAsia="zh-CN"/>
              </w:rPr>
              <w:t>冲压工序</w:t>
            </w:r>
          </w:p>
        </w:tc>
        <w:tc>
          <w:tcPr>
            <w:tcW w:w="992" w:type="dxa"/>
            <w:noWrap w:val="0"/>
            <w:vAlign w:val="center"/>
          </w:tcPr>
          <w:p>
            <w:pPr>
              <w:pStyle w:val="4"/>
              <w:adjustRightInd w:val="0"/>
              <w:spacing w:line="240" w:lineRule="auto"/>
              <w:jc w:val="center"/>
              <w:rPr>
                <w:sz w:val="21"/>
                <w:szCs w:val="21"/>
              </w:rPr>
            </w:pPr>
            <w:r>
              <w:rPr>
                <w:sz w:val="21"/>
                <w:szCs w:val="21"/>
              </w:rPr>
              <w:t>下脚料</w:t>
            </w:r>
          </w:p>
        </w:tc>
        <w:tc>
          <w:tcPr>
            <w:tcW w:w="1461" w:type="dxa"/>
            <w:noWrap w:val="0"/>
            <w:vAlign w:val="center"/>
          </w:tcPr>
          <w:p>
            <w:pPr>
              <w:pStyle w:val="4"/>
              <w:adjustRightInd w:val="0"/>
              <w:spacing w:line="240" w:lineRule="auto"/>
              <w:jc w:val="center"/>
              <w:rPr>
                <w:sz w:val="21"/>
                <w:szCs w:val="21"/>
              </w:rPr>
            </w:pPr>
            <w:r>
              <w:rPr>
                <w:sz w:val="21"/>
                <w:szCs w:val="21"/>
              </w:rPr>
              <w:t>收集后外售</w:t>
            </w:r>
          </w:p>
        </w:tc>
        <w:tc>
          <w:tcPr>
            <w:tcW w:w="1863" w:type="dxa"/>
            <w:noWrap w:val="0"/>
            <w:vAlign w:val="center"/>
          </w:tcPr>
          <w:p>
            <w:pPr>
              <w:keepNext w:val="0"/>
              <w:keepLines w:val="0"/>
              <w:pageBreakBefore w:val="0"/>
              <w:widowControl w:val="0"/>
              <w:kinsoku/>
              <w:wordWrap/>
              <w:overflowPunct/>
              <w:topLinePunct w:val="0"/>
              <w:autoSpaceDE/>
              <w:autoSpaceDN/>
              <w:bidi w:val="0"/>
              <w:adjustRightInd/>
              <w:snapToGrid/>
              <w:spacing w:line="0" w:lineRule="atLeast"/>
              <w:jc w:val="center"/>
              <w:textAlignment w:val="auto"/>
              <w:rPr>
                <w:szCs w:val="21"/>
              </w:rPr>
            </w:pPr>
            <w:r>
              <w:rPr>
                <w:rFonts w:hint="eastAsia"/>
                <w:szCs w:val="21"/>
                <w:lang w:val="en-US" w:eastAsia="zh-CN"/>
              </w:rPr>
              <w:t>-</w:t>
            </w:r>
          </w:p>
        </w:tc>
        <w:tc>
          <w:tcPr>
            <w:tcW w:w="2495" w:type="dxa"/>
            <w:vMerge w:val="restart"/>
            <w:noWrap w:val="0"/>
            <w:vAlign w:val="center"/>
          </w:tcPr>
          <w:p>
            <w:pPr>
              <w:snapToGrid w:val="0"/>
              <w:jc w:val="center"/>
              <w:rPr>
                <w:sz w:val="21"/>
                <w:szCs w:val="21"/>
              </w:rPr>
            </w:pPr>
            <w:r>
              <w:rPr>
                <w:rFonts w:hint="default"/>
                <w:sz w:val="21"/>
                <w:szCs w:val="21"/>
              </w:rPr>
              <w:t>一般工业固体废物贮存、处置场污染控制标准》GB18599-2001中相关标准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7" w:hRule="atLeast"/>
          <w:jc w:val="center"/>
        </w:trPr>
        <w:tc>
          <w:tcPr>
            <w:tcW w:w="556" w:type="dxa"/>
            <w:vMerge w:val="continue"/>
            <w:noWrap w:val="0"/>
            <w:vAlign w:val="center"/>
          </w:tcPr>
          <w:p>
            <w:pPr>
              <w:pStyle w:val="4"/>
              <w:adjustRightInd w:val="0"/>
              <w:spacing w:line="240" w:lineRule="auto"/>
              <w:jc w:val="center"/>
              <w:rPr>
                <w:sz w:val="21"/>
                <w:szCs w:val="21"/>
              </w:rPr>
            </w:pPr>
          </w:p>
        </w:tc>
        <w:tc>
          <w:tcPr>
            <w:tcW w:w="1032" w:type="dxa"/>
            <w:noWrap w:val="0"/>
            <w:vAlign w:val="center"/>
          </w:tcPr>
          <w:p>
            <w:pPr>
              <w:pStyle w:val="4"/>
              <w:adjustRightInd w:val="0"/>
              <w:spacing w:line="240" w:lineRule="auto"/>
              <w:jc w:val="center"/>
              <w:rPr>
                <w:sz w:val="21"/>
                <w:szCs w:val="21"/>
              </w:rPr>
            </w:pPr>
            <w:r>
              <w:rPr>
                <w:rFonts w:hint="eastAsia"/>
                <w:sz w:val="21"/>
                <w:szCs w:val="21"/>
                <w:lang w:eastAsia="zh-CN"/>
              </w:rPr>
              <w:t>检验工序</w:t>
            </w:r>
          </w:p>
        </w:tc>
        <w:tc>
          <w:tcPr>
            <w:tcW w:w="992" w:type="dxa"/>
            <w:noWrap w:val="0"/>
            <w:vAlign w:val="center"/>
          </w:tcPr>
          <w:p>
            <w:pPr>
              <w:pStyle w:val="4"/>
              <w:adjustRightInd w:val="0"/>
              <w:spacing w:line="240" w:lineRule="auto"/>
              <w:jc w:val="center"/>
              <w:rPr>
                <w:rFonts w:hint="eastAsia"/>
                <w:sz w:val="21"/>
                <w:szCs w:val="21"/>
              </w:rPr>
            </w:pPr>
            <w:r>
              <w:rPr>
                <w:rFonts w:hint="eastAsia"/>
                <w:sz w:val="21"/>
                <w:szCs w:val="21"/>
                <w:lang w:eastAsia="zh-CN"/>
              </w:rPr>
              <w:t>不合格产品</w:t>
            </w:r>
          </w:p>
        </w:tc>
        <w:tc>
          <w:tcPr>
            <w:tcW w:w="1461" w:type="dxa"/>
            <w:noWrap w:val="0"/>
            <w:vAlign w:val="center"/>
          </w:tcPr>
          <w:p>
            <w:pPr>
              <w:pStyle w:val="4"/>
              <w:adjustRightInd w:val="0"/>
              <w:spacing w:line="240" w:lineRule="auto"/>
              <w:jc w:val="center"/>
              <w:rPr>
                <w:sz w:val="21"/>
                <w:szCs w:val="21"/>
              </w:rPr>
            </w:pPr>
            <w:r>
              <w:rPr>
                <w:sz w:val="21"/>
                <w:szCs w:val="21"/>
              </w:rPr>
              <w:t>收集后外售</w:t>
            </w:r>
          </w:p>
        </w:tc>
        <w:tc>
          <w:tcPr>
            <w:tcW w:w="1863" w:type="dxa"/>
            <w:noWrap w:val="0"/>
            <w:vAlign w:val="center"/>
          </w:tcPr>
          <w:p>
            <w:pPr>
              <w:snapToGrid w:val="0"/>
              <w:jc w:val="center"/>
              <w:rPr>
                <w:sz w:val="21"/>
                <w:szCs w:val="21"/>
              </w:rPr>
            </w:pPr>
            <w:r>
              <w:rPr>
                <w:szCs w:val="21"/>
              </w:rPr>
              <w:t>-</w:t>
            </w:r>
          </w:p>
        </w:tc>
        <w:tc>
          <w:tcPr>
            <w:tcW w:w="2495" w:type="dxa"/>
            <w:vMerge w:val="continue"/>
            <w:noWrap w:val="0"/>
            <w:vAlign w:val="center"/>
          </w:tcPr>
          <w:p>
            <w:pPr>
              <w:snapToGrid w:val="0"/>
              <w:jc w:val="center"/>
              <w:rPr>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47" w:hRule="atLeast"/>
          <w:jc w:val="center"/>
        </w:trPr>
        <w:tc>
          <w:tcPr>
            <w:tcW w:w="556" w:type="dxa"/>
            <w:vMerge w:val="continue"/>
            <w:noWrap w:val="0"/>
            <w:vAlign w:val="center"/>
          </w:tcPr>
          <w:p>
            <w:pPr>
              <w:pStyle w:val="4"/>
              <w:adjustRightInd w:val="0"/>
              <w:spacing w:line="240" w:lineRule="auto"/>
              <w:jc w:val="center"/>
              <w:rPr>
                <w:sz w:val="21"/>
                <w:szCs w:val="21"/>
              </w:rPr>
            </w:pPr>
          </w:p>
        </w:tc>
        <w:tc>
          <w:tcPr>
            <w:tcW w:w="1032" w:type="dxa"/>
            <w:noWrap w:val="0"/>
            <w:vAlign w:val="center"/>
          </w:tcPr>
          <w:p>
            <w:pPr>
              <w:pStyle w:val="4"/>
              <w:keepNext w:val="0"/>
              <w:keepLines w:val="0"/>
              <w:suppressLineNumbers w:val="0"/>
              <w:adjustRightInd w:val="0"/>
              <w:spacing w:before="0" w:beforeAutospacing="0" w:afterAutospacing="0"/>
              <w:ind w:left="0" w:leftChars="0" w:right="0" w:rightChars="0"/>
              <w:jc w:val="center"/>
              <w:rPr>
                <w:rFonts w:hint="eastAsia" w:eastAsia="宋体"/>
                <w:sz w:val="21"/>
                <w:szCs w:val="21"/>
                <w:lang w:eastAsia="zh-CN"/>
              </w:rPr>
            </w:pPr>
            <w:r>
              <w:rPr>
                <w:rFonts w:hint="eastAsia"/>
                <w:color w:val="000000"/>
                <w:spacing w:val="-20"/>
                <w:sz w:val="21"/>
                <w:szCs w:val="21"/>
                <w:lang w:eastAsia="zh-CN"/>
              </w:rPr>
              <w:t>冲压工序</w:t>
            </w:r>
          </w:p>
        </w:tc>
        <w:tc>
          <w:tcPr>
            <w:tcW w:w="992" w:type="dxa"/>
            <w:noWrap w:val="0"/>
            <w:vAlign w:val="center"/>
          </w:tcPr>
          <w:p>
            <w:pPr>
              <w:pStyle w:val="4"/>
              <w:keepNext w:val="0"/>
              <w:keepLines w:val="0"/>
              <w:suppressLineNumbers w:val="0"/>
              <w:adjustRightInd w:val="0"/>
              <w:spacing w:before="0" w:beforeAutospacing="0" w:after="0" w:afterAutospacing="0"/>
              <w:ind w:left="0" w:leftChars="0" w:right="0" w:rightChars="0"/>
              <w:jc w:val="center"/>
              <w:rPr>
                <w:rFonts w:hint="eastAsia"/>
                <w:sz w:val="21"/>
                <w:szCs w:val="21"/>
                <w:lang w:eastAsia="zh-CN"/>
              </w:rPr>
            </w:pPr>
            <w:r>
              <w:rPr>
                <w:rFonts w:hint="eastAsia"/>
                <w:sz w:val="21"/>
                <w:szCs w:val="21"/>
                <w:lang w:eastAsia="zh-CN"/>
              </w:rPr>
              <w:t>废润滑油</w:t>
            </w:r>
          </w:p>
        </w:tc>
        <w:tc>
          <w:tcPr>
            <w:tcW w:w="1461" w:type="dxa"/>
            <w:noWrap w:val="0"/>
            <w:vAlign w:val="center"/>
          </w:tcPr>
          <w:p>
            <w:pPr>
              <w:pStyle w:val="4"/>
              <w:adjustRightInd w:val="0"/>
              <w:spacing w:line="240" w:lineRule="auto"/>
              <w:jc w:val="center"/>
              <w:rPr>
                <w:sz w:val="21"/>
                <w:szCs w:val="21"/>
              </w:rPr>
            </w:pPr>
            <w:r>
              <w:rPr>
                <w:rFonts w:hint="default"/>
                <w:color w:val="000000"/>
                <w:sz w:val="21"/>
                <w:szCs w:val="21"/>
              </w:rPr>
              <w:t>由专用存储容器储存，暂存于危废间，定期交有危废处置资质单位处理</w:t>
            </w:r>
          </w:p>
        </w:tc>
        <w:tc>
          <w:tcPr>
            <w:tcW w:w="1863" w:type="dxa"/>
            <w:noWrap w:val="0"/>
            <w:vAlign w:val="center"/>
          </w:tcPr>
          <w:p>
            <w:pPr>
              <w:snapToGrid w:val="0"/>
              <w:jc w:val="center"/>
              <w:rPr>
                <w:rFonts w:hint="default" w:eastAsia="宋体"/>
                <w:szCs w:val="21"/>
                <w:lang w:val="en-US" w:eastAsia="zh-CN"/>
              </w:rPr>
            </w:pPr>
            <w:r>
              <w:rPr>
                <w:rFonts w:hint="eastAsia"/>
                <w:szCs w:val="21"/>
                <w:lang w:val="en-US" w:eastAsia="zh-CN"/>
              </w:rPr>
              <w:t>--</w:t>
            </w:r>
          </w:p>
        </w:tc>
        <w:tc>
          <w:tcPr>
            <w:tcW w:w="2495" w:type="dxa"/>
            <w:noWrap w:val="0"/>
            <w:vAlign w:val="center"/>
          </w:tcPr>
          <w:p>
            <w:pPr>
              <w:snapToGrid w:val="0"/>
              <w:jc w:val="center"/>
              <w:rPr>
                <w:szCs w:val="21"/>
              </w:rPr>
            </w:pPr>
            <w:r>
              <w:rPr>
                <w:rFonts w:hint="default"/>
                <w:szCs w:val="21"/>
              </w:rPr>
              <w:t>《危险废物贮存污染控制标准》(GB18597-2001)及修改单</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347" w:hRule="atLeast"/>
          <w:jc w:val="center"/>
        </w:trPr>
        <w:tc>
          <w:tcPr>
            <w:tcW w:w="556" w:type="dxa"/>
            <w:vMerge w:val="continue"/>
            <w:noWrap w:val="0"/>
            <w:vAlign w:val="center"/>
          </w:tcPr>
          <w:p>
            <w:pPr>
              <w:pStyle w:val="4"/>
              <w:adjustRightInd w:val="0"/>
              <w:spacing w:line="240" w:lineRule="auto"/>
              <w:jc w:val="center"/>
              <w:rPr>
                <w:sz w:val="21"/>
                <w:szCs w:val="21"/>
              </w:rPr>
            </w:pPr>
          </w:p>
        </w:tc>
        <w:tc>
          <w:tcPr>
            <w:tcW w:w="1032" w:type="dxa"/>
            <w:noWrap w:val="0"/>
            <w:vAlign w:val="center"/>
          </w:tcPr>
          <w:p>
            <w:pPr>
              <w:pStyle w:val="4"/>
              <w:adjustRightInd w:val="0"/>
              <w:spacing w:line="240" w:lineRule="auto"/>
              <w:jc w:val="center"/>
              <w:rPr>
                <w:sz w:val="21"/>
                <w:szCs w:val="21"/>
              </w:rPr>
            </w:pPr>
            <w:r>
              <w:rPr>
                <w:sz w:val="21"/>
                <w:szCs w:val="21"/>
              </w:rPr>
              <w:t>厂区职工</w:t>
            </w:r>
          </w:p>
        </w:tc>
        <w:tc>
          <w:tcPr>
            <w:tcW w:w="992" w:type="dxa"/>
            <w:noWrap w:val="0"/>
            <w:vAlign w:val="center"/>
          </w:tcPr>
          <w:p>
            <w:pPr>
              <w:pStyle w:val="4"/>
              <w:adjustRightInd w:val="0"/>
              <w:spacing w:line="240" w:lineRule="auto"/>
              <w:jc w:val="center"/>
              <w:rPr>
                <w:sz w:val="21"/>
                <w:szCs w:val="21"/>
              </w:rPr>
            </w:pPr>
            <w:r>
              <w:rPr>
                <w:sz w:val="21"/>
                <w:szCs w:val="21"/>
              </w:rPr>
              <w:t>生活垃圾</w:t>
            </w:r>
          </w:p>
        </w:tc>
        <w:tc>
          <w:tcPr>
            <w:tcW w:w="1461" w:type="dxa"/>
            <w:noWrap w:val="0"/>
            <w:vAlign w:val="center"/>
          </w:tcPr>
          <w:p>
            <w:pPr>
              <w:pStyle w:val="4"/>
              <w:adjustRightInd w:val="0"/>
              <w:spacing w:line="240" w:lineRule="auto"/>
              <w:jc w:val="center"/>
              <w:rPr>
                <w:sz w:val="21"/>
                <w:szCs w:val="21"/>
              </w:rPr>
            </w:pPr>
            <w:r>
              <w:rPr>
                <w:sz w:val="21"/>
                <w:szCs w:val="21"/>
              </w:rPr>
              <w:t>收集后由环卫人员运至垃圾处理厂处理</w:t>
            </w:r>
          </w:p>
        </w:tc>
        <w:tc>
          <w:tcPr>
            <w:tcW w:w="1863" w:type="dxa"/>
            <w:noWrap w:val="0"/>
            <w:vAlign w:val="center"/>
          </w:tcPr>
          <w:p>
            <w:pPr>
              <w:pStyle w:val="4"/>
              <w:adjustRightInd w:val="0"/>
              <w:spacing w:line="240" w:lineRule="auto"/>
              <w:jc w:val="center"/>
              <w:rPr>
                <w:rFonts w:hint="eastAsia" w:eastAsia="宋体"/>
                <w:sz w:val="21"/>
                <w:szCs w:val="21"/>
                <w:lang w:eastAsia="zh-CN"/>
              </w:rPr>
            </w:pPr>
            <w:r>
              <w:rPr>
                <w:rFonts w:hint="eastAsia"/>
                <w:sz w:val="21"/>
                <w:szCs w:val="21"/>
                <w:lang w:val="en-US" w:eastAsia="zh-CN"/>
              </w:rPr>
              <w:t>-</w:t>
            </w:r>
          </w:p>
        </w:tc>
        <w:tc>
          <w:tcPr>
            <w:tcW w:w="2495" w:type="dxa"/>
            <w:noWrap w:val="0"/>
            <w:vAlign w:val="center"/>
          </w:tcPr>
          <w:p>
            <w:pPr>
              <w:pStyle w:val="4"/>
              <w:adjustRightInd w:val="0"/>
              <w:spacing w:line="240" w:lineRule="auto"/>
              <w:jc w:val="center"/>
              <w:rPr>
                <w:rFonts w:hint="eastAsia" w:eastAsia="宋体"/>
                <w:sz w:val="21"/>
                <w:szCs w:val="21"/>
                <w:lang w:eastAsia="zh-CN"/>
              </w:rPr>
            </w:pPr>
            <w:r>
              <w:rPr>
                <w:rFonts w:hint="eastAsia"/>
                <w:sz w:val="21"/>
                <w:szCs w:val="21"/>
                <w:lang w:val="en-US" w:eastAsia="zh-CN"/>
              </w:rPr>
              <w:t>-</w:t>
            </w:r>
          </w:p>
        </w:tc>
      </w:tr>
    </w:tbl>
    <w:p>
      <w:pPr>
        <w:pStyle w:val="6"/>
        <w:rPr>
          <w:rFonts w:ascii="Times New Roman" w:hAnsi="Times New Roman" w:cs="Times New Roman"/>
        </w:rPr>
      </w:pPr>
    </w:p>
    <w:p>
      <w:pPr>
        <w:pStyle w:val="6"/>
        <w:rPr>
          <w:rFonts w:ascii="Times New Roman" w:hAnsi="Times New Roman" w:cs="Times New Roman"/>
        </w:rPr>
      </w:pPr>
      <w:r>
        <w:rPr>
          <w:rFonts w:ascii="Times New Roman" w:hAnsi="Times New Roman" w:cs="Times New Roman"/>
        </w:rPr>
        <w:t>2.9 验收范围及内容</w:t>
      </w:r>
      <w:bookmarkEnd w:id="84"/>
    </w:p>
    <w:p>
      <w:pPr>
        <w:spacing w:line="480" w:lineRule="atLeas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本工程位</w:t>
      </w:r>
      <w:r>
        <w:rPr>
          <w:rFonts w:hint="eastAsia" w:ascii="Times New Roman" w:hAnsi="Times New Roman" w:eastAsia="宋体" w:cs="Times New Roman"/>
          <w:sz w:val="24"/>
          <w:szCs w:val="24"/>
          <w:lang w:eastAsia="zh-CN"/>
        </w:rPr>
        <w:t>于盐山县五里窑金锁园区</w:t>
      </w:r>
      <w:r>
        <w:rPr>
          <w:rFonts w:ascii="Times New Roman" w:hAnsi="Times New Roman" w:eastAsia="宋体" w:cs="Times New Roman"/>
          <w:sz w:val="24"/>
          <w:szCs w:val="24"/>
        </w:rPr>
        <w:t>，总占地面积</w:t>
      </w:r>
      <w:r>
        <w:rPr>
          <w:rFonts w:hint="eastAsia" w:ascii="Times New Roman" w:hAnsi="Times New Roman" w:eastAsia="宋体" w:cs="Times New Roman"/>
          <w:sz w:val="24"/>
          <w:szCs w:val="24"/>
          <w:lang w:val="en-US" w:eastAsia="zh-CN"/>
        </w:rPr>
        <w:t>1000</w:t>
      </w:r>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，工程主体设施包括主体工程、辅助工程、公用工程及环保设施。</w:t>
      </w:r>
    </w:p>
    <w:p>
      <w:pPr>
        <w:spacing w:line="440" w:lineRule="atLeast"/>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环保设施已经建设完成工程有：噪声处理设施，固废处理措施。</w:t>
      </w:r>
    </w:p>
    <w:p>
      <w:pPr>
        <w:spacing w:line="440" w:lineRule="atLeas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①</w:t>
      </w:r>
      <w:r>
        <w:rPr>
          <w:rFonts w:ascii="Times New Roman" w:hAnsi="Times New Roman" w:eastAsia="宋体" w:cs="Times New Roman"/>
          <w:sz w:val="24"/>
          <w:szCs w:val="24"/>
        </w:rPr>
        <w:t>废水──</w:t>
      </w:r>
      <w:r>
        <w:rPr>
          <w:rFonts w:hint="eastAsia" w:ascii="Times New Roman" w:hAnsi="Times New Roman" w:eastAsia="宋体" w:cs="Times New Roman"/>
          <w:sz w:val="24"/>
          <w:szCs w:val="24"/>
        </w:rPr>
        <w:t>厂区设防渗旱厕，定期清掏</w:t>
      </w:r>
      <w:r>
        <w:rPr>
          <w:rFonts w:ascii="Times New Roman" w:hAnsi="Times New Roman" w:eastAsia="宋体" w:cs="Times New Roman"/>
          <w:sz w:val="24"/>
          <w:szCs w:val="24"/>
        </w:rPr>
        <w:t>。</w:t>
      </w:r>
    </w:p>
    <w:p>
      <w:pPr>
        <w:spacing w:line="440" w:lineRule="atLeast"/>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②</w:t>
      </w:r>
      <w:r>
        <w:rPr>
          <w:rFonts w:ascii="Times New Roman" w:hAnsi="Times New Roman" w:eastAsia="宋体" w:cs="Times New Roman"/>
          <w:sz w:val="24"/>
          <w:szCs w:val="24"/>
        </w:rPr>
        <w:t>噪声──选取低噪音设备，基础减振、厂房隔声。</w:t>
      </w:r>
    </w:p>
    <w:p>
      <w:pPr>
        <w:adjustRightInd w:val="0"/>
        <w:snapToGrid w:val="0"/>
        <w:spacing w:line="400" w:lineRule="atLeast"/>
        <w:ind w:firstLine="480" w:firstLineChars="200"/>
        <w:rPr>
          <w:rFonts w:ascii="Times New Roman" w:hAnsi="Times New Roman" w:eastAsia="宋体" w:cs="Times New Roman"/>
          <w:szCs w:val="21"/>
        </w:rPr>
      </w:pPr>
      <w:r>
        <w:rPr>
          <w:rFonts w:hint="eastAsia" w:ascii="宋体" w:hAnsi="宋体" w:eastAsia="宋体" w:cs="宋体"/>
          <w:sz w:val="24"/>
          <w:szCs w:val="24"/>
        </w:rPr>
        <w:t>③</w:t>
      </w:r>
      <w:r>
        <w:rPr>
          <w:rFonts w:ascii="Times New Roman" w:hAnsi="Times New Roman" w:eastAsia="宋体" w:cs="Times New Roman"/>
          <w:sz w:val="24"/>
          <w:szCs w:val="24"/>
        </w:rPr>
        <w:t>固体废物──</w:t>
      </w:r>
      <w:r>
        <w:rPr>
          <w:rFonts w:hint="eastAsia" w:ascii="Times New Roman" w:hAnsi="Times New Roman" w:eastAsia="宋体" w:cs="Times New Roman"/>
          <w:sz w:val="24"/>
          <w:szCs w:val="24"/>
          <w:lang w:eastAsia="zh-CN"/>
        </w:rPr>
        <w:t>边角料集中收集后外售</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不合格品集中收集后外售；废润滑油</w:t>
      </w:r>
      <w:r>
        <w:rPr>
          <w:rFonts w:hint="default" w:ascii="Times New Roman" w:hAnsi="Times New Roman" w:eastAsia="宋体" w:cs="Times New Roman"/>
          <w:sz w:val="24"/>
          <w:szCs w:val="24"/>
          <w:lang w:val="en-US" w:eastAsia="zh-CN"/>
        </w:rPr>
        <w:t>由</w:t>
      </w:r>
      <w:r>
        <w:rPr>
          <w:rFonts w:hint="default" w:ascii="Times New Roman" w:hAnsi="Times New Roman" w:eastAsia="宋体" w:cs="Times New Roman"/>
          <w:sz w:val="24"/>
          <w:szCs w:val="24"/>
        </w:rPr>
        <w:t>专用存储容器储存，暂存于危废间，定期交有危废处置资质单位处理</w:t>
      </w:r>
      <w:r>
        <w:rPr>
          <w:rFonts w:hint="eastAsia"/>
          <w:color w:val="000000"/>
          <w:sz w:val="21"/>
          <w:szCs w:val="21"/>
          <w:lang w:eastAsia="zh-CN"/>
        </w:rPr>
        <w:t>；</w:t>
      </w:r>
      <w:r>
        <w:rPr>
          <w:rFonts w:hint="eastAsia" w:ascii="Times New Roman" w:hAnsi="Times New Roman" w:eastAsia="宋体" w:cs="Times New Roman"/>
          <w:sz w:val="24"/>
          <w:szCs w:val="24"/>
        </w:rPr>
        <w:t>生活垃圾由环卫</w:t>
      </w:r>
      <w:r>
        <w:rPr>
          <w:rFonts w:hint="eastAsia" w:ascii="Times New Roman" w:hAnsi="Times New Roman" w:eastAsia="宋体" w:cs="Times New Roman"/>
          <w:sz w:val="24"/>
          <w:szCs w:val="24"/>
          <w:lang w:eastAsia="zh-CN"/>
        </w:rPr>
        <w:t>部门统一处理</w:t>
      </w:r>
      <w:r>
        <w:rPr>
          <w:rFonts w:ascii="Times New Roman" w:hAnsi="Times New Roman" w:eastAsia="宋体" w:cs="Times New Roman"/>
          <w:sz w:val="24"/>
          <w:szCs w:val="24"/>
        </w:rPr>
        <w:t>。</w:t>
      </w:r>
    </w:p>
    <w:p>
      <w:pPr>
        <w:spacing w:line="440" w:lineRule="atLeast"/>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④</w:t>
      </w:r>
      <w:r>
        <w:rPr>
          <w:rFonts w:ascii="Times New Roman" w:hAnsi="Times New Roman" w:eastAsia="宋体" w:cs="Times New Roman"/>
          <w:sz w:val="24"/>
          <w:szCs w:val="24"/>
        </w:rPr>
        <w:t>工程环评及环评批复落实情况、环保设施的建设运行情况、环保机构及规章制度建设情况等，为本工程验收报告的检查内容。</w:t>
      </w:r>
    </w:p>
    <w:p>
      <w:pPr>
        <w:spacing w:line="440" w:lineRule="atLeast"/>
        <w:ind w:firstLine="480" w:firstLineChars="200"/>
        <w:rPr>
          <w:rFonts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5"/>
        <w:adjustRightInd w:val="0"/>
        <w:snapToGrid w:val="0"/>
        <w:spacing w:line="360" w:lineRule="auto"/>
        <w:rPr>
          <w:rFonts w:ascii="Times New Roman" w:hAnsi="Times New Roman" w:cs="Times New Roman"/>
        </w:rPr>
      </w:pPr>
      <w:bookmarkStart w:id="85" w:name="_Toc24140_WPSOffice_Level1"/>
      <w:r>
        <w:rPr>
          <w:rFonts w:ascii="Times New Roman" w:hAnsi="Times New Roman" w:cs="Times New Roman"/>
        </w:rPr>
        <w:t>3 主要污染源及治理措施</w:t>
      </w:r>
      <w:bookmarkEnd w:id="85"/>
    </w:p>
    <w:p>
      <w:pPr>
        <w:pStyle w:val="6"/>
        <w:adjustRightInd w:val="0"/>
        <w:snapToGrid w:val="0"/>
        <w:spacing w:line="360" w:lineRule="auto"/>
        <w:rPr>
          <w:rFonts w:ascii="Times New Roman" w:hAnsi="Times New Roman" w:cs="Times New Roman"/>
        </w:rPr>
      </w:pPr>
      <w:bookmarkStart w:id="86" w:name="_Toc31094_WPSOffice_Level2"/>
      <w:r>
        <w:rPr>
          <w:rFonts w:ascii="Times New Roman" w:hAnsi="Times New Roman" w:cs="Times New Roman"/>
        </w:rPr>
        <w:t>3.1 施工期主要污染源及治理措施</w:t>
      </w:r>
      <w:bookmarkEnd w:id="86"/>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本项目主体工程已建成，施工期环境污染已经不存在。</w:t>
      </w:r>
    </w:p>
    <w:p>
      <w:pPr>
        <w:pStyle w:val="6"/>
        <w:adjustRightInd w:val="0"/>
        <w:snapToGrid w:val="0"/>
        <w:spacing w:line="360" w:lineRule="auto"/>
        <w:rPr>
          <w:rFonts w:ascii="Times New Roman" w:hAnsi="Times New Roman" w:cs="Times New Roman"/>
        </w:rPr>
      </w:pPr>
      <w:bookmarkStart w:id="87" w:name="_Toc32678_WPSOffice_Level2"/>
      <w:r>
        <w:rPr>
          <w:rFonts w:ascii="Times New Roman" w:hAnsi="Times New Roman" w:cs="Times New Roman"/>
          <w:color w:val="000000" w:themeColor="text1"/>
          <w14:textFill>
            <w14:solidFill>
              <w14:schemeClr w14:val="tx1"/>
            </w14:solidFill>
          </w14:textFill>
        </w:rPr>
        <w:t xml:space="preserve">3.2 </w:t>
      </w:r>
      <w:r>
        <w:rPr>
          <w:rFonts w:ascii="Times New Roman" w:hAnsi="Times New Roman" w:cs="Times New Roman"/>
        </w:rPr>
        <w:t>运行期主要污染源及治理措施</w:t>
      </w:r>
      <w:bookmarkEnd w:id="87"/>
    </w:p>
    <w:p>
      <w:pPr>
        <w:pStyle w:val="7"/>
        <w:keepNext w:val="0"/>
        <w:keepLines w:val="0"/>
        <w:pageBreakBefore w:val="0"/>
        <w:widowControl w:val="0"/>
        <w:kinsoku/>
        <w:wordWrap/>
        <w:overflowPunct/>
        <w:topLinePunct w:val="0"/>
        <w:autoSpaceDE/>
        <w:autoSpaceDN/>
        <w:bidi w:val="0"/>
        <w:adjustRightInd w:val="0"/>
        <w:snapToGrid w:val="0"/>
        <w:spacing w:line="360" w:lineRule="auto"/>
        <w:textAlignment w:val="auto"/>
        <w:rPr>
          <w:rFonts w:ascii="Times New Roman" w:hAnsi="Times New Roman" w:cs="Times New Roman"/>
        </w:rPr>
      </w:pPr>
      <w:bookmarkStart w:id="88" w:name="_Toc497001461"/>
      <w:bookmarkStart w:id="89" w:name="_Toc496979024"/>
      <w:r>
        <w:rPr>
          <w:rFonts w:ascii="Times New Roman" w:hAnsi="Times New Roman" w:cs="Times New Roman"/>
        </w:rPr>
        <w:t xml:space="preserve">3.2.1 </w:t>
      </w:r>
      <w:bookmarkEnd w:id="88"/>
      <w:bookmarkEnd w:id="89"/>
      <w:r>
        <w:rPr>
          <w:rFonts w:ascii="Times New Roman" w:hAnsi="Times New Roman" w:cs="Times New Roman"/>
        </w:rPr>
        <w:t>废气</w:t>
      </w:r>
      <w:bookmarkStart w:id="90" w:name="_Toc496979025"/>
      <w:bookmarkStart w:id="91" w:name="_Toc497001462"/>
    </w:p>
    <w:p>
      <w:pPr>
        <w:adjustRightInd w:val="0"/>
        <w:snapToGrid w:val="0"/>
        <w:spacing w:line="460" w:lineRule="exact"/>
        <w:ind w:firstLine="480" w:firstLineChars="200"/>
        <w:rPr>
          <w:rFonts w:hint="eastAsia" w:ascii="宋体" w:hAnsi="宋体" w:eastAsia="宋体" w:cs="宋体"/>
          <w:sz w:val="24"/>
          <w:szCs w:val="24"/>
          <w:lang w:val="en-US" w:eastAsia="zh-CN"/>
        </w:rPr>
      </w:pPr>
      <w:r>
        <w:rPr>
          <w:rFonts w:hint="default" w:ascii="Times New Roman" w:hAnsi="Times New Roman" w:eastAsia="宋体" w:cs="Times New Roman"/>
          <w:sz w:val="24"/>
          <w:szCs w:val="24"/>
          <w:lang w:eastAsia="zh-CN"/>
        </w:rPr>
        <w:t>该项目</w:t>
      </w:r>
      <w:r>
        <w:rPr>
          <w:rFonts w:hint="eastAsia" w:ascii="Times New Roman" w:hAnsi="Times New Roman" w:eastAsia="宋体" w:cs="Times New Roman"/>
          <w:sz w:val="24"/>
          <w:szCs w:val="24"/>
          <w:lang w:val="en-US" w:eastAsia="zh-CN"/>
        </w:rPr>
        <w:t>没有废气产生</w:t>
      </w:r>
      <w:r>
        <w:rPr>
          <w:rFonts w:hint="default" w:ascii="Times New Roman" w:hAnsi="Times New Roman" w:eastAsia="宋体" w:cs="Times New Roman"/>
          <w:color w:val="000000"/>
          <w:sz w:val="24"/>
          <w:szCs w:val="24"/>
          <w:lang w:val="en-US" w:eastAsia="zh-CN"/>
        </w:rPr>
        <w:t>。</w:t>
      </w:r>
    </w:p>
    <w:p>
      <w:pPr>
        <w:pStyle w:val="7"/>
        <w:adjustRightInd w:val="0"/>
        <w:snapToGrid w:val="0"/>
        <w:spacing w:line="360" w:lineRule="auto"/>
        <w:rPr>
          <w:rFonts w:ascii="Times New Roman" w:hAnsi="Times New Roman" w:cs="Times New Roman"/>
        </w:rPr>
      </w:pPr>
      <w:r>
        <w:rPr>
          <w:rFonts w:ascii="Times New Roman" w:hAnsi="Times New Roman" w:cs="Times New Roman"/>
        </w:rPr>
        <w:t>3.2.2 废</w:t>
      </w:r>
      <w:bookmarkEnd w:id="90"/>
      <w:bookmarkEnd w:id="91"/>
      <w:r>
        <w:rPr>
          <w:rFonts w:ascii="Times New Roman" w:hAnsi="Times New Roman" w:cs="Times New Roman"/>
        </w:rPr>
        <w:t>水</w:t>
      </w:r>
      <w:bookmarkStart w:id="92" w:name="_Toc496979026"/>
      <w:bookmarkStart w:id="93" w:name="_Toc497001463"/>
    </w:p>
    <w:p>
      <w:pPr>
        <w:keepNext w:val="0"/>
        <w:keepLines w:val="0"/>
        <w:pageBreakBefore w:val="0"/>
        <w:widowControl w:val="0"/>
        <w:kinsoku/>
        <w:wordWrap/>
        <w:overflowPunct/>
        <w:topLinePunct w:val="0"/>
        <w:autoSpaceDE/>
        <w:autoSpaceDN/>
        <w:bidi w:val="0"/>
        <w:spacing w:line="360" w:lineRule="auto"/>
        <w:ind w:firstLine="480" w:firstLineChars="200"/>
        <w:textAlignment w:val="auto"/>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rPr>
        <w:t>本项目的废水主要是生活废水</w:t>
      </w:r>
      <w:r>
        <w:rPr>
          <w:rFonts w:hint="eastAsia" w:ascii="Times New Roman" w:hAnsi="Times New Roman" w:eastAsia="宋体" w:cs="Times New Roman"/>
          <w:sz w:val="24"/>
          <w:szCs w:val="24"/>
        </w:rPr>
        <w:t>，厂区设防渗旱厕，定期清掏</w:t>
      </w:r>
      <w:r>
        <w:rPr>
          <w:rFonts w:hint="eastAsia" w:ascii="Times New Roman" w:hAnsi="Times New Roman" w:eastAsia="宋体" w:cs="Times New Roman"/>
          <w:sz w:val="24"/>
          <w:szCs w:val="24"/>
          <w:lang w:eastAsia="zh-CN"/>
        </w:rPr>
        <w:t>。</w:t>
      </w:r>
    </w:p>
    <w:p>
      <w:pPr>
        <w:pStyle w:val="7"/>
        <w:keepNext w:val="0"/>
        <w:keepLines w:val="0"/>
        <w:pageBreakBefore w:val="0"/>
        <w:widowControl w:val="0"/>
        <w:kinsoku/>
        <w:wordWrap/>
        <w:overflowPunct/>
        <w:topLinePunct w:val="0"/>
        <w:autoSpaceDE/>
        <w:autoSpaceDN/>
        <w:bidi w:val="0"/>
        <w:adjustRightInd w:val="0"/>
        <w:snapToGrid w:val="0"/>
        <w:spacing w:line="360" w:lineRule="auto"/>
        <w:textAlignment w:val="auto"/>
        <w:rPr>
          <w:rFonts w:ascii="Times New Roman" w:hAnsi="Times New Roman" w:cs="Times New Roman"/>
        </w:rPr>
      </w:pPr>
      <w:r>
        <w:rPr>
          <w:rFonts w:ascii="Times New Roman" w:hAnsi="Times New Roman" w:cs="Times New Roman"/>
        </w:rPr>
        <w:t>3.2.3 固体废物</w:t>
      </w:r>
      <w:bookmarkEnd w:id="92"/>
      <w:bookmarkEnd w:id="93"/>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left"/>
        <w:textAlignment w:val="auto"/>
        <w:rPr>
          <w:rFonts w:ascii="Times New Roman" w:hAnsi="Times New Roman" w:cs="Times New Roman"/>
          <w:szCs w:val="21"/>
        </w:rPr>
      </w:pPr>
      <w:bookmarkStart w:id="94" w:name="_Toc497001464"/>
      <w:bookmarkStart w:id="95" w:name="_Toc496979027"/>
      <w:r>
        <w:rPr>
          <w:rFonts w:hint="eastAsia" w:ascii="Times New Roman" w:hAnsi="Times New Roman" w:eastAsia="宋体" w:cs="Times New Roman"/>
          <w:sz w:val="24"/>
          <w:szCs w:val="24"/>
          <w:lang w:eastAsia="zh-CN"/>
        </w:rPr>
        <w:t>边角料集中收集后外售</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不合格品集中收集后外售；废润滑油</w:t>
      </w:r>
      <w:r>
        <w:rPr>
          <w:rFonts w:hint="default" w:ascii="Times New Roman" w:hAnsi="Times New Roman" w:eastAsia="宋体" w:cs="Times New Roman"/>
          <w:sz w:val="24"/>
          <w:szCs w:val="24"/>
          <w:lang w:val="en-US" w:eastAsia="zh-CN"/>
        </w:rPr>
        <w:t>由</w:t>
      </w:r>
      <w:r>
        <w:rPr>
          <w:rFonts w:hint="default" w:ascii="Times New Roman" w:hAnsi="Times New Roman" w:eastAsia="宋体" w:cs="Times New Roman"/>
          <w:sz w:val="24"/>
          <w:szCs w:val="24"/>
        </w:rPr>
        <w:t>专用存储容器储存，暂存于危废间，定期交有危废处置资质单位处理</w:t>
      </w:r>
      <w:r>
        <w:rPr>
          <w:rFonts w:hint="eastAsia"/>
          <w:color w:val="000000"/>
          <w:sz w:val="21"/>
          <w:szCs w:val="21"/>
          <w:lang w:eastAsia="zh-CN"/>
        </w:rPr>
        <w:t>；</w:t>
      </w:r>
      <w:r>
        <w:rPr>
          <w:rFonts w:hint="eastAsia" w:ascii="Times New Roman" w:hAnsi="Times New Roman" w:eastAsia="宋体" w:cs="Times New Roman"/>
          <w:sz w:val="24"/>
          <w:szCs w:val="24"/>
        </w:rPr>
        <w:t>生活垃圾由环卫</w:t>
      </w:r>
      <w:r>
        <w:rPr>
          <w:rFonts w:hint="eastAsia" w:ascii="Times New Roman" w:hAnsi="Times New Roman" w:eastAsia="宋体" w:cs="Times New Roman"/>
          <w:sz w:val="24"/>
          <w:szCs w:val="24"/>
          <w:lang w:eastAsia="zh-CN"/>
        </w:rPr>
        <w:t>部门统一处理</w:t>
      </w:r>
      <w:r>
        <w:rPr>
          <w:rFonts w:ascii="Times New Roman" w:hAnsi="Times New Roman" w:eastAsia="宋体" w:cs="Times New Roman"/>
          <w:sz w:val="24"/>
          <w:szCs w:val="24"/>
        </w:rPr>
        <w:t>。</w:t>
      </w:r>
    </w:p>
    <w:p>
      <w:pPr>
        <w:pStyle w:val="7"/>
        <w:adjustRightInd w:val="0"/>
        <w:snapToGrid w:val="0"/>
        <w:spacing w:beforeLines="50" w:line="360" w:lineRule="auto"/>
        <w:rPr>
          <w:rFonts w:ascii="Times New Roman" w:hAnsi="Times New Roman" w:cs="Times New Roman"/>
        </w:rPr>
      </w:pPr>
      <w:r>
        <w:rPr>
          <w:rFonts w:ascii="Times New Roman" w:hAnsi="Times New Roman" w:cs="Times New Roman"/>
        </w:rPr>
        <w:t xml:space="preserve">3.2.4 </w:t>
      </w:r>
      <w:bookmarkEnd w:id="94"/>
      <w:bookmarkEnd w:id="95"/>
      <w:r>
        <w:rPr>
          <w:rFonts w:ascii="Times New Roman" w:hAnsi="Times New Roman" w:cs="Times New Roman"/>
        </w:rPr>
        <w:t>噪声</w:t>
      </w:r>
    </w:p>
    <w:p>
      <w:pPr>
        <w:spacing w:line="480" w:lineRule="atLeast"/>
        <w:ind w:firstLine="480" w:firstLineChars="200"/>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rPr>
        <w:t>噪声污染主要来源于</w:t>
      </w:r>
      <w:r>
        <w:rPr>
          <w:rFonts w:hint="eastAsia" w:ascii="Times New Roman" w:hAnsi="Times New Roman" w:eastAsia="宋体" w:cs="Times New Roman"/>
          <w:sz w:val="24"/>
          <w:szCs w:val="24"/>
          <w:lang w:eastAsia="zh-CN"/>
        </w:rPr>
        <w:t>生产设备运行时产生的机械</w:t>
      </w:r>
      <w:r>
        <w:rPr>
          <w:rFonts w:ascii="Times New Roman" w:hAnsi="Times New Roman" w:eastAsia="宋体" w:cs="Times New Roman"/>
          <w:sz w:val="24"/>
          <w:szCs w:val="24"/>
        </w:rPr>
        <w:t>噪声</w:t>
      </w:r>
      <w:r>
        <w:rPr>
          <w:rFonts w:hint="eastAsia" w:ascii="Times New Roman" w:hAnsi="Times New Roman" w:eastAsia="宋体" w:cs="Times New Roman"/>
          <w:sz w:val="24"/>
          <w:szCs w:val="24"/>
          <w:lang w:eastAsia="zh-CN"/>
        </w:rPr>
        <w:t>。优先选用低噪声设备，同时加装减振装置，以及厂区围墙隔声、距离衰减等降噪措施。</w:t>
      </w:r>
    </w:p>
    <w:p>
      <w:pPr>
        <w:widowControl/>
        <w:jc w:val="left"/>
        <w:rPr>
          <w:rFonts w:ascii="Times New Roman" w:hAnsi="Times New Roman" w:eastAsia="宋体" w:cs="Times New Roman"/>
          <w:b/>
          <w:sz w:val="30"/>
          <w:szCs w:val="30"/>
        </w:rPr>
      </w:pPr>
      <w:r>
        <w:rPr>
          <w:rFonts w:ascii="Times New Roman" w:hAnsi="Times New Roman" w:cs="Times New Roman"/>
        </w:rPr>
        <w:br w:type="page"/>
      </w:r>
    </w:p>
    <w:p>
      <w:pPr>
        <w:pStyle w:val="5"/>
        <w:adjustRightInd w:val="0"/>
        <w:snapToGrid w:val="0"/>
        <w:spacing w:line="360" w:lineRule="auto"/>
        <w:rPr>
          <w:rFonts w:ascii="Times New Roman" w:hAnsi="Times New Roman" w:cs="Times New Roman"/>
          <w:color w:val="auto"/>
        </w:rPr>
      </w:pPr>
      <w:bookmarkStart w:id="96" w:name="_Toc32611_WPSOffice_Level1"/>
      <w:r>
        <w:rPr>
          <w:rFonts w:ascii="Times New Roman" w:hAnsi="Times New Roman" w:cs="Times New Roman"/>
          <w:color w:val="auto"/>
        </w:rPr>
        <w:t>4 环评主要结论及环评批复要求</w:t>
      </w:r>
      <w:bookmarkEnd w:id="96"/>
    </w:p>
    <w:p>
      <w:pPr>
        <w:pStyle w:val="6"/>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ascii="Times New Roman" w:hAnsi="Times New Roman" w:cs="Times New Roman"/>
          <w:b/>
          <w:sz w:val="28"/>
          <w:szCs w:val="24"/>
        </w:rPr>
      </w:pPr>
      <w:bookmarkStart w:id="97" w:name="_Toc10896_WPSOffice_Level2"/>
      <w:r>
        <w:rPr>
          <w:rFonts w:ascii="Times New Roman" w:hAnsi="Times New Roman" w:cs="Times New Roman"/>
          <w:b/>
          <w:sz w:val="28"/>
          <w:szCs w:val="24"/>
        </w:rPr>
        <w:t>4.1 建设项目环评报告表的主要结论与建议</w:t>
      </w:r>
      <w:bookmarkEnd w:id="97"/>
    </w:p>
    <w:p>
      <w:pPr>
        <w:pStyle w:val="7"/>
        <w:adjustRightInd w:val="0"/>
        <w:snapToGrid w:val="0"/>
        <w:spacing w:line="360" w:lineRule="auto"/>
        <w:rPr>
          <w:rFonts w:ascii="Times New Roman" w:hAnsi="Times New Roman" w:cs="Times New Roman"/>
        </w:rPr>
      </w:pPr>
      <w:bookmarkStart w:id="98" w:name="_Toc497001467"/>
      <w:bookmarkStart w:id="99" w:name="_Toc496979030"/>
      <w:r>
        <w:rPr>
          <w:rFonts w:ascii="Times New Roman" w:hAnsi="Times New Roman" w:cs="Times New Roman"/>
        </w:rPr>
        <w:t>4.1.1 主要结论</w:t>
      </w:r>
      <w:bookmarkEnd w:id="98"/>
      <w:bookmarkEnd w:id="99"/>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（1）环境质量现状及主要环境问题</w:t>
      </w:r>
    </w:p>
    <w:p>
      <w:pPr>
        <w:autoSpaceDE w:val="0"/>
        <w:autoSpaceDN w:val="0"/>
        <w:adjustRightInd w:val="0"/>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①</w:t>
      </w:r>
      <w:r>
        <w:rPr>
          <w:rFonts w:ascii="Times New Roman" w:hAnsi="Times New Roman" w:eastAsia="宋体" w:cs="Times New Roman"/>
          <w:sz w:val="24"/>
          <w:szCs w:val="24"/>
        </w:rPr>
        <w:t xml:space="preserve"> 环境空气质量现状</w:t>
      </w:r>
    </w:p>
    <w:p>
      <w:pPr>
        <w:tabs>
          <w:tab w:val="left" w:pos="4111"/>
          <w:tab w:val="left" w:pos="4536"/>
        </w:tabs>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项目所在区域空气质量满足《大气污染物综合排放标准》（GB16297-1996）表2无组织排放监控浓度限值。</w:t>
      </w:r>
    </w:p>
    <w:p>
      <w:pPr>
        <w:keepNext w:val="0"/>
        <w:keepLines w:val="0"/>
        <w:pageBreakBefore w:val="0"/>
        <w:widowControl w:val="0"/>
        <w:kinsoku/>
        <w:wordWrap/>
        <w:overflowPunct/>
        <w:topLinePunct w:val="0"/>
        <w:autoSpaceDE/>
        <w:autoSpaceDN/>
        <w:bidi w:val="0"/>
        <w:adjustRightInd/>
        <w:snapToGrid w:val="0"/>
        <w:spacing w:line="360" w:lineRule="auto"/>
        <w:ind w:firstLine="480" w:firstLineChars="200"/>
        <w:textAlignment w:val="auto"/>
        <w:rPr>
          <w:rFonts w:ascii="Times New Roman" w:hAnsi="Times New Roman" w:cs="Times New Roman"/>
          <w:szCs w:val="24"/>
        </w:rPr>
      </w:pPr>
      <w:r>
        <w:rPr>
          <w:rFonts w:hint="eastAsia" w:ascii="宋体" w:hAnsi="宋体" w:eastAsia="宋体" w:cs="宋体"/>
          <w:sz w:val="24"/>
          <w:szCs w:val="24"/>
        </w:rPr>
        <w:t>②</w:t>
      </w:r>
      <w:r>
        <w:rPr>
          <w:rFonts w:ascii="Times New Roman" w:hAnsi="Times New Roman" w:eastAsia="宋体" w:cs="Times New Roman"/>
          <w:sz w:val="24"/>
          <w:szCs w:val="24"/>
        </w:rPr>
        <w:t xml:space="preserve"> 声环境质量现状</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项目所在区域声环境质量满足《工业企业厂界环境噪声排放标准》（GB12348-2008）3类声环境功能区标准要求。</w:t>
      </w:r>
    </w:p>
    <w:p>
      <w:pPr>
        <w:snapToGrid w:val="0"/>
        <w:spacing w:line="360" w:lineRule="auto"/>
        <w:ind w:firstLine="480" w:firstLineChars="200"/>
        <w:rPr>
          <w:rFonts w:ascii="Times New Roman" w:hAnsi="Times New Roman" w:eastAsia="宋体" w:cs="Times New Roman"/>
          <w:sz w:val="24"/>
          <w:szCs w:val="24"/>
        </w:rPr>
      </w:pPr>
      <w:r>
        <w:rPr>
          <w:rFonts w:hint="eastAsia" w:ascii="宋体" w:hAnsi="宋体" w:eastAsia="宋体" w:cs="宋体"/>
          <w:sz w:val="24"/>
          <w:szCs w:val="24"/>
        </w:rPr>
        <w:t>③</w:t>
      </w:r>
      <w:r>
        <w:rPr>
          <w:rFonts w:ascii="Times New Roman" w:hAnsi="Times New Roman" w:eastAsia="宋体" w:cs="Times New Roman"/>
          <w:sz w:val="24"/>
          <w:szCs w:val="24"/>
        </w:rPr>
        <w:t xml:space="preserve"> 废水环境质量现状</w:t>
      </w:r>
    </w:p>
    <w:p>
      <w:pPr>
        <w:keepNext w:val="0"/>
        <w:keepLines w:val="0"/>
        <w:pageBreakBefore w:val="0"/>
        <w:widowControl w:val="0"/>
        <w:kinsoku/>
        <w:wordWrap/>
        <w:overflowPunct/>
        <w:topLinePunct w:val="0"/>
        <w:autoSpaceDE/>
        <w:autoSpaceDN/>
        <w:bidi w:val="0"/>
        <w:spacing w:line="360" w:lineRule="auto"/>
        <w:ind w:firstLine="480" w:firstLineChars="200"/>
        <w:jc w:val="both"/>
        <w:textAlignment w:val="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本项目的废水主要是生活废水，厂区设防渗旱厕，定期清掏</w:t>
      </w:r>
      <w:r>
        <w:rPr>
          <w:rFonts w:hint="default" w:ascii="Times New Roman" w:hAnsi="Times New Roman" w:eastAsia="宋体" w:cs="Times New Roman"/>
          <w:sz w:val="24"/>
          <w:szCs w:val="24"/>
          <w:lang w:eastAsia="zh-CN"/>
        </w:rPr>
        <w:t>。</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（2）营运期环境影响评价结论</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1）环境空气影响分析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lang w:val="en-US" w:eastAsia="zh-CN"/>
        </w:rPr>
      </w:pPr>
      <w:r>
        <w:rPr>
          <w:rFonts w:hint="default" w:ascii="Times New Roman" w:hAnsi="Times New Roman" w:eastAsia="宋体" w:cs="Times New Roman"/>
          <w:sz w:val="24"/>
          <w:szCs w:val="24"/>
          <w:lang w:eastAsia="zh-CN"/>
        </w:rPr>
        <w:t>该项目</w:t>
      </w:r>
      <w:r>
        <w:rPr>
          <w:rFonts w:hint="eastAsia" w:ascii="Times New Roman" w:hAnsi="Times New Roman" w:eastAsia="宋体" w:cs="Times New Roman"/>
          <w:sz w:val="24"/>
          <w:szCs w:val="24"/>
          <w:lang w:val="en-US" w:eastAsia="zh-CN"/>
        </w:rPr>
        <w:t>焊接工序焊接烟尘</w:t>
      </w:r>
      <w:r>
        <w:rPr>
          <w:rFonts w:hint="default" w:ascii="Times New Roman" w:hAnsi="Times New Roman" w:eastAsia="宋体" w:cs="Times New Roman"/>
          <w:sz w:val="24"/>
          <w:szCs w:val="24"/>
          <w:lang w:eastAsia="zh-CN"/>
        </w:rPr>
        <w:t>经</w:t>
      </w:r>
      <w:r>
        <w:rPr>
          <w:rFonts w:hint="default" w:ascii="Times New Roman" w:hAnsi="Times New Roman" w:eastAsia="宋体" w:cs="Times New Roman"/>
          <w:sz w:val="24"/>
          <w:szCs w:val="24"/>
          <w:lang w:val="en-US" w:eastAsia="zh-CN"/>
        </w:rPr>
        <w:t>移动式焊接烟尘净化器</w:t>
      </w:r>
      <w:r>
        <w:rPr>
          <w:rFonts w:hint="eastAsia" w:ascii="Times New Roman" w:hAnsi="Times New Roman" w:eastAsia="宋体" w:cs="Times New Roman"/>
          <w:sz w:val="24"/>
          <w:szCs w:val="24"/>
          <w:lang w:val="en-US" w:eastAsia="zh-CN"/>
        </w:rPr>
        <w:t>处理后排放</w:t>
      </w:r>
      <w:r>
        <w:rPr>
          <w:rFonts w:hint="default" w:ascii="Times New Roman" w:hAnsi="Times New Roman" w:eastAsia="宋体" w:cs="Times New Roman"/>
          <w:color w:val="000000"/>
          <w:sz w:val="24"/>
          <w:szCs w:val="24"/>
          <w:lang w:val="en-US"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2）水环境影响分析</w:t>
      </w:r>
    </w:p>
    <w:p>
      <w:pPr>
        <w:keepNext w:val="0"/>
        <w:keepLines w:val="0"/>
        <w:pageBreakBefore w:val="0"/>
        <w:widowControl w:val="0"/>
        <w:kinsoku/>
        <w:wordWrap/>
        <w:overflowPunct/>
        <w:topLinePunct w:val="0"/>
        <w:autoSpaceDE/>
        <w:autoSpaceDN/>
        <w:bidi w:val="0"/>
        <w:spacing w:line="360" w:lineRule="auto"/>
        <w:ind w:firstLine="480" w:firstLineChars="200"/>
        <w:jc w:val="both"/>
        <w:textAlignment w:val="auto"/>
        <w:rPr>
          <w:rFonts w:hint="eastAsia"/>
          <w:sz w:val="24"/>
          <w:szCs w:val="24"/>
          <w:lang w:val="en-US" w:eastAsia="zh-CN"/>
        </w:rPr>
      </w:pPr>
      <w:r>
        <w:rPr>
          <w:rFonts w:hint="default" w:ascii="Times New Roman" w:hAnsi="Times New Roman" w:eastAsia="宋体" w:cs="Times New Roman"/>
          <w:sz w:val="24"/>
          <w:szCs w:val="24"/>
        </w:rPr>
        <w:t>本项目的废水主要是生活废水，厂区设防渗旱厕，定期清掏</w:t>
      </w:r>
      <w:r>
        <w:rPr>
          <w:rFonts w:hint="default"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bCs/>
          <w:sz w:val="24"/>
          <w:szCs w:val="24"/>
        </w:rPr>
      </w:pPr>
      <w:r>
        <w:rPr>
          <w:rFonts w:ascii="Times New Roman" w:hAnsi="Times New Roman" w:eastAsia="宋体" w:cs="Times New Roman"/>
          <w:bCs/>
          <w:sz w:val="24"/>
          <w:szCs w:val="24"/>
        </w:rPr>
        <w:t>因此，项目产生的废水不会对水环境产生明显影响。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color w:val="FF0000"/>
          <w:sz w:val="24"/>
          <w:szCs w:val="24"/>
        </w:rPr>
      </w:pPr>
      <w:r>
        <w:rPr>
          <w:rFonts w:ascii="Times New Roman" w:hAnsi="Times New Roman" w:eastAsia="宋体" w:cs="Times New Roman"/>
          <w:sz w:val="24"/>
          <w:szCs w:val="24"/>
        </w:rPr>
        <w:t>3）声环境影响分析</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为了控制噪声污染源的噪声污染，本项目生产加工过程均在车间内完成，并对主要高噪声设备采取底座减振等降噪措施，</w:t>
      </w:r>
      <w:r>
        <w:rPr>
          <w:rFonts w:ascii="Times New Roman" w:hAnsi="Times New Roman" w:eastAsia="宋体" w:cs="Times New Roman"/>
          <w:bCs/>
          <w:sz w:val="24"/>
          <w:szCs w:val="24"/>
        </w:rPr>
        <w:t>尽量降低噪声源强，</w:t>
      </w:r>
      <w:r>
        <w:rPr>
          <w:rFonts w:ascii="Times New Roman" w:hAnsi="Times New Roman" w:eastAsia="宋体" w:cs="Times New Roman"/>
          <w:sz w:val="24"/>
          <w:szCs w:val="24"/>
        </w:rPr>
        <w:t>再经距离衰减后，厂界噪声能够满足《工业企业厂界环境噪声排放标准》（GB12348-2008）</w:t>
      </w:r>
      <w:r>
        <w:rPr>
          <w:rFonts w:hint="eastAsia" w:ascii="Times New Roman" w:hAnsi="Times New Roman" w:eastAsia="宋体" w:cs="Times New Roman"/>
          <w:sz w:val="24"/>
          <w:szCs w:val="24"/>
        </w:rPr>
        <w:t>2</w:t>
      </w:r>
      <w:r>
        <w:rPr>
          <w:rFonts w:ascii="Times New Roman" w:hAnsi="Times New Roman" w:eastAsia="宋体" w:cs="Times New Roman"/>
          <w:sz w:val="24"/>
          <w:szCs w:val="24"/>
        </w:rPr>
        <w:t>类</w:t>
      </w:r>
      <w:r>
        <w:rPr>
          <w:rFonts w:hint="eastAsia" w:ascii="Times New Roman" w:hAnsi="Times New Roman" w:eastAsia="宋体" w:cs="Times New Roman"/>
          <w:sz w:val="24"/>
          <w:szCs w:val="24"/>
        </w:rPr>
        <w:t>和4类</w:t>
      </w:r>
      <w:r>
        <w:rPr>
          <w:rFonts w:ascii="Times New Roman" w:hAnsi="Times New Roman" w:eastAsia="宋体" w:cs="Times New Roman"/>
          <w:sz w:val="24"/>
          <w:szCs w:val="24"/>
        </w:rPr>
        <w:t>标准。</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因此，项目产生的噪声不会对周围声环境产生较大影响。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4）固废环境影响分析</w:t>
      </w:r>
    </w:p>
    <w:p>
      <w:pPr>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jc w:val="both"/>
        <w:textAlignment w:val="auto"/>
        <w:rPr>
          <w:rFonts w:ascii="Times New Roman" w:hAnsi="Times New Roman" w:cs="Times New Roman"/>
          <w:szCs w:val="21"/>
        </w:rPr>
      </w:pPr>
      <w:r>
        <w:rPr>
          <w:rFonts w:ascii="Times New Roman" w:hAnsi="Times New Roman" w:eastAsia="宋体" w:cs="Times New Roman"/>
          <w:color w:val="FF0000"/>
          <w:sz w:val="24"/>
          <w:szCs w:val="24"/>
        </w:rPr>
        <w:t xml:space="preserve">   </w:t>
      </w:r>
      <w:r>
        <w:rPr>
          <w:rFonts w:hint="eastAsia" w:ascii="Times New Roman" w:hAnsi="Times New Roman" w:eastAsia="宋体" w:cs="Times New Roman"/>
          <w:sz w:val="24"/>
          <w:szCs w:val="24"/>
          <w:lang w:eastAsia="zh-CN"/>
        </w:rPr>
        <w:t>边角料集中收集后外售</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不合格品集中收集后外售；废润滑油</w:t>
      </w:r>
      <w:r>
        <w:rPr>
          <w:rFonts w:hint="default" w:ascii="Times New Roman" w:hAnsi="Times New Roman" w:eastAsia="宋体" w:cs="Times New Roman"/>
          <w:sz w:val="24"/>
          <w:szCs w:val="24"/>
          <w:lang w:val="en-US" w:eastAsia="zh-CN"/>
        </w:rPr>
        <w:t>由</w:t>
      </w:r>
      <w:r>
        <w:rPr>
          <w:rFonts w:hint="default" w:ascii="Times New Roman" w:hAnsi="Times New Roman" w:eastAsia="宋体" w:cs="Times New Roman"/>
          <w:sz w:val="24"/>
          <w:szCs w:val="24"/>
        </w:rPr>
        <w:t>专用存储容器储存，暂存于危废间，定期交有危废处置资质单位处理</w:t>
      </w:r>
      <w:r>
        <w:rPr>
          <w:rFonts w:hint="eastAsia"/>
          <w:color w:val="000000"/>
          <w:sz w:val="21"/>
          <w:szCs w:val="21"/>
          <w:lang w:eastAsia="zh-CN"/>
        </w:rPr>
        <w:t>；</w:t>
      </w:r>
      <w:r>
        <w:rPr>
          <w:rFonts w:hint="eastAsia" w:ascii="Times New Roman" w:hAnsi="Times New Roman" w:eastAsia="宋体" w:cs="Times New Roman"/>
          <w:sz w:val="24"/>
          <w:szCs w:val="24"/>
        </w:rPr>
        <w:t>生活垃圾由环卫</w:t>
      </w:r>
      <w:r>
        <w:rPr>
          <w:rFonts w:hint="eastAsia" w:ascii="Times New Roman" w:hAnsi="Times New Roman" w:eastAsia="宋体" w:cs="Times New Roman"/>
          <w:sz w:val="24"/>
          <w:szCs w:val="24"/>
          <w:lang w:eastAsia="zh-CN"/>
        </w:rPr>
        <w:t>部门统一处理。</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bCs/>
          <w:color w:val="000000" w:themeColor="text1"/>
          <w:sz w:val="24"/>
          <w:szCs w:val="24"/>
          <w14:textFill>
            <w14:solidFill>
              <w14:schemeClr w14:val="tx1"/>
            </w14:solidFill>
          </w14:textFill>
        </w:rPr>
      </w:pPr>
      <w:r>
        <w:rPr>
          <w:rFonts w:ascii="Times New Roman" w:hAnsi="Times New Roman" w:eastAsia="宋体" w:cs="Times New Roman"/>
          <w:color w:val="000000" w:themeColor="text1"/>
          <w:sz w:val="24"/>
          <w:szCs w:val="24"/>
          <w14:textFill>
            <w14:solidFill>
              <w14:schemeClr w14:val="tx1"/>
            </w14:solidFill>
          </w14:textFill>
        </w:rPr>
        <w:t>因此，固体废物能得到妥善处理处置，不会对周围环境造成影响。</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（3）总量控制结论</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结合本项目特点及排污特征，确定本工程污染物总量控制因子为COD、氨氮、SO</w:t>
      </w:r>
      <w:r>
        <w:rPr>
          <w:rFonts w:ascii="Times New Roman" w:hAnsi="Times New Roman" w:eastAsia="宋体" w:cs="Times New Roman"/>
          <w:sz w:val="24"/>
          <w:szCs w:val="24"/>
          <w:vertAlign w:val="subscript"/>
        </w:rPr>
        <w:t>2</w:t>
      </w:r>
      <w:r>
        <w:rPr>
          <w:rFonts w:ascii="Times New Roman" w:hAnsi="Times New Roman" w:eastAsia="宋体" w:cs="Times New Roman"/>
          <w:sz w:val="24"/>
          <w:szCs w:val="24"/>
        </w:rPr>
        <w:t>、NOx。</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水污染物：COD：0 t/a；氨氮：0 t/a；</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大气污染物：SO</w:t>
      </w:r>
      <w:r>
        <w:rPr>
          <w:rFonts w:ascii="Times New Roman" w:hAnsi="Times New Roman" w:eastAsia="宋体" w:cs="Times New Roman"/>
          <w:sz w:val="24"/>
          <w:szCs w:val="24"/>
          <w:vertAlign w:val="subscript"/>
        </w:rPr>
        <w:t>2</w:t>
      </w:r>
      <w:r>
        <w:rPr>
          <w:rFonts w:ascii="Times New Roman" w:hAnsi="Times New Roman" w:eastAsia="宋体" w:cs="Times New Roman"/>
          <w:sz w:val="24"/>
          <w:szCs w:val="24"/>
        </w:rPr>
        <w:t>：0 t/a；NOx：0 t/a；</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特征污染物VOCs（以非甲烷总烃）：0t/a。</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ascii="Times New Roman" w:hAnsi="Times New Roman" w:eastAsia="宋体" w:cs="Times New Roman"/>
          <w:sz w:val="24"/>
          <w:szCs w:val="24"/>
        </w:rPr>
        <w:t>（4）项目可行性结论</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该项目建设符合国家产业政策；选址可行，厂址周围环境质量良好，在满足环评提出的各项要求和污染防治措施及落实环保“三同时”的基础上，项目营运期污染物可以做到“达标排放”，不会改变区域环境质量功能，对环境影响较小。从环境保护的角度分析，该项目的建设是可行的。</w:t>
      </w:r>
    </w:p>
    <w:p>
      <w:pPr>
        <w:pStyle w:val="7"/>
        <w:adjustRightInd w:val="0"/>
        <w:snapToGrid w:val="0"/>
        <w:spacing w:line="360" w:lineRule="auto"/>
        <w:rPr>
          <w:rFonts w:ascii="Times New Roman" w:hAnsi="Times New Roman" w:cs="Times New Roman"/>
        </w:rPr>
      </w:pPr>
      <w:bookmarkStart w:id="100" w:name="_Toc497001468"/>
      <w:bookmarkStart w:id="101" w:name="_Toc496979031"/>
      <w:r>
        <w:rPr>
          <w:rFonts w:ascii="Times New Roman" w:hAnsi="Times New Roman" w:cs="Times New Roman"/>
        </w:rPr>
        <w:t>4.1.2 建议</w:t>
      </w:r>
      <w:bookmarkEnd w:id="100"/>
      <w:bookmarkEnd w:id="101"/>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（1）严格落实好环保设施“三同时”制度，并确保环保措施落实到实处；</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（2）建设单位应设专人负责项目的施工期间的环境管理工作；</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（3）积极配合当地政府和环保部门对施工周围环境质量进行严格监督；</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（4）搞好厂区绿化，起到抑尘、防噪作用，改善生态环境；</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（5）项目运营期间，加强防治污染设备的日常维护工作，环保设施的操作、管理及维护应设专人负责、有问题及时处理；</w:t>
      </w:r>
    </w:p>
    <w:p>
      <w:pPr>
        <w:pStyle w:val="6"/>
        <w:spacing w:line="360" w:lineRule="auto"/>
        <w:rPr>
          <w:rFonts w:ascii="Times New Roman" w:hAnsi="Times New Roman" w:cs="Times New Roman"/>
          <w:color w:val="000000" w:themeColor="text1"/>
          <w14:textFill>
            <w14:solidFill>
              <w14:schemeClr w14:val="tx1"/>
            </w14:solidFill>
          </w14:textFill>
        </w:rPr>
      </w:pPr>
      <w:bookmarkStart w:id="102" w:name="_Toc24912_WPSOffice_Level2"/>
      <w:r>
        <w:rPr>
          <w:rFonts w:ascii="Times New Roman" w:hAnsi="Times New Roman" w:cs="Times New Roman"/>
          <w:color w:val="000000" w:themeColor="text1"/>
          <w14:textFill>
            <w14:solidFill>
              <w14:schemeClr w14:val="tx1"/>
            </w14:solidFill>
          </w14:textFill>
        </w:rPr>
        <w:t>4.2 审批部门审批意见</w:t>
      </w:r>
      <w:bookmarkEnd w:id="102"/>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本项目于201</w:t>
      </w:r>
      <w:r>
        <w:rPr>
          <w:rFonts w:hint="eastAsia" w:ascii="Times New Roman" w:hAnsi="Times New Roman" w:eastAsia="宋体" w:cs="Times New Roman"/>
          <w:sz w:val="24"/>
          <w:szCs w:val="24"/>
          <w:lang w:val="en-US" w:eastAsia="zh-CN"/>
        </w:rPr>
        <w:t>9</w:t>
      </w:r>
      <w:r>
        <w:rPr>
          <w:rFonts w:ascii="Times New Roman" w:hAnsi="Times New Roman" w:eastAsia="宋体" w:cs="Times New Roman"/>
          <w:sz w:val="24"/>
          <w:szCs w:val="24"/>
        </w:rPr>
        <w:t>年</w:t>
      </w:r>
      <w:r>
        <w:rPr>
          <w:rFonts w:hint="eastAsia" w:ascii="Times New Roman" w:hAnsi="Times New Roman" w:eastAsia="宋体" w:cs="Times New Roman"/>
          <w:sz w:val="24"/>
          <w:szCs w:val="24"/>
          <w:lang w:val="en-US" w:eastAsia="zh-CN"/>
        </w:rPr>
        <w:t>9</w:t>
      </w:r>
      <w:r>
        <w:rPr>
          <w:rFonts w:ascii="Times New Roman" w:hAnsi="Times New Roman" w:eastAsia="宋体" w:cs="Times New Roman"/>
          <w:sz w:val="24"/>
          <w:szCs w:val="24"/>
        </w:rPr>
        <w:t>月</w:t>
      </w:r>
      <w:r>
        <w:rPr>
          <w:rFonts w:hint="eastAsia" w:ascii="Times New Roman" w:hAnsi="Times New Roman" w:eastAsia="宋体" w:cs="Times New Roman"/>
          <w:sz w:val="24"/>
          <w:szCs w:val="24"/>
          <w:lang w:val="en-US" w:eastAsia="zh-CN"/>
        </w:rPr>
        <w:t>12</w:t>
      </w:r>
      <w:r>
        <w:rPr>
          <w:rFonts w:ascii="Times New Roman" w:hAnsi="Times New Roman" w:eastAsia="宋体" w:cs="Times New Roman"/>
          <w:sz w:val="24"/>
          <w:szCs w:val="24"/>
        </w:rPr>
        <w:t>日由</w:t>
      </w:r>
      <w:r>
        <w:rPr>
          <w:rFonts w:hint="eastAsia" w:ascii="Times New Roman" w:hAnsi="Times New Roman" w:eastAsia="宋体" w:cs="Times New Roman"/>
          <w:sz w:val="24"/>
          <w:szCs w:val="24"/>
        </w:rPr>
        <w:t>沧县</w:t>
      </w:r>
      <w:r>
        <w:rPr>
          <w:rFonts w:ascii="Times New Roman" w:hAnsi="Times New Roman" w:eastAsia="宋体" w:cs="Times New Roman"/>
          <w:sz w:val="24"/>
          <w:szCs w:val="24"/>
        </w:rPr>
        <w:t>环境保护局审批通过，并出具审批意见。其批复如下：</w:t>
      </w:r>
    </w:p>
    <w:p>
      <w:pPr>
        <w:spacing w:line="360" w:lineRule="auto"/>
        <w:ind w:firstLine="480" w:firstLineChars="200"/>
        <w:jc w:val="center"/>
        <w:rPr>
          <w:rFonts w:ascii="Times New Roman" w:hAnsi="Times New Roman" w:cs="Times New Roman"/>
        </w:rPr>
      </w:pPr>
      <w:r>
        <w:rPr>
          <w:rFonts w:hint="eastAsia" w:ascii="Times New Roman" w:hAnsi="Times New Roman" w:eastAsia="宋体" w:cs="Times New Roman"/>
          <w:sz w:val="24"/>
          <w:szCs w:val="24"/>
          <w:lang w:eastAsia="zh-CN"/>
        </w:rPr>
        <w:drawing>
          <wp:inline distT="0" distB="0" distL="114300" distR="114300">
            <wp:extent cx="4084320" cy="8851265"/>
            <wp:effectExtent l="0" t="0" r="11430" b="6985"/>
            <wp:docPr id="10" name="图片 10" descr="批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批复"/>
                    <pic:cNvPicPr>
                      <a:picLocks noChangeAspect="1"/>
                    </pic:cNvPicPr>
                  </pic:nvPicPr>
                  <pic:blipFill>
                    <a:blip r:embed="rId11"/>
                    <a:stretch>
                      <a:fillRect/>
                    </a:stretch>
                  </pic:blipFill>
                  <pic:spPr>
                    <a:xfrm>
                      <a:off x="0" y="0"/>
                      <a:ext cx="4084320" cy="8851265"/>
                    </a:xfrm>
                    <a:prstGeom prst="rect">
                      <a:avLst/>
                    </a:prstGeom>
                  </pic:spPr>
                </pic:pic>
              </a:graphicData>
            </a:graphic>
          </wp:inline>
        </w:drawing>
      </w:r>
    </w:p>
    <w:p>
      <w:pPr>
        <w:pStyle w:val="6"/>
        <w:spacing w:line="360" w:lineRule="auto"/>
        <w:rPr>
          <w:rFonts w:ascii="Times New Roman" w:hAnsi="Times New Roman" w:cs="Times New Roman"/>
        </w:rPr>
      </w:pPr>
      <w:bookmarkStart w:id="103" w:name="_Toc1735_WPSOffice_Level2"/>
      <w:r>
        <w:rPr>
          <w:rFonts w:ascii="Times New Roman" w:hAnsi="Times New Roman" w:cs="Times New Roman"/>
        </w:rPr>
        <w:t>4.3 审批意见落实情况</w:t>
      </w:r>
      <w:bookmarkEnd w:id="103"/>
    </w:p>
    <w:p>
      <w:pPr>
        <w:spacing w:line="360" w:lineRule="auto"/>
        <w:rPr>
          <w:rFonts w:ascii="Times New Roman" w:hAnsi="Times New Roman" w:eastAsia="宋体" w:cs="Times New Roman"/>
          <w:b/>
          <w:sz w:val="24"/>
          <w:szCs w:val="24"/>
        </w:rPr>
      </w:pPr>
      <w:bookmarkStart w:id="104" w:name="_Toc497001471"/>
      <w:r>
        <w:rPr>
          <w:rFonts w:ascii="Times New Roman" w:hAnsi="Times New Roman" w:eastAsia="宋体" w:cs="Times New Roman"/>
          <w:sz w:val="24"/>
          <w:szCs w:val="24"/>
        </w:rPr>
        <w:t>审批意见落实情况详见下表4-1。</w:t>
      </w:r>
      <w:bookmarkEnd w:id="104"/>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表4-1  环评审批意见落实情况</w:t>
      </w:r>
    </w:p>
    <w:tbl>
      <w:tblPr>
        <w:tblStyle w:val="11"/>
        <w:tblW w:w="836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8" w:type="dxa"/>
          <w:bottom w:w="0" w:type="dxa"/>
          <w:right w:w="28" w:type="dxa"/>
        </w:tblCellMar>
      </w:tblPr>
      <w:tblGrid>
        <w:gridCol w:w="511"/>
        <w:gridCol w:w="5046"/>
        <w:gridCol w:w="280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spacing w:line="360" w:lineRule="auto"/>
              <w:jc w:val="center"/>
              <w:rPr>
                <w:rFonts w:ascii="Times New Roman" w:hAnsi="Times New Roman" w:eastAsia="宋体" w:cs="Times New Roman"/>
                <w:b/>
                <w:spacing w:val="-10"/>
                <w:szCs w:val="21"/>
              </w:rPr>
            </w:pPr>
            <w:r>
              <w:rPr>
                <w:rFonts w:ascii="Times New Roman" w:hAnsi="Times New Roman" w:eastAsia="宋体" w:cs="Times New Roman"/>
                <w:b/>
                <w:spacing w:val="-10"/>
                <w:szCs w:val="21"/>
              </w:rPr>
              <w:t>序号</w:t>
            </w:r>
          </w:p>
        </w:tc>
        <w:tc>
          <w:tcPr>
            <w:tcW w:w="5046" w:type="dxa"/>
            <w:vAlign w:val="center"/>
          </w:tcPr>
          <w:p>
            <w:pPr>
              <w:spacing w:line="360" w:lineRule="auto"/>
              <w:jc w:val="center"/>
              <w:rPr>
                <w:rFonts w:ascii="Times New Roman" w:hAnsi="Times New Roman" w:eastAsia="宋体" w:cs="Times New Roman"/>
                <w:b/>
                <w:spacing w:val="-10"/>
                <w:szCs w:val="21"/>
              </w:rPr>
            </w:pPr>
            <w:r>
              <w:rPr>
                <w:rFonts w:ascii="Times New Roman" w:hAnsi="Times New Roman" w:eastAsia="宋体" w:cs="Times New Roman"/>
                <w:b/>
                <w:spacing w:val="-10"/>
                <w:szCs w:val="21"/>
              </w:rPr>
              <w:t>审批意见内容</w:t>
            </w:r>
          </w:p>
        </w:tc>
        <w:tc>
          <w:tcPr>
            <w:tcW w:w="2805" w:type="dxa"/>
            <w:vAlign w:val="center"/>
          </w:tcPr>
          <w:p>
            <w:pPr>
              <w:spacing w:line="360" w:lineRule="auto"/>
              <w:jc w:val="center"/>
              <w:rPr>
                <w:rFonts w:ascii="Times New Roman" w:hAnsi="Times New Roman" w:eastAsia="宋体" w:cs="Times New Roman"/>
                <w:b/>
                <w:spacing w:val="-10"/>
                <w:szCs w:val="21"/>
              </w:rPr>
            </w:pPr>
            <w:r>
              <w:rPr>
                <w:rFonts w:ascii="Times New Roman" w:hAnsi="Times New Roman" w:eastAsia="宋体" w:cs="Times New Roman"/>
                <w:b/>
                <w:spacing w:val="-10"/>
                <w:szCs w:val="21"/>
              </w:rPr>
              <w:t>落实情况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1</w:t>
            </w:r>
          </w:p>
        </w:tc>
        <w:tc>
          <w:tcPr>
            <w:tcW w:w="5046" w:type="dxa"/>
          </w:tcPr>
          <w:p>
            <w:pPr>
              <w:spacing w:line="360" w:lineRule="auto"/>
              <w:rPr>
                <w:rFonts w:hint="eastAsia" w:ascii="Times New Roman" w:hAnsi="Times New Roman" w:eastAsia="宋体" w:cs="Times New Roman"/>
                <w:b/>
                <w:spacing w:val="-10"/>
                <w:szCs w:val="21"/>
                <w:lang w:eastAsia="zh-CN"/>
              </w:rPr>
            </w:pPr>
            <w:r>
              <w:rPr>
                <w:rFonts w:ascii="Times New Roman" w:hAnsi="Times New Roman" w:eastAsia="宋体" w:cs="Times New Roman"/>
                <w:szCs w:val="21"/>
              </w:rPr>
              <w:t>建设单位：</w:t>
            </w:r>
            <w:r>
              <w:rPr>
                <w:rFonts w:hint="eastAsia" w:ascii="Times New Roman" w:hAnsi="Times New Roman" w:eastAsia="宋体" w:cs="Times New Roman"/>
                <w:szCs w:val="21"/>
                <w:lang w:eastAsia="zh-CN"/>
              </w:rPr>
              <w:t>沧县东达五金制品加工厂</w:t>
            </w:r>
          </w:p>
        </w:tc>
        <w:tc>
          <w:tcPr>
            <w:tcW w:w="2805" w:type="dxa"/>
            <w:vAlign w:val="center"/>
          </w:tcPr>
          <w:p>
            <w:pPr>
              <w:spacing w:line="360" w:lineRule="auto"/>
              <w:jc w:val="center"/>
              <w:rPr>
                <w:rFonts w:ascii="Times New Roman" w:hAnsi="Times New Roman" w:eastAsia="宋体" w:cs="Times New Roman"/>
                <w:szCs w:val="21"/>
              </w:rPr>
            </w:pPr>
            <w:r>
              <w:rPr>
                <w:rFonts w:hint="eastAsia" w:ascii="Times New Roman" w:hAnsi="Times New Roman" w:eastAsia="宋体" w:cs="Times New Roman"/>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2</w:t>
            </w:r>
          </w:p>
        </w:tc>
        <w:tc>
          <w:tcPr>
            <w:tcW w:w="5046" w:type="dxa"/>
          </w:tcPr>
          <w:p>
            <w:pPr>
              <w:spacing w:line="360" w:lineRule="auto"/>
              <w:rPr>
                <w:rFonts w:hint="eastAsia" w:ascii="Times New Roman" w:hAnsi="Times New Roman" w:eastAsia="宋体" w:cs="Times New Roman"/>
                <w:szCs w:val="21"/>
                <w:lang w:eastAsia="zh-CN"/>
              </w:rPr>
            </w:pPr>
            <w:r>
              <w:rPr>
                <w:rFonts w:ascii="Times New Roman" w:hAnsi="Times New Roman" w:eastAsia="宋体" w:cs="Times New Roman"/>
                <w:szCs w:val="21"/>
              </w:rPr>
              <w:t>建设地点：</w:t>
            </w:r>
            <w:r>
              <w:rPr>
                <w:rFonts w:hint="eastAsia" w:ascii="Times New Roman" w:hAnsi="Times New Roman" w:eastAsia="宋体" w:cs="Times New Roman"/>
                <w:szCs w:val="21"/>
                <w:lang w:eastAsia="zh-CN"/>
              </w:rPr>
              <w:t>河北省沧州市沧县张官屯乡大马庄村</w:t>
            </w:r>
          </w:p>
        </w:tc>
        <w:tc>
          <w:tcPr>
            <w:tcW w:w="2805" w:type="dxa"/>
            <w:vAlign w:val="center"/>
          </w:tcPr>
          <w:p>
            <w:pPr>
              <w:spacing w:line="360" w:lineRule="auto"/>
              <w:jc w:val="center"/>
              <w:rPr>
                <w:rFonts w:ascii="Times New Roman" w:hAnsi="Times New Roman" w:eastAsia="宋体" w:cs="Times New Roman"/>
                <w:szCs w:val="21"/>
              </w:rPr>
            </w:pPr>
            <w:r>
              <w:rPr>
                <w:rFonts w:hint="eastAsia" w:ascii="Times New Roman" w:hAnsi="Times New Roman" w:eastAsia="宋体" w:cs="Times New Roman"/>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3</w:t>
            </w:r>
          </w:p>
        </w:tc>
        <w:tc>
          <w:tcPr>
            <w:tcW w:w="5046" w:type="dxa"/>
          </w:tcPr>
          <w:p>
            <w:pPr>
              <w:spacing w:line="360" w:lineRule="auto"/>
              <w:rPr>
                <w:rFonts w:hint="default" w:ascii="Times New Roman" w:hAnsi="Times New Roman" w:eastAsia="宋体" w:cs="Times New Roman"/>
                <w:szCs w:val="21"/>
                <w:lang w:val="en-US" w:eastAsia="zh-CN"/>
              </w:rPr>
            </w:pPr>
            <w:r>
              <w:rPr>
                <w:rFonts w:hint="eastAsia" w:ascii="Times New Roman" w:hAnsi="Times New Roman" w:eastAsia="宋体" w:cs="Times New Roman"/>
                <w:bCs/>
                <w:szCs w:val="21"/>
              </w:rPr>
              <w:t>项目名称：</w:t>
            </w:r>
            <w:r>
              <w:rPr>
                <w:rFonts w:hint="eastAsia" w:ascii="Times New Roman" w:hAnsi="Times New Roman" w:eastAsia="宋体" w:cs="Times New Roman"/>
                <w:bCs/>
                <w:szCs w:val="21"/>
                <w:lang w:eastAsia="zh-CN"/>
              </w:rPr>
              <w:t>年产100吨刀片刺绳卡扣及各种配件项目</w:t>
            </w:r>
          </w:p>
        </w:tc>
        <w:tc>
          <w:tcPr>
            <w:tcW w:w="2805" w:type="dxa"/>
            <w:vAlign w:val="center"/>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4</w:t>
            </w:r>
          </w:p>
        </w:tc>
        <w:tc>
          <w:tcPr>
            <w:tcW w:w="5046" w:type="dxa"/>
          </w:tcPr>
          <w:p>
            <w:pPr>
              <w:pStyle w:val="16"/>
              <w:spacing w:line="360" w:lineRule="auto"/>
              <w:ind w:right="-15"/>
              <w:rPr>
                <w:rFonts w:hint="default" w:ascii="Times New Roman" w:hAnsi="Times New Roman" w:eastAsia="宋体" w:cs="Times New Roman"/>
                <w:kern w:val="2"/>
                <w:sz w:val="21"/>
                <w:szCs w:val="21"/>
                <w:lang w:val="en-US" w:bidi="ar-SA"/>
              </w:rPr>
            </w:pPr>
            <w:r>
              <w:rPr>
                <w:rFonts w:hint="eastAsia" w:ascii="宋体" w:hAnsi="宋体" w:eastAsia="宋体" w:cs="宋体"/>
                <w:sz w:val="21"/>
                <w:szCs w:val="21"/>
                <w:lang w:val="en-US" w:eastAsia="zh-CN"/>
              </w:rPr>
              <w:t>项目无废气产生。</w:t>
            </w:r>
          </w:p>
        </w:tc>
        <w:tc>
          <w:tcPr>
            <w:tcW w:w="2805" w:type="dxa"/>
            <w:vAlign w:val="center"/>
          </w:tcPr>
          <w:p>
            <w:pPr>
              <w:pStyle w:val="16"/>
              <w:spacing w:line="360" w:lineRule="auto"/>
              <w:ind w:left="107" w:right="-15" w:firstLine="896" w:firstLineChars="427"/>
              <w:jc w:val="both"/>
              <w:rPr>
                <w:rFonts w:ascii="Times New Roman" w:hAnsi="Times New Roman" w:eastAsia="宋体" w:cs="Times New Roman"/>
                <w:sz w:val="21"/>
                <w:szCs w:val="21"/>
              </w:rPr>
            </w:pPr>
            <w:r>
              <w:rPr>
                <w:rFonts w:hint="eastAsia" w:ascii="Times New Roman" w:hAnsi="Times New Roman" w:eastAsia="宋体" w:cs="Times New Roman"/>
                <w:sz w:val="21"/>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5</w:t>
            </w:r>
          </w:p>
        </w:tc>
        <w:tc>
          <w:tcPr>
            <w:tcW w:w="5046" w:type="dxa"/>
          </w:tcPr>
          <w:p>
            <w:pPr>
              <w:pStyle w:val="16"/>
              <w:spacing w:line="360" w:lineRule="auto"/>
              <w:ind w:right="-15"/>
              <w:rPr>
                <w:rFonts w:ascii="Times New Roman" w:hAnsi="Times New Roman" w:eastAsia="宋体" w:cs="Times New Roman"/>
                <w:color w:val="FF0000"/>
                <w:sz w:val="21"/>
                <w:szCs w:val="21"/>
              </w:rPr>
            </w:pPr>
            <w:r>
              <w:rPr>
                <w:rFonts w:hint="eastAsia" w:ascii="Times New Roman" w:hAnsi="Times New Roman" w:eastAsia="宋体" w:cs="Times New Roman"/>
                <w:kern w:val="2"/>
                <w:sz w:val="21"/>
                <w:szCs w:val="21"/>
                <w:lang w:val="en-US" w:bidi="ar-SA"/>
              </w:rPr>
              <w:t>项目无生产废水排放，生活污水</w:t>
            </w:r>
            <w:r>
              <w:rPr>
                <w:rFonts w:hint="eastAsia" w:ascii="Times New Roman" w:hAnsi="Times New Roman" w:eastAsia="宋体" w:cs="Times New Roman"/>
                <w:kern w:val="2"/>
                <w:sz w:val="21"/>
                <w:szCs w:val="21"/>
                <w:lang w:val="en-US" w:eastAsia="zh-CN" w:bidi="ar-SA"/>
              </w:rPr>
              <w:t>经化粪池处理后定期暗清掏用作农肥</w:t>
            </w:r>
            <w:r>
              <w:rPr>
                <w:rFonts w:hint="eastAsia" w:ascii="Times New Roman" w:hAnsi="Times New Roman" w:eastAsia="宋体" w:cs="Times New Roman"/>
                <w:kern w:val="2"/>
                <w:sz w:val="21"/>
                <w:szCs w:val="21"/>
                <w:lang w:val="en-US" w:bidi="ar-SA"/>
              </w:rPr>
              <w:t>。</w:t>
            </w:r>
          </w:p>
        </w:tc>
        <w:tc>
          <w:tcPr>
            <w:tcW w:w="2805" w:type="dxa"/>
            <w:vAlign w:val="center"/>
          </w:tcPr>
          <w:p>
            <w:pPr>
              <w:pStyle w:val="16"/>
              <w:spacing w:line="360" w:lineRule="auto"/>
              <w:ind w:left="107" w:right="-15" w:firstLine="896" w:firstLineChars="427"/>
              <w:jc w:val="both"/>
              <w:rPr>
                <w:rFonts w:ascii="Times New Roman" w:hAnsi="Times New Roman" w:eastAsia="宋体" w:cs="Times New Roman"/>
                <w:sz w:val="21"/>
                <w:szCs w:val="21"/>
              </w:rPr>
            </w:pPr>
            <w:r>
              <w:rPr>
                <w:rFonts w:hint="eastAsia" w:ascii="Times New Roman" w:hAnsi="Times New Roman" w:eastAsia="宋体" w:cs="Times New Roman"/>
                <w:sz w:val="21"/>
                <w:szCs w:val="21"/>
              </w:rPr>
              <w:t>已落实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6</w:t>
            </w:r>
          </w:p>
        </w:tc>
        <w:tc>
          <w:tcPr>
            <w:tcW w:w="5046" w:type="dxa"/>
          </w:tcPr>
          <w:p>
            <w:pPr>
              <w:spacing w:line="360" w:lineRule="auto"/>
              <w:jc w:val="left"/>
              <w:rPr>
                <w:rFonts w:ascii="Times New Roman" w:hAnsi="Times New Roman" w:eastAsia="宋体" w:cs="Times New Roman"/>
                <w:szCs w:val="21"/>
              </w:rPr>
            </w:pPr>
          </w:p>
          <w:p>
            <w:pPr>
              <w:spacing w:line="360" w:lineRule="auto"/>
              <w:jc w:val="left"/>
              <w:rPr>
                <w:rFonts w:hint="eastAsia" w:ascii="Times New Roman" w:hAnsi="Times New Roman" w:eastAsia="宋体" w:cs="Times New Roman"/>
                <w:color w:val="FF0000"/>
                <w:szCs w:val="21"/>
                <w:lang w:val="en-US" w:eastAsia="zh-CN"/>
              </w:rPr>
            </w:pPr>
            <w:r>
              <w:rPr>
                <w:rFonts w:ascii="Times New Roman" w:hAnsi="Times New Roman" w:eastAsia="宋体" w:cs="Times New Roman"/>
                <w:szCs w:val="21"/>
              </w:rPr>
              <w:t>项目</w:t>
            </w:r>
            <w:r>
              <w:rPr>
                <w:rFonts w:hint="eastAsia" w:ascii="Times New Roman" w:hAnsi="Times New Roman" w:eastAsia="宋体" w:cs="Times New Roman"/>
                <w:szCs w:val="21"/>
              </w:rPr>
              <w:t>对噪声源采取有效措施。</w:t>
            </w:r>
          </w:p>
        </w:tc>
        <w:tc>
          <w:tcPr>
            <w:tcW w:w="2805" w:type="dxa"/>
            <w:vAlign w:val="center"/>
          </w:tcPr>
          <w:p>
            <w:pPr>
              <w:widowControl/>
              <w:spacing w:line="360" w:lineRule="auto"/>
              <w:jc w:val="center"/>
              <w:rPr>
                <w:rFonts w:ascii="Times New Roman" w:hAnsi="Times New Roman" w:eastAsia="宋体" w:cs="Times New Roman"/>
                <w:color w:val="FF0000"/>
                <w:szCs w:val="21"/>
              </w:rPr>
            </w:pPr>
            <w:r>
              <w:rPr>
                <w:rFonts w:hint="eastAsia" w:ascii="Times New Roman" w:hAnsi="Times New Roman" w:eastAsia="宋体" w:cs="Times New Roman"/>
                <w:szCs w:val="21"/>
              </w:rPr>
              <w:t>已落实，《工业企业厂界环境噪声排放标准》（GB12348-2008）2类标准要求。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8" w:type="dxa"/>
            <w:bottom w:w="0" w:type="dxa"/>
            <w:right w:w="28" w:type="dxa"/>
          </w:tblCellMar>
        </w:tblPrEx>
        <w:trPr>
          <w:jc w:val="center"/>
        </w:trPr>
        <w:tc>
          <w:tcPr>
            <w:tcW w:w="511" w:type="dxa"/>
            <w:vAlign w:val="center"/>
          </w:tcPr>
          <w:p>
            <w:pPr>
              <w:adjustRightInd w:val="0"/>
              <w:snapToGrid w:val="0"/>
              <w:spacing w:line="360" w:lineRule="auto"/>
              <w:jc w:val="center"/>
              <w:rPr>
                <w:rFonts w:ascii="宋体" w:hAnsi="宋体" w:eastAsia="宋体" w:cs="Times New Roman"/>
                <w:szCs w:val="21"/>
              </w:rPr>
            </w:pPr>
            <w:r>
              <w:rPr>
                <w:rFonts w:hint="eastAsia" w:ascii="宋体" w:hAnsi="宋体" w:eastAsia="宋体" w:cs="Times New Roman"/>
                <w:szCs w:val="21"/>
              </w:rPr>
              <w:t>7</w:t>
            </w:r>
          </w:p>
        </w:tc>
        <w:tc>
          <w:tcPr>
            <w:tcW w:w="5046" w:type="dxa"/>
          </w:tcPr>
          <w:p>
            <w:pPr>
              <w:spacing w:line="360" w:lineRule="auto"/>
              <w:rPr>
                <w:rFonts w:ascii="Times New Roman" w:hAnsi="Times New Roman" w:eastAsia="宋体" w:cs="Times New Roman"/>
                <w:color w:val="FF0000"/>
                <w:szCs w:val="21"/>
              </w:rPr>
            </w:pPr>
            <w:r>
              <w:rPr>
                <w:rFonts w:ascii="Times New Roman" w:hAnsi="Times New Roman" w:eastAsia="宋体" w:cs="Times New Roman"/>
                <w:szCs w:val="21"/>
              </w:rPr>
              <w:t>固废</w:t>
            </w:r>
            <w:r>
              <w:rPr>
                <w:rFonts w:hint="eastAsia" w:ascii="Times New Roman" w:hAnsi="Times New Roman" w:eastAsia="宋体" w:cs="Times New Roman"/>
                <w:szCs w:val="21"/>
              </w:rPr>
              <w:t>执行《一般工业固体废物贮存、处置场污染控制标准》（GB18599-2001）及其修改单中的相关规定，固废按照报告表提出的措施全部综合利用或妥善处置。</w:t>
            </w:r>
          </w:p>
        </w:tc>
        <w:tc>
          <w:tcPr>
            <w:tcW w:w="2805" w:type="dxa"/>
            <w:vAlign w:val="center"/>
          </w:tcPr>
          <w:p>
            <w:pPr>
              <w:spacing w:line="360" w:lineRule="auto"/>
              <w:jc w:val="center"/>
              <w:rPr>
                <w:szCs w:val="21"/>
              </w:rPr>
            </w:pPr>
            <w:r>
              <w:rPr>
                <w:rFonts w:hint="eastAsia" w:ascii="Times New Roman" w:hAnsi="Times New Roman" w:eastAsia="宋体" w:cs="Times New Roman"/>
                <w:szCs w:val="21"/>
              </w:rPr>
              <w:t>已落实</w:t>
            </w:r>
          </w:p>
        </w:tc>
      </w:tr>
    </w:tbl>
    <w:p>
      <w:pPr>
        <w:adjustRightInd w:val="0"/>
        <w:snapToGrid w:val="0"/>
        <w:spacing w:line="360" w:lineRule="auto"/>
        <w:rPr>
          <w:rFonts w:ascii="Times New Roman" w:hAnsi="Times New Roman"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5"/>
        <w:adjustRightInd w:val="0"/>
        <w:snapToGrid w:val="0"/>
        <w:spacing w:line="360" w:lineRule="auto"/>
        <w:rPr>
          <w:rFonts w:ascii="Times New Roman" w:hAnsi="Times New Roman" w:cs="Times New Roman"/>
        </w:rPr>
      </w:pPr>
      <w:bookmarkStart w:id="105" w:name="_Toc31094_WPSOffice_Level1"/>
      <w:r>
        <w:rPr>
          <w:rFonts w:ascii="Times New Roman" w:hAnsi="Times New Roman" w:cs="Times New Roman"/>
        </w:rPr>
        <w:t>5 验收评价标准</w:t>
      </w:r>
      <w:bookmarkEnd w:id="105"/>
    </w:p>
    <w:p>
      <w:pPr>
        <w:pStyle w:val="6"/>
        <w:adjustRightInd w:val="0"/>
        <w:snapToGrid w:val="0"/>
        <w:spacing w:line="360" w:lineRule="auto"/>
        <w:rPr>
          <w:rFonts w:ascii="Times New Roman" w:hAnsi="Times New Roman" w:cs="Times New Roman"/>
        </w:rPr>
      </w:pPr>
      <w:bookmarkStart w:id="106" w:name="_Toc10418_WPSOffice_Level2"/>
      <w:r>
        <w:rPr>
          <w:rFonts w:ascii="Times New Roman" w:hAnsi="Times New Roman" w:cs="Times New Roman"/>
        </w:rPr>
        <w:t>5.1 污染物排放标准</w:t>
      </w:r>
      <w:bookmarkEnd w:id="106"/>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（1）废气</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000000"/>
          <w:sz w:val="24"/>
          <w:szCs w:val="24"/>
          <w:lang w:val="en-US" w:eastAsia="zh-CN"/>
        </w:rPr>
      </w:pPr>
      <w:r>
        <w:rPr>
          <w:rFonts w:hint="default" w:ascii="Times New Roman" w:hAnsi="Times New Roman" w:eastAsia="宋体" w:cs="Times New Roman"/>
          <w:sz w:val="24"/>
          <w:szCs w:val="24"/>
          <w:lang w:eastAsia="zh-CN"/>
        </w:rPr>
        <w:t>该项目</w:t>
      </w:r>
      <w:r>
        <w:rPr>
          <w:rFonts w:hint="eastAsia" w:ascii="Times New Roman" w:hAnsi="Times New Roman" w:eastAsia="宋体" w:cs="Times New Roman"/>
          <w:sz w:val="24"/>
          <w:szCs w:val="24"/>
          <w:lang w:val="en-US" w:eastAsia="zh-CN"/>
        </w:rPr>
        <w:t>无废气产生</w:t>
      </w:r>
      <w:r>
        <w:rPr>
          <w:rFonts w:hint="default" w:ascii="Times New Roman" w:hAnsi="Times New Roman" w:eastAsia="宋体" w:cs="Times New Roman"/>
          <w:color w:val="000000"/>
          <w:sz w:val="24"/>
          <w:szCs w:val="24"/>
          <w:lang w:val="en-US" w:eastAsia="zh-CN"/>
        </w:rPr>
        <w:t>。</w:t>
      </w:r>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（2）噪声：</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ascii="Times New Roman" w:hAnsi="Times New Roman" w:eastAsia="宋体" w:cs="Times New Roman"/>
          <w:sz w:val="24"/>
          <w:szCs w:val="24"/>
        </w:rPr>
      </w:pPr>
      <w:r>
        <w:rPr>
          <w:rFonts w:hint="eastAsia" w:ascii="Times New Roman" w:hAnsi="Times New Roman" w:eastAsia="宋体" w:cs="Times New Roman"/>
          <w:sz w:val="24"/>
          <w:szCs w:val="24"/>
        </w:rPr>
        <w:t>厂界噪声执行《工业企业厂界环境噪声排放标准》（</w:t>
      </w:r>
      <w:r>
        <w:rPr>
          <w:rFonts w:ascii="Times New Roman" w:hAnsi="Times New Roman" w:eastAsia="宋体" w:cs="Times New Roman"/>
          <w:sz w:val="24"/>
          <w:szCs w:val="24"/>
        </w:rPr>
        <w:t>GB12348-2008）中的</w:t>
      </w:r>
      <w:r>
        <w:rPr>
          <w:rFonts w:hint="eastAsia" w:ascii="Times New Roman" w:hAnsi="Times New Roman" w:eastAsia="宋体" w:cs="Times New Roman"/>
          <w:sz w:val="24"/>
          <w:szCs w:val="24"/>
        </w:rPr>
        <w:t>2</w:t>
      </w:r>
      <w:r>
        <w:rPr>
          <w:rFonts w:ascii="Times New Roman" w:hAnsi="Times New Roman" w:eastAsia="宋体" w:cs="Times New Roman"/>
          <w:sz w:val="24"/>
          <w:szCs w:val="24"/>
        </w:rPr>
        <w:t>类标准。</w:t>
      </w:r>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w:t>
      </w:r>
      <w:r>
        <w:rPr>
          <w:rFonts w:hint="eastAsia" w:ascii="Times New Roman" w:hAnsi="Times New Roman" w:eastAsia="宋体" w:cs="Times New Roman"/>
          <w:b/>
          <w:sz w:val="24"/>
          <w:szCs w:val="24"/>
        </w:rPr>
        <w:t>5-1</w:t>
      </w:r>
      <w:r>
        <w:rPr>
          <w:rFonts w:ascii="Times New Roman" w:hAnsi="Times New Roman" w:eastAsia="宋体" w:cs="Times New Roman"/>
          <w:b/>
          <w:sz w:val="24"/>
          <w:szCs w:val="24"/>
        </w:rPr>
        <w:t xml:space="preserve">  噪声排放执行标准（单位：dB（A））</w:t>
      </w:r>
    </w:p>
    <w:tbl>
      <w:tblPr>
        <w:tblStyle w:val="11"/>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30"/>
        <w:gridCol w:w="3049"/>
        <w:gridCol w:w="40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jc w:val="center"/>
        </w:trPr>
        <w:tc>
          <w:tcPr>
            <w:tcW w:w="1430" w:type="dxa"/>
            <w:vMerge w:val="restart"/>
            <w:tcBorders>
              <w:bottom w:val="single" w:color="auto" w:sz="4" w:space="0"/>
              <w:right w:val="single" w:color="auto" w:sz="4" w:space="0"/>
            </w:tcBorders>
            <w:shd w:val="clear" w:color="auto" w:fill="auto"/>
            <w:vAlign w:val="center"/>
          </w:tcPr>
          <w:p>
            <w:pPr>
              <w:pStyle w:val="16"/>
              <w:spacing w:line="360" w:lineRule="auto"/>
              <w:ind w:left="107" w:right="-15"/>
              <w:jc w:val="center"/>
              <w:rPr>
                <w:rFonts w:ascii="Times New Roman" w:hAnsi="Times New Roman" w:eastAsia="宋体" w:cs="Times New Roman"/>
                <w:kern w:val="2"/>
                <w:sz w:val="21"/>
                <w:szCs w:val="21"/>
                <w:lang w:val="en-US" w:bidi="ar-SA"/>
              </w:rPr>
            </w:pPr>
            <w:r>
              <w:rPr>
                <w:rFonts w:ascii="Times New Roman" w:hAnsi="Times New Roman" w:eastAsia="宋体" w:cs="Times New Roman"/>
                <w:kern w:val="2"/>
                <w:sz w:val="21"/>
                <w:szCs w:val="21"/>
                <w:lang w:val="en-US" w:bidi="ar-SA"/>
              </w:rPr>
              <w:t>环境要素</w:t>
            </w:r>
          </w:p>
        </w:tc>
        <w:tc>
          <w:tcPr>
            <w:tcW w:w="3049" w:type="dxa"/>
            <w:tcBorders>
              <w:left w:val="single" w:color="auto" w:sz="4" w:space="0"/>
              <w:bottom w:val="single" w:color="auto" w:sz="4" w:space="0"/>
              <w:right w:val="single" w:color="auto" w:sz="4" w:space="0"/>
            </w:tcBorders>
            <w:vAlign w:val="center"/>
          </w:tcPr>
          <w:p>
            <w:pPr>
              <w:pStyle w:val="16"/>
              <w:spacing w:line="360" w:lineRule="auto"/>
              <w:ind w:left="107" w:right="-15"/>
              <w:jc w:val="center"/>
              <w:rPr>
                <w:rFonts w:ascii="Times New Roman" w:hAnsi="Times New Roman" w:eastAsia="宋体" w:cs="Times New Roman"/>
                <w:kern w:val="2"/>
                <w:sz w:val="21"/>
                <w:szCs w:val="21"/>
                <w:lang w:val="en-US" w:bidi="ar-SA"/>
              </w:rPr>
            </w:pPr>
            <w:r>
              <w:rPr>
                <w:rFonts w:ascii="Times New Roman" w:hAnsi="Times New Roman" w:eastAsia="宋体" w:cs="Times New Roman"/>
                <w:kern w:val="2"/>
                <w:sz w:val="21"/>
                <w:szCs w:val="21"/>
                <w:lang w:val="en-US" w:bidi="ar-SA"/>
              </w:rPr>
              <w:t>标准值</w:t>
            </w:r>
          </w:p>
        </w:tc>
        <w:tc>
          <w:tcPr>
            <w:tcW w:w="4043" w:type="dxa"/>
            <w:tcBorders>
              <w:left w:val="single" w:color="auto" w:sz="4" w:space="0"/>
              <w:bottom w:val="single" w:color="auto" w:sz="4" w:space="0"/>
            </w:tcBorders>
            <w:vAlign w:val="center"/>
          </w:tcPr>
          <w:p>
            <w:pPr>
              <w:pStyle w:val="16"/>
              <w:spacing w:line="360" w:lineRule="auto"/>
              <w:ind w:left="107" w:right="-15"/>
              <w:jc w:val="center"/>
              <w:rPr>
                <w:rFonts w:ascii="Times New Roman" w:hAnsi="Times New Roman" w:eastAsia="宋体" w:cs="Times New Roman"/>
                <w:kern w:val="2"/>
                <w:sz w:val="21"/>
                <w:szCs w:val="21"/>
                <w:lang w:val="en-US" w:bidi="ar-SA"/>
              </w:rPr>
            </w:pPr>
            <w:r>
              <w:rPr>
                <w:rFonts w:ascii="Times New Roman" w:hAnsi="Times New Roman" w:eastAsia="宋体" w:cs="Times New Roman"/>
                <w:kern w:val="2"/>
                <w:sz w:val="21"/>
                <w:szCs w:val="21"/>
                <w:lang w:val="en-US" w:bidi="ar-SA"/>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5" w:hRule="atLeast"/>
          <w:jc w:val="center"/>
        </w:trPr>
        <w:tc>
          <w:tcPr>
            <w:tcW w:w="1430" w:type="dxa"/>
            <w:shd w:val="clear" w:color="auto" w:fill="auto"/>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噪声</w:t>
            </w:r>
          </w:p>
        </w:tc>
        <w:tc>
          <w:tcPr>
            <w:tcW w:w="3049"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昼间：6</w:t>
            </w:r>
            <w:r>
              <w:rPr>
                <w:rFonts w:hint="eastAsia" w:ascii="Times New Roman" w:hAnsi="Times New Roman" w:eastAsia="宋体" w:cs="Times New Roman"/>
                <w:spacing w:val="-10"/>
                <w:szCs w:val="21"/>
              </w:rPr>
              <w:t>0</w:t>
            </w:r>
            <w:r>
              <w:rPr>
                <w:rFonts w:ascii="Times New Roman" w:hAnsi="Times New Roman" w:eastAsia="宋体" w:cs="Times New Roman"/>
                <w:spacing w:val="-10"/>
                <w:szCs w:val="21"/>
              </w:rPr>
              <w:t>dB(A)</w:t>
            </w:r>
          </w:p>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夜间：5</w:t>
            </w:r>
            <w:r>
              <w:rPr>
                <w:rFonts w:hint="eastAsia" w:ascii="Times New Roman" w:hAnsi="Times New Roman" w:eastAsia="宋体" w:cs="Times New Roman"/>
                <w:spacing w:val="-10"/>
                <w:szCs w:val="21"/>
              </w:rPr>
              <w:t>0</w:t>
            </w:r>
            <w:r>
              <w:rPr>
                <w:rFonts w:ascii="Times New Roman" w:hAnsi="Times New Roman" w:eastAsia="宋体" w:cs="Times New Roman"/>
                <w:spacing w:val="-10"/>
                <w:szCs w:val="21"/>
              </w:rPr>
              <w:t>dB(A)</w:t>
            </w:r>
          </w:p>
        </w:tc>
        <w:tc>
          <w:tcPr>
            <w:tcW w:w="4043" w:type="dxa"/>
            <w:vAlign w:val="center"/>
          </w:tcPr>
          <w:p>
            <w:pPr>
              <w:adjustRightInd w:val="0"/>
              <w:snapToGrid w:val="0"/>
              <w:spacing w:line="360" w:lineRule="auto"/>
              <w:jc w:val="center"/>
              <w:rPr>
                <w:rFonts w:ascii="Times New Roman" w:hAnsi="Times New Roman" w:eastAsia="宋体" w:cs="Times New Roman"/>
                <w:spacing w:val="-10"/>
                <w:szCs w:val="21"/>
              </w:rPr>
            </w:pPr>
            <w:r>
              <w:rPr>
                <w:rFonts w:ascii="Times New Roman" w:hAnsi="Times New Roman" w:eastAsia="宋体" w:cs="Times New Roman"/>
                <w:spacing w:val="-10"/>
                <w:szCs w:val="21"/>
              </w:rPr>
              <w:t>《工业企业厂界环境噪声排放标准》（GB12348-2008）的</w:t>
            </w:r>
            <w:r>
              <w:rPr>
                <w:rFonts w:hint="eastAsia" w:ascii="Times New Roman" w:hAnsi="Times New Roman" w:eastAsia="宋体" w:cs="Times New Roman"/>
                <w:spacing w:val="-10"/>
                <w:szCs w:val="21"/>
              </w:rPr>
              <w:t>2</w:t>
            </w:r>
            <w:r>
              <w:rPr>
                <w:rFonts w:ascii="Times New Roman" w:hAnsi="Times New Roman" w:eastAsia="宋体" w:cs="Times New Roman"/>
                <w:spacing w:val="-10"/>
                <w:szCs w:val="21"/>
              </w:rPr>
              <w:t>类声环境功能区标准</w:t>
            </w:r>
          </w:p>
        </w:tc>
      </w:tr>
    </w:tbl>
    <w:p>
      <w:pPr>
        <w:adjustRightInd w:val="0"/>
        <w:snapToGrid w:val="0"/>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rPr>
        <w:t xml:space="preserve">   </w:t>
      </w:r>
      <w:r>
        <w:rPr>
          <w:rFonts w:ascii="Times New Roman" w:hAnsi="Times New Roman" w:eastAsia="宋体" w:cs="Times New Roman"/>
          <w:sz w:val="24"/>
          <w:szCs w:val="24"/>
        </w:rPr>
        <w:t>（3）</w:t>
      </w:r>
      <w:r>
        <w:rPr>
          <w:rFonts w:hint="eastAsia" w:ascii="Times New Roman" w:hAnsi="Times New Roman" w:eastAsia="宋体" w:cs="Times New Roman"/>
          <w:bCs/>
          <w:sz w:val="24"/>
          <w:szCs w:val="24"/>
        </w:rPr>
        <w:t>固体废物执行《一般工业固体废物贮存、处置场污染控制标准》（GB18599-2001）及修改单中标准要求</w:t>
      </w:r>
      <w:r>
        <w:rPr>
          <w:rFonts w:hint="eastAsia" w:ascii="Times New Roman" w:hAnsi="Times New Roman" w:eastAsia="宋体" w:cs="Times New Roman"/>
          <w:sz w:val="24"/>
          <w:szCs w:val="24"/>
        </w:rPr>
        <w:t>。</w:t>
      </w:r>
    </w:p>
    <w:p>
      <w:pPr>
        <w:pStyle w:val="6"/>
        <w:adjustRightInd w:val="0"/>
        <w:snapToGrid w:val="0"/>
        <w:spacing w:line="360" w:lineRule="auto"/>
        <w:rPr>
          <w:rFonts w:ascii="Times New Roman" w:hAnsi="Times New Roman" w:cs="Times New Roman"/>
        </w:rPr>
      </w:pPr>
      <w:bookmarkStart w:id="107" w:name="_Toc32174_WPSOffice_Level2"/>
      <w:r>
        <w:rPr>
          <w:rFonts w:ascii="Times New Roman" w:hAnsi="Times New Roman" w:cs="Times New Roman"/>
        </w:rPr>
        <w:t>5.2 总量控制指标</w:t>
      </w:r>
      <w:bookmarkEnd w:id="107"/>
    </w:p>
    <w:p>
      <w:pPr>
        <w:adjustRightInd w:val="0"/>
        <w:snapToGrid w:val="0"/>
        <w:spacing w:line="360" w:lineRule="auto"/>
        <w:ind w:firstLine="480" w:firstLineChars="200"/>
        <w:rPr>
          <w:rFonts w:ascii="Times New Roman" w:hAnsi="Times New Roman" w:eastAsia="宋体" w:cs="Times New Roman"/>
          <w:sz w:val="24"/>
        </w:rPr>
      </w:pPr>
      <w:r>
        <w:rPr>
          <w:rFonts w:ascii="Times New Roman" w:hAnsi="宋体" w:eastAsia="宋体" w:cs="Times New Roman"/>
          <w:sz w:val="24"/>
        </w:rPr>
        <w:t>根据国家相关规定和河北省环境保护厅《关于进一步改革和优化建设项目主要污染物排放总量核定工作的通知》（冀环总〔</w:t>
      </w:r>
      <w:r>
        <w:rPr>
          <w:rFonts w:ascii="Times New Roman" w:hAnsi="Times New Roman" w:eastAsia="宋体" w:cs="Times New Roman"/>
          <w:sz w:val="24"/>
        </w:rPr>
        <w:t>2014</w:t>
      </w:r>
      <w:r>
        <w:rPr>
          <w:rFonts w:ascii="Times New Roman" w:hAnsi="宋体" w:eastAsia="宋体" w:cs="Times New Roman"/>
          <w:sz w:val="24"/>
        </w:rPr>
        <w:t>〕</w:t>
      </w:r>
      <w:r>
        <w:rPr>
          <w:rFonts w:ascii="Times New Roman" w:hAnsi="Times New Roman" w:eastAsia="宋体" w:cs="Times New Roman"/>
          <w:sz w:val="24"/>
        </w:rPr>
        <w:t>283</w:t>
      </w:r>
      <w:r>
        <w:rPr>
          <w:rFonts w:ascii="Times New Roman" w:hAnsi="宋体" w:eastAsia="宋体" w:cs="Times New Roman"/>
          <w:sz w:val="24"/>
        </w:rPr>
        <w:t>号）文件规定</w:t>
      </w:r>
      <w:r>
        <w:rPr>
          <w:rFonts w:hint="eastAsia" w:ascii="Times New Roman" w:hAnsi="宋体" w:eastAsia="宋体" w:cs="Times New Roman"/>
          <w:sz w:val="24"/>
        </w:rPr>
        <w:t>：</w:t>
      </w:r>
      <w:r>
        <w:rPr>
          <w:rFonts w:hint="eastAsia" w:ascii="Times New Roman" w:hAnsi="Times New Roman" w:eastAsia="宋体" w:cs="Times New Roman"/>
          <w:sz w:val="24"/>
        </w:rPr>
        <w:t>“</w:t>
      </w:r>
      <w:r>
        <w:rPr>
          <w:rFonts w:ascii="Times New Roman" w:hAnsi="宋体" w:eastAsia="宋体" w:cs="Times New Roman"/>
          <w:sz w:val="24"/>
        </w:rPr>
        <w:t>总量指标核定依照国家或地方污染物排放标准核定</w:t>
      </w:r>
      <w:r>
        <w:rPr>
          <w:rFonts w:hint="eastAsia" w:ascii="Times New Roman" w:hAnsi="Times New Roman" w:eastAsia="宋体" w:cs="Times New Roman"/>
          <w:sz w:val="24"/>
        </w:rPr>
        <w:t>”</w:t>
      </w:r>
      <w:r>
        <w:rPr>
          <w:rFonts w:ascii="Times New Roman" w:hAnsi="宋体" w:eastAsia="宋体" w:cs="Times New Roman"/>
          <w:sz w:val="24"/>
        </w:rPr>
        <w:t>，结合本项目特点及排污特征，确定本工程污染物总量控制因子为</w:t>
      </w:r>
      <w:r>
        <w:rPr>
          <w:rFonts w:ascii="Times New Roman" w:hAnsi="Times New Roman" w:eastAsia="宋体" w:cs="Times New Roman"/>
          <w:sz w:val="24"/>
        </w:rPr>
        <w:t>COD</w:t>
      </w:r>
      <w:r>
        <w:rPr>
          <w:rFonts w:ascii="Times New Roman" w:hAnsi="宋体" w:eastAsia="宋体" w:cs="Times New Roman"/>
          <w:sz w:val="24"/>
        </w:rPr>
        <w:t>、氨氮、</w:t>
      </w:r>
      <w:r>
        <w:rPr>
          <w:rFonts w:ascii="Times New Roman" w:hAnsi="Times New Roman" w:eastAsia="宋体" w:cs="Times New Roman"/>
          <w:sz w:val="24"/>
        </w:rPr>
        <w:t>SO</w:t>
      </w:r>
      <w:r>
        <w:rPr>
          <w:rFonts w:ascii="Times New Roman" w:hAnsi="Times New Roman" w:eastAsia="宋体" w:cs="Times New Roman"/>
          <w:sz w:val="24"/>
          <w:vertAlign w:val="subscript"/>
        </w:rPr>
        <w:t>2</w:t>
      </w:r>
      <w:r>
        <w:rPr>
          <w:rFonts w:ascii="Times New Roman" w:hAnsi="宋体" w:eastAsia="宋体" w:cs="Times New Roman"/>
          <w:sz w:val="24"/>
        </w:rPr>
        <w:t>、</w:t>
      </w:r>
      <w:r>
        <w:rPr>
          <w:rFonts w:ascii="Times New Roman" w:hAnsi="Times New Roman" w:eastAsia="宋体" w:cs="Times New Roman"/>
          <w:sz w:val="24"/>
        </w:rPr>
        <w:t>NOx</w:t>
      </w:r>
      <w:r>
        <w:rPr>
          <w:rFonts w:ascii="Times New Roman" w:hAnsi="宋体" w:eastAsia="宋体" w:cs="Times New Roman"/>
          <w:sz w:val="24"/>
        </w:rPr>
        <w:t>。污染物排放总量的确定遵循达标排放的原则，评价建议以环评核算的总量作为控制指标值，总量指标为：</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COD</w:t>
      </w:r>
      <w:r>
        <w:rPr>
          <w:rFonts w:ascii="Times New Roman" w:hAnsi="宋体" w:eastAsia="宋体" w:cs="Times New Roman"/>
          <w:sz w:val="24"/>
        </w:rPr>
        <w:t>：</w:t>
      </w:r>
      <w:r>
        <w:rPr>
          <w:rFonts w:ascii="Times New Roman" w:hAnsi="Times New Roman" w:eastAsia="宋体" w:cs="Times New Roman"/>
          <w:sz w:val="24"/>
        </w:rPr>
        <w:t>0t/a</w:t>
      </w:r>
      <w:r>
        <w:rPr>
          <w:rFonts w:ascii="Times New Roman" w:hAnsi="宋体" w:eastAsia="宋体" w:cs="Times New Roman"/>
          <w:sz w:val="24"/>
        </w:rPr>
        <w:t>；氨氮：</w:t>
      </w:r>
      <w:r>
        <w:rPr>
          <w:rFonts w:ascii="Times New Roman" w:hAnsi="Times New Roman" w:eastAsia="宋体" w:cs="Times New Roman"/>
          <w:sz w:val="24"/>
        </w:rPr>
        <w:t>0t/a</w:t>
      </w:r>
      <w:r>
        <w:rPr>
          <w:rFonts w:ascii="Times New Roman" w:hAnsi="宋体" w:eastAsia="宋体" w:cs="Times New Roman"/>
          <w:sz w:val="24"/>
        </w:rPr>
        <w:t>；</w:t>
      </w:r>
      <w:r>
        <w:rPr>
          <w:rFonts w:ascii="Times New Roman" w:hAnsi="Times New Roman" w:eastAsia="宋体" w:cs="Times New Roman"/>
          <w:sz w:val="24"/>
        </w:rPr>
        <w:t>SO</w:t>
      </w:r>
      <w:r>
        <w:rPr>
          <w:rFonts w:ascii="Times New Roman" w:hAnsi="Times New Roman" w:eastAsia="宋体" w:cs="Times New Roman"/>
          <w:sz w:val="24"/>
          <w:vertAlign w:val="subscript"/>
        </w:rPr>
        <w:t>2</w:t>
      </w:r>
      <w:r>
        <w:rPr>
          <w:rFonts w:ascii="Times New Roman" w:hAnsi="宋体" w:eastAsia="宋体" w:cs="Times New Roman"/>
          <w:sz w:val="24"/>
        </w:rPr>
        <w:t>：</w:t>
      </w:r>
      <w:r>
        <w:rPr>
          <w:rFonts w:ascii="Times New Roman" w:hAnsi="Times New Roman" w:eastAsia="宋体" w:cs="Times New Roman"/>
          <w:sz w:val="24"/>
        </w:rPr>
        <w:t>0t/a</w:t>
      </w:r>
      <w:r>
        <w:rPr>
          <w:rFonts w:ascii="Times New Roman" w:hAnsi="宋体" w:eastAsia="宋体" w:cs="Times New Roman"/>
          <w:sz w:val="24"/>
        </w:rPr>
        <w:t>；</w:t>
      </w:r>
      <w:r>
        <w:rPr>
          <w:rFonts w:ascii="Times New Roman" w:hAnsi="Times New Roman" w:eastAsia="宋体" w:cs="Times New Roman"/>
          <w:sz w:val="24"/>
        </w:rPr>
        <w:t>NOx</w:t>
      </w:r>
      <w:r>
        <w:rPr>
          <w:rFonts w:ascii="Times New Roman" w:hAnsi="宋体" w:eastAsia="宋体" w:cs="Times New Roman"/>
          <w:sz w:val="24"/>
        </w:rPr>
        <w:t>：</w:t>
      </w:r>
      <w:r>
        <w:rPr>
          <w:rFonts w:ascii="Times New Roman" w:hAnsi="Times New Roman" w:eastAsia="宋体" w:cs="Times New Roman"/>
          <w:sz w:val="24"/>
        </w:rPr>
        <w:t>0t/a</w:t>
      </w:r>
    </w:p>
    <w:p>
      <w:pPr>
        <w:widowControl/>
        <w:jc w:val="left"/>
        <w:rPr>
          <w:rFonts w:ascii="Times New Roman" w:hAnsi="Times New Roman" w:eastAsia="宋体" w:cs="Times New Roman"/>
          <w:b/>
          <w:sz w:val="30"/>
          <w:szCs w:val="30"/>
        </w:rPr>
      </w:pPr>
      <w:r>
        <w:rPr>
          <w:rFonts w:ascii="Times New Roman" w:hAnsi="Times New Roman" w:cs="Times New Roman"/>
        </w:rPr>
        <w:br w:type="page"/>
      </w:r>
    </w:p>
    <w:p>
      <w:pPr>
        <w:pStyle w:val="5"/>
        <w:adjustRightInd w:val="0"/>
        <w:snapToGrid w:val="0"/>
        <w:spacing w:line="360" w:lineRule="auto"/>
        <w:rPr>
          <w:rFonts w:ascii="Times New Roman" w:hAnsi="Times New Roman" w:cs="Times New Roman"/>
        </w:rPr>
      </w:pPr>
      <w:bookmarkStart w:id="108" w:name="_Toc32678_WPSOffice_Level1"/>
      <w:r>
        <w:rPr>
          <w:rFonts w:ascii="Times New Roman" w:hAnsi="Times New Roman" w:cs="Times New Roman"/>
        </w:rPr>
        <w:t>6 质量保障措施和检测分析方法</w:t>
      </w:r>
      <w:bookmarkEnd w:id="108"/>
    </w:p>
    <w:p>
      <w:pPr>
        <w:adjustRightInd w:val="0"/>
        <w:snapToGrid w:val="0"/>
        <w:spacing w:line="360" w:lineRule="auto"/>
        <w:ind w:firstLine="480" w:firstLineChars="200"/>
        <w:rPr>
          <w:rFonts w:ascii="Times New Roman" w:hAnsi="Times New Roman" w:eastAsia="宋体" w:cs="Times New Roman"/>
          <w:color w:val="000000" w:themeColor="text1"/>
          <w:sz w:val="24"/>
          <w:szCs w:val="24"/>
          <w14:textFill>
            <w14:solidFill>
              <w14:schemeClr w14:val="tx1"/>
            </w14:solidFill>
          </w14:textFill>
        </w:rPr>
      </w:pPr>
      <w:r>
        <w:rPr>
          <w:rFonts w:hint="eastAsia" w:ascii="Times New Roman" w:hAnsi="Times New Roman" w:eastAsia="宋体" w:cs="Times New Roman"/>
          <w:color w:val="000000" w:themeColor="text1"/>
          <w:sz w:val="24"/>
          <w:szCs w:val="24"/>
          <w:lang w:eastAsia="zh-CN"/>
          <w14:textFill>
            <w14:solidFill>
              <w14:schemeClr w14:val="tx1"/>
            </w14:solidFill>
          </w14:textFill>
        </w:rPr>
        <w:t>河北海蓝环境检测服务有限公司</w:t>
      </w:r>
      <w:r>
        <w:rPr>
          <w:rFonts w:ascii="Times New Roman" w:hAnsi="Times New Roman" w:eastAsia="宋体" w:cs="Times New Roman"/>
          <w:color w:val="000000" w:themeColor="text1"/>
          <w:sz w:val="24"/>
          <w:szCs w:val="24"/>
          <w14:textFill>
            <w14:solidFill>
              <w14:schemeClr w14:val="tx1"/>
            </w14:solidFill>
          </w14:textFill>
        </w:rPr>
        <w:t>于201</w:t>
      </w:r>
      <w:r>
        <w:rPr>
          <w:rFonts w:hint="eastAsia" w:ascii="Times New Roman" w:hAnsi="Times New Roman" w:eastAsia="宋体" w:cs="Times New Roman"/>
          <w:color w:val="000000" w:themeColor="text1"/>
          <w:sz w:val="24"/>
          <w:szCs w:val="24"/>
          <w14:textFill>
            <w14:solidFill>
              <w14:schemeClr w14:val="tx1"/>
            </w14:solidFill>
          </w14:textFill>
        </w:rPr>
        <w:t>9</w:t>
      </w:r>
      <w:r>
        <w:rPr>
          <w:rFonts w:ascii="Times New Roman" w:hAnsi="Times New Roman" w:eastAsia="宋体" w:cs="Times New Roman"/>
          <w:color w:val="000000" w:themeColor="text1"/>
          <w:sz w:val="24"/>
          <w:szCs w:val="24"/>
          <w14:textFill>
            <w14:solidFill>
              <w14:schemeClr w14:val="tx1"/>
            </w14:solidFill>
          </w14:textFill>
        </w:rPr>
        <w:t>年</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11</w:t>
      </w:r>
      <w:r>
        <w:rPr>
          <w:rFonts w:ascii="Times New Roman" w:hAnsi="Times New Roman" w:eastAsia="宋体" w:cs="Times New Roman"/>
          <w:color w:val="000000" w:themeColor="text1"/>
          <w:sz w:val="24"/>
          <w:szCs w:val="24"/>
          <w14:textFill>
            <w14:solidFill>
              <w14:schemeClr w14:val="tx1"/>
            </w14:solidFill>
          </w14:textFill>
        </w:rPr>
        <w:t>月</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ascii="Times New Roman" w:hAnsi="Times New Roman" w:eastAsia="宋体" w:cs="Times New Roman"/>
          <w:color w:val="000000" w:themeColor="text1"/>
          <w:sz w:val="24"/>
          <w:szCs w:val="24"/>
          <w14:textFill>
            <w14:solidFill>
              <w14:schemeClr w14:val="tx1"/>
            </w14:solidFill>
          </w14:textFill>
        </w:rPr>
        <w:t>日至</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2</w:t>
      </w:r>
      <w:r>
        <w:rPr>
          <w:rFonts w:ascii="Times New Roman" w:hAnsi="Times New Roman" w:eastAsia="宋体" w:cs="Times New Roman"/>
          <w:color w:val="000000" w:themeColor="text1"/>
          <w:sz w:val="24"/>
          <w:szCs w:val="24"/>
          <w14:textFill>
            <w14:solidFill>
              <w14:schemeClr w14:val="tx1"/>
            </w14:solidFill>
          </w14:textFill>
        </w:rPr>
        <w:t>日进行了竣工验收检测并出具检测报告。监测期间，企业生产</w:t>
      </w:r>
      <w:r>
        <w:rPr>
          <w:rFonts w:hint="eastAsia" w:ascii="Times New Roman" w:hAnsi="Times New Roman" w:eastAsia="宋体" w:cs="Times New Roman"/>
          <w:color w:val="000000" w:themeColor="text1"/>
          <w:sz w:val="24"/>
          <w:szCs w:val="24"/>
          <w14:textFill>
            <w14:solidFill>
              <w14:schemeClr w14:val="tx1"/>
            </w14:solidFill>
          </w14:textFill>
        </w:rPr>
        <w:t>正常</w:t>
      </w:r>
      <w:r>
        <w:rPr>
          <w:rFonts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14:textFill>
            <w14:solidFill>
              <w14:schemeClr w14:val="tx1"/>
            </w14:solidFill>
          </w14:textFill>
        </w:rPr>
        <w:t>运行</w:t>
      </w:r>
      <w:bookmarkStart w:id="135" w:name="_GoBack"/>
      <w:r>
        <w:rPr>
          <w:rFonts w:hint="eastAsia" w:ascii="Times New Roman" w:hAnsi="Times New Roman" w:eastAsia="宋体" w:cs="Times New Roman"/>
          <w:color w:val="000000" w:themeColor="text1"/>
          <w:sz w:val="24"/>
          <w:szCs w:val="24"/>
          <w14:textFill>
            <w14:solidFill>
              <w14:schemeClr w14:val="tx1"/>
            </w14:solidFill>
          </w14:textFill>
        </w:rPr>
        <w:t>负荷</w:t>
      </w:r>
      <w:bookmarkEnd w:id="135"/>
      <w:r>
        <w:rPr>
          <w:rFonts w:hint="eastAsia" w:ascii="Times New Roman" w:hAnsi="Times New Roman" w:eastAsia="宋体" w:cs="Times New Roman"/>
          <w:color w:val="000000" w:themeColor="text1"/>
          <w:sz w:val="24"/>
          <w:szCs w:val="24"/>
          <w:lang w:val="en-US" w:eastAsia="zh-CN"/>
          <w14:textFill>
            <w14:solidFill>
              <w14:schemeClr w14:val="tx1"/>
            </w14:solidFill>
          </w14:textFill>
        </w:rPr>
        <w:t>90</w:t>
      </w:r>
      <w:r>
        <w:rPr>
          <w:rFonts w:hint="eastAsia" w:ascii="Times New Roman" w:hAnsi="Times New Roman" w:eastAsia="宋体" w:cs="Times New Roman"/>
          <w:color w:val="000000" w:themeColor="text1"/>
          <w:sz w:val="24"/>
          <w:szCs w:val="24"/>
          <w14:textFill>
            <w14:solidFill>
              <w14:schemeClr w14:val="tx1"/>
            </w14:solidFill>
          </w14:textFill>
        </w:rPr>
        <w:t>%，</w:t>
      </w:r>
      <w:r>
        <w:rPr>
          <w:rFonts w:hint="eastAsia" w:ascii="Times New Roman" w:hAnsi="Times New Roman" w:eastAsia="宋体" w:cs="Times New Roman"/>
          <w:color w:val="000000" w:themeColor="text1"/>
          <w:sz w:val="24"/>
          <w:szCs w:val="24"/>
          <w:lang w:eastAsia="zh-CN"/>
          <w14:textFill>
            <w14:solidFill>
              <w14:schemeClr w14:val="tx1"/>
            </w14:solidFill>
          </w14:textFill>
        </w:rPr>
        <w:t>海蓝（检）字</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YS</w:t>
      </w:r>
      <w:r>
        <w:rPr>
          <w:rFonts w:hint="eastAsia" w:ascii="Times New Roman" w:hAnsi="Times New Roman" w:eastAsia="宋体" w:cs="Times New Roman"/>
          <w:color w:val="000000" w:themeColor="text1"/>
          <w:sz w:val="24"/>
          <w:szCs w:val="24"/>
          <w:lang w:eastAsia="zh-CN"/>
          <w14:textFill>
            <w14:solidFill>
              <w14:schemeClr w14:val="tx1"/>
            </w14:solidFill>
          </w14:textFill>
        </w:rPr>
        <w:t>20191</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w:t>
      </w:r>
      <w:r>
        <w:rPr>
          <w:rFonts w:hint="eastAsia" w:ascii="Times New Roman" w:hAnsi="Times New Roman" w:eastAsia="宋体" w:cs="Times New Roman"/>
          <w:color w:val="000000" w:themeColor="text1"/>
          <w:sz w:val="24"/>
          <w:szCs w:val="24"/>
          <w:lang w:eastAsia="zh-CN"/>
          <w14:textFill>
            <w14:solidFill>
              <w14:schemeClr w14:val="tx1"/>
            </w14:solidFill>
          </w14:textFill>
        </w:rPr>
        <w:t>-</w:t>
      </w:r>
      <w:r>
        <w:rPr>
          <w:rFonts w:hint="eastAsia" w:ascii="Times New Roman" w:hAnsi="Times New Roman" w:eastAsia="宋体" w:cs="Times New Roman"/>
          <w:color w:val="000000" w:themeColor="text1"/>
          <w:sz w:val="24"/>
          <w:szCs w:val="24"/>
          <w:lang w:val="en-US" w:eastAsia="zh-CN"/>
          <w14:textFill>
            <w14:solidFill>
              <w14:schemeClr w14:val="tx1"/>
            </w14:solidFill>
          </w14:textFill>
        </w:rPr>
        <w:t>1027</w:t>
      </w:r>
      <w:r>
        <w:rPr>
          <w:rFonts w:hint="eastAsia" w:ascii="Times New Roman" w:hAnsi="Times New Roman" w:eastAsia="宋体" w:cs="Times New Roman"/>
          <w:color w:val="000000" w:themeColor="text1"/>
          <w:sz w:val="24"/>
          <w:szCs w:val="24"/>
          <w:lang w:eastAsia="zh-CN"/>
          <w14:textFill>
            <w14:solidFill>
              <w14:schemeClr w14:val="tx1"/>
            </w14:solidFill>
          </w14:textFill>
        </w:rPr>
        <w:t>号</w:t>
      </w:r>
      <w:r>
        <w:rPr>
          <w:rFonts w:hint="eastAsia" w:ascii="Times New Roman" w:hAnsi="Times New Roman" w:eastAsia="宋体" w:cs="Times New Roman"/>
          <w:color w:val="000000" w:themeColor="text1"/>
          <w:sz w:val="24"/>
          <w:szCs w:val="24"/>
          <w14:textFill>
            <w14:solidFill>
              <w14:schemeClr w14:val="tx1"/>
            </w14:solidFill>
          </w14:textFill>
        </w:rPr>
        <w:t>，</w:t>
      </w:r>
      <w:r>
        <w:rPr>
          <w:rFonts w:ascii="Times New Roman" w:hAnsi="Times New Roman" w:eastAsia="宋体" w:cs="Times New Roman"/>
          <w:color w:val="000000" w:themeColor="text1"/>
          <w:sz w:val="24"/>
          <w:szCs w:val="24"/>
          <w14:textFill>
            <w14:solidFill>
              <w14:schemeClr w14:val="tx1"/>
            </w14:solidFill>
          </w14:textFill>
        </w:rPr>
        <w:t>满足环保验收检测技术要求。</w:t>
      </w:r>
    </w:p>
    <w:p>
      <w:pPr>
        <w:pStyle w:val="6"/>
        <w:adjustRightInd w:val="0"/>
        <w:snapToGrid w:val="0"/>
        <w:spacing w:line="360" w:lineRule="auto"/>
        <w:rPr>
          <w:rFonts w:ascii="Times New Roman" w:hAnsi="Times New Roman" w:cs="Times New Roman"/>
        </w:rPr>
      </w:pPr>
      <w:bookmarkStart w:id="109" w:name="_Toc14704_WPSOffice_Level2"/>
      <w:r>
        <w:rPr>
          <w:rFonts w:ascii="Times New Roman" w:hAnsi="Times New Roman" w:cs="Times New Roman"/>
        </w:rPr>
        <w:t>6.1 质量保障体系</w:t>
      </w:r>
      <w:bookmarkEnd w:id="109"/>
    </w:p>
    <w:p>
      <w:pPr>
        <w:adjustRightInd w:val="0"/>
        <w:snapToGrid w:val="0"/>
        <w:spacing w:line="360" w:lineRule="auto"/>
        <w:ind w:firstLine="480" w:firstLineChars="200"/>
        <w:rPr>
          <w:rFonts w:ascii="Times New Roman" w:hAnsi="Times New Roman" w:eastAsia="宋体" w:cs="Times New Roman"/>
          <w:sz w:val="24"/>
        </w:rPr>
      </w:pPr>
      <w:bookmarkStart w:id="110" w:name="_Toc349134675"/>
      <w:r>
        <w:rPr>
          <w:rFonts w:hint="eastAsia" w:ascii="Times New Roman" w:hAnsi="Times New Roman" w:eastAsia="宋体" w:cs="Times New Roman"/>
          <w:sz w:val="24"/>
        </w:rPr>
        <w:t>本次监测采样及样品分析均严格按照</w:t>
      </w:r>
      <w:r>
        <w:rPr>
          <w:rFonts w:ascii="Times New Roman" w:hAnsi="Times New Roman" w:eastAsia="宋体" w:cs="Times New Roman"/>
          <w:sz w:val="24"/>
        </w:rPr>
        <w:t>《</w:t>
      </w:r>
      <w:r>
        <w:rPr>
          <w:rFonts w:hint="eastAsia" w:ascii="Times New Roman" w:hAnsi="Times New Roman" w:eastAsia="宋体" w:cs="Times New Roman"/>
          <w:sz w:val="24"/>
        </w:rPr>
        <w:t>环境空气监测质量保证手册</w:t>
      </w:r>
      <w:r>
        <w:rPr>
          <w:rFonts w:ascii="Times New Roman" w:hAnsi="Times New Roman" w:eastAsia="宋体" w:cs="Times New Roman"/>
          <w:sz w:val="24"/>
        </w:rPr>
        <w:t>》</w:t>
      </w:r>
      <w:r>
        <w:rPr>
          <w:rFonts w:hint="eastAsia" w:ascii="Times New Roman" w:hAnsi="Times New Roman" w:eastAsia="宋体" w:cs="Times New Roman"/>
          <w:sz w:val="24"/>
        </w:rPr>
        <w:t>及</w:t>
      </w:r>
      <w:r>
        <w:rPr>
          <w:rFonts w:ascii="Times New Roman" w:hAnsi="Times New Roman" w:eastAsia="宋体" w:cs="Times New Roman"/>
          <w:sz w:val="24"/>
        </w:rPr>
        <w:t>《</w:t>
      </w:r>
      <w:r>
        <w:rPr>
          <w:rFonts w:hint="eastAsia" w:ascii="Times New Roman" w:hAnsi="Times New Roman" w:eastAsia="宋体" w:cs="Times New Roman"/>
          <w:sz w:val="24"/>
        </w:rPr>
        <w:t>环境监测技术规范</w:t>
      </w:r>
      <w:r>
        <w:rPr>
          <w:rFonts w:ascii="Times New Roman" w:hAnsi="Times New Roman" w:eastAsia="宋体" w:cs="Times New Roman"/>
          <w:sz w:val="24"/>
        </w:rPr>
        <w:t>》</w:t>
      </w:r>
      <w:r>
        <w:rPr>
          <w:rFonts w:hint="eastAsia" w:ascii="Times New Roman" w:hAnsi="Times New Roman" w:eastAsia="宋体" w:cs="Times New Roman"/>
          <w:sz w:val="24"/>
        </w:rPr>
        <w:t>等要求进行，实施全程序质量控制，具体质控要求如下：</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1、生产工况正常。监测期间，各污染治理设施运行基本正常。</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2、合理布设监测点位</w:t>
      </w:r>
      <w:r>
        <w:rPr>
          <w:rFonts w:hint="eastAsia" w:ascii="Times New Roman" w:hAnsi="Times New Roman" w:eastAsia="宋体" w:cs="Times New Roman"/>
          <w:sz w:val="24"/>
          <w:lang w:eastAsia="zh-CN"/>
        </w:rPr>
        <w:t>，</w:t>
      </w:r>
      <w:r>
        <w:rPr>
          <w:rFonts w:ascii="Times New Roman" w:hAnsi="Times New Roman" w:eastAsia="宋体" w:cs="Times New Roman"/>
          <w:sz w:val="24"/>
        </w:rPr>
        <w:t>保证各监测点位布设的科学性和可比性。</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3、监测分析中使用的各种仪器均经省计量部门检定合格且在有效使用期内，并在使用前后进行校准，符合质控要求。</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4、所有监测分析人员均经过岗前培训，全部人员持证上岗。</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5、所有监测任务均按照国家要求采样技术规范及相关监测标准执行，样品分析采取质控措施。</w:t>
      </w:r>
    </w:p>
    <w:p>
      <w:pPr>
        <w:adjustRightInd w:val="0"/>
        <w:snapToGrid w:val="0"/>
        <w:spacing w:line="360" w:lineRule="auto"/>
        <w:ind w:firstLine="480" w:firstLineChars="200"/>
        <w:rPr>
          <w:rFonts w:ascii="Times New Roman" w:hAnsi="Times New Roman" w:eastAsia="宋体" w:cs="Times New Roman"/>
          <w:sz w:val="24"/>
        </w:rPr>
      </w:pPr>
      <w:r>
        <w:rPr>
          <w:rFonts w:ascii="Times New Roman" w:hAnsi="Times New Roman" w:eastAsia="宋体" w:cs="Times New Roman"/>
          <w:sz w:val="24"/>
        </w:rPr>
        <w:t>6、监测数据严格实行三级审核制度。</w:t>
      </w:r>
      <w:bookmarkEnd w:id="110"/>
    </w:p>
    <w:p>
      <w:pPr>
        <w:pStyle w:val="6"/>
        <w:adjustRightInd w:val="0"/>
        <w:snapToGrid w:val="0"/>
        <w:spacing w:line="360" w:lineRule="auto"/>
        <w:rPr>
          <w:rFonts w:ascii="Times New Roman" w:hAnsi="Times New Roman" w:cs="Times New Roman"/>
        </w:rPr>
      </w:pPr>
      <w:bookmarkStart w:id="111" w:name="_Toc21817_WPSOffice_Level2"/>
      <w:r>
        <w:rPr>
          <w:rFonts w:ascii="Times New Roman" w:hAnsi="Times New Roman" w:cs="Times New Roman"/>
        </w:rPr>
        <w:t>6.2 检测分析方法</w:t>
      </w:r>
      <w:bookmarkEnd w:id="111"/>
    </w:p>
    <w:p>
      <w:pPr>
        <w:rPr>
          <w:rFonts w:hint="default" w:eastAsia="宋体"/>
          <w:sz w:val="24"/>
          <w:lang w:val="en-US" w:eastAsia="zh-CN"/>
        </w:rPr>
      </w:pPr>
      <w:r>
        <w:rPr>
          <w:rFonts w:hint="eastAsia" w:ascii="Times New Roman" w:hAnsi="Times New Roman" w:eastAsia="宋体" w:cs="Times New Roman"/>
          <w:sz w:val="24"/>
          <w:lang w:val="en-US" w:eastAsia="zh-CN"/>
        </w:rPr>
        <w:t>6.2.1 检测点位、项目及频次</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eastAsia="宋体" w:cs="Times New Roman"/>
          <w:sz w:val="24"/>
        </w:rPr>
      </w:pPr>
      <w:r>
        <w:rPr>
          <w:rFonts w:hint="eastAsia" w:ascii="Times New Roman" w:hAnsi="Times New Roman" w:eastAsia="宋体" w:cs="Times New Roman"/>
          <w:sz w:val="24"/>
        </w:rPr>
        <w:t>（1）</w:t>
      </w:r>
      <w:r>
        <w:rPr>
          <w:rFonts w:ascii="Times New Roman" w:hAnsi="Times New Roman" w:eastAsia="宋体" w:cs="Times New Roman"/>
          <w:sz w:val="24"/>
        </w:rPr>
        <w:t>噪声检测</w:t>
      </w:r>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表6-</w:t>
      </w:r>
      <w:r>
        <w:rPr>
          <w:rFonts w:hint="eastAsia" w:ascii="Times New Roman" w:hAnsi="Times New Roman" w:eastAsia="宋体" w:cs="Times New Roman"/>
          <w:b/>
          <w:sz w:val="24"/>
          <w:szCs w:val="24"/>
        </w:rPr>
        <w:t>1</w:t>
      </w:r>
      <w:r>
        <w:rPr>
          <w:rFonts w:ascii="Times New Roman" w:hAnsi="Times New Roman" w:eastAsia="宋体" w:cs="Times New Roman"/>
          <w:b/>
          <w:sz w:val="24"/>
          <w:szCs w:val="24"/>
        </w:rPr>
        <w:t xml:space="preserve">    噪声检测点位、项目及频次</w:t>
      </w:r>
    </w:p>
    <w:tbl>
      <w:tblPr>
        <w:tblStyle w:val="11"/>
        <w:tblW w:w="867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04"/>
        <w:gridCol w:w="2551"/>
        <w:gridCol w:w="28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4" w:hRule="exact"/>
          <w:jc w:val="center"/>
        </w:trPr>
        <w:tc>
          <w:tcPr>
            <w:tcW w:w="3304" w:type="dxa"/>
            <w:vAlign w:val="center"/>
          </w:tcPr>
          <w:p>
            <w:pPr>
              <w:adjustRightInd w:val="0"/>
              <w:snapToGrid w:val="0"/>
              <w:ind w:right="139" w:rightChars="66"/>
              <w:jc w:val="center"/>
              <w:rPr>
                <w:rFonts w:ascii="Times New Roman" w:hAnsi="Times New Roman" w:eastAsia="宋体" w:cs="Times New Roman"/>
                <w:b/>
                <w:kern w:val="0"/>
                <w:szCs w:val="21"/>
              </w:rPr>
            </w:pPr>
            <w:r>
              <w:rPr>
                <w:rFonts w:ascii="Times New Roman" w:hAnsi="Times New Roman" w:eastAsia="宋体" w:cs="Times New Roman"/>
                <w:b/>
                <w:kern w:val="0"/>
                <w:szCs w:val="21"/>
              </w:rPr>
              <w:t>检测位置</w:t>
            </w:r>
          </w:p>
        </w:tc>
        <w:tc>
          <w:tcPr>
            <w:tcW w:w="2551" w:type="dxa"/>
            <w:vAlign w:val="center"/>
          </w:tcPr>
          <w:p>
            <w:pPr>
              <w:adjustRightInd w:val="0"/>
              <w:snapToGrid w:val="0"/>
              <w:ind w:right="139" w:rightChars="66"/>
              <w:jc w:val="center"/>
              <w:rPr>
                <w:rFonts w:ascii="Times New Roman" w:hAnsi="Times New Roman" w:eastAsia="宋体" w:cs="Times New Roman"/>
                <w:b/>
                <w:kern w:val="0"/>
                <w:szCs w:val="21"/>
              </w:rPr>
            </w:pPr>
            <w:r>
              <w:rPr>
                <w:rFonts w:ascii="Times New Roman" w:hAnsi="Times New Roman" w:eastAsia="宋体" w:cs="Times New Roman"/>
                <w:b/>
                <w:kern w:val="0"/>
                <w:szCs w:val="21"/>
              </w:rPr>
              <w:t>检测内容</w:t>
            </w:r>
          </w:p>
        </w:tc>
        <w:tc>
          <w:tcPr>
            <w:tcW w:w="2821" w:type="dxa"/>
            <w:vAlign w:val="center"/>
          </w:tcPr>
          <w:p>
            <w:pPr>
              <w:adjustRightInd w:val="0"/>
              <w:snapToGrid w:val="0"/>
              <w:ind w:right="139" w:rightChars="66"/>
              <w:jc w:val="center"/>
              <w:rPr>
                <w:rFonts w:ascii="Times New Roman" w:hAnsi="Times New Roman" w:eastAsia="宋体" w:cs="Times New Roman"/>
                <w:b/>
                <w:kern w:val="0"/>
                <w:szCs w:val="21"/>
              </w:rPr>
            </w:pPr>
            <w:r>
              <w:rPr>
                <w:rFonts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exact"/>
          <w:jc w:val="center"/>
        </w:trPr>
        <w:tc>
          <w:tcPr>
            <w:tcW w:w="3304" w:type="dxa"/>
            <w:vAlign w:val="center"/>
          </w:tcPr>
          <w:p>
            <w:pPr>
              <w:ind w:left="-107" w:leftChars="-51" w:right="-107" w:rightChars="-51"/>
              <w:jc w:val="center"/>
              <w:rPr>
                <w:rFonts w:ascii="Times New Roman" w:hAnsi="Times New Roman" w:eastAsia="宋体" w:cs="Times New Roman"/>
              </w:rPr>
            </w:pPr>
            <w:r>
              <w:rPr>
                <w:rFonts w:ascii="Times New Roman" w:hAnsi="Times New Roman" w:eastAsia="宋体" w:cs="Times New Roman"/>
              </w:rPr>
              <w:t>厂界四周</w:t>
            </w:r>
          </w:p>
          <w:p>
            <w:pPr>
              <w:ind w:left="-107" w:leftChars="-51" w:right="-107" w:rightChars="-51"/>
              <w:jc w:val="center"/>
              <w:rPr>
                <w:rFonts w:ascii="Times New Roman" w:hAnsi="Times New Roman" w:eastAsia="宋体" w:cs="Times New Roman"/>
              </w:rPr>
            </w:pPr>
            <w:r>
              <w:rPr>
                <w:rFonts w:ascii="Times New Roman" w:hAnsi="Times New Roman" w:eastAsia="宋体" w:cs="Times New Roman"/>
              </w:rPr>
              <w:t>（</w:t>
            </w:r>
            <w:r>
              <w:rPr>
                <w:rFonts w:hint="eastAsia" w:ascii="Times New Roman" w:hAnsi="Times New Roman" w:eastAsia="宋体" w:cs="Times New Roman"/>
                <w:lang w:val="en-US" w:eastAsia="zh-CN"/>
              </w:rPr>
              <w:t>4</w:t>
            </w:r>
            <w:r>
              <w:rPr>
                <w:rFonts w:ascii="Times New Roman" w:hAnsi="Times New Roman" w:eastAsia="宋体" w:cs="Times New Roman"/>
              </w:rPr>
              <w:t>个检测点位）</w:t>
            </w:r>
          </w:p>
        </w:tc>
        <w:tc>
          <w:tcPr>
            <w:tcW w:w="2551" w:type="dxa"/>
            <w:vAlign w:val="center"/>
          </w:tcPr>
          <w:p>
            <w:pPr>
              <w:ind w:left="-107" w:leftChars="-51" w:right="-107" w:rightChars="-51"/>
              <w:jc w:val="center"/>
              <w:rPr>
                <w:rFonts w:ascii="Times New Roman" w:hAnsi="Times New Roman" w:eastAsia="宋体" w:cs="Times New Roman"/>
              </w:rPr>
            </w:pPr>
            <w:r>
              <w:rPr>
                <w:rFonts w:ascii="Times New Roman" w:hAnsi="Times New Roman" w:eastAsia="宋体" w:cs="Times New Roman"/>
              </w:rPr>
              <w:t>厂界噪声</w:t>
            </w:r>
          </w:p>
        </w:tc>
        <w:tc>
          <w:tcPr>
            <w:tcW w:w="2821" w:type="dxa"/>
            <w:vAlign w:val="center"/>
          </w:tcPr>
          <w:p>
            <w:pPr>
              <w:ind w:left="-107" w:leftChars="-51" w:right="-107" w:rightChars="-51"/>
              <w:jc w:val="center"/>
              <w:rPr>
                <w:rFonts w:ascii="Times New Roman" w:hAnsi="Times New Roman" w:eastAsia="宋体" w:cs="Times New Roman"/>
              </w:rPr>
            </w:pPr>
            <w:r>
              <w:rPr>
                <w:rFonts w:ascii="Times New Roman" w:hAnsi="Times New Roman" w:eastAsia="宋体" w:cs="Times New Roman"/>
              </w:rPr>
              <w:t>昼</w:t>
            </w:r>
            <w:r>
              <w:rPr>
                <w:rFonts w:hint="eastAsia" w:ascii="Times New Roman" w:hAnsi="Times New Roman" w:eastAsia="宋体" w:cs="Times New Roman"/>
              </w:rPr>
              <w:t>间监</w:t>
            </w:r>
            <w:r>
              <w:rPr>
                <w:rFonts w:ascii="Times New Roman" w:hAnsi="Times New Roman" w:eastAsia="宋体" w:cs="Times New Roman"/>
              </w:rPr>
              <w:t>测1次，</w:t>
            </w:r>
            <w:r>
              <w:rPr>
                <w:rFonts w:hint="eastAsia" w:ascii="Times New Roman" w:hAnsi="Times New Roman" w:eastAsia="宋体" w:cs="Times New Roman"/>
              </w:rPr>
              <w:t>监</w:t>
            </w:r>
            <w:r>
              <w:rPr>
                <w:rFonts w:ascii="Times New Roman" w:hAnsi="Times New Roman" w:eastAsia="宋体" w:cs="Times New Roman"/>
              </w:rPr>
              <w:t>测2天</w:t>
            </w:r>
          </w:p>
        </w:tc>
      </w:tr>
    </w:tbl>
    <w:p>
      <w:pPr>
        <w:pStyle w:val="7"/>
        <w:spacing w:line="360" w:lineRule="auto"/>
        <w:rPr>
          <w:rFonts w:ascii="Times New Roman" w:hAnsi="Times New Roman" w:cs="Times New Roman"/>
        </w:rPr>
      </w:pPr>
      <w:bookmarkStart w:id="112" w:name="_Toc497001483"/>
      <w:r>
        <w:rPr>
          <w:rFonts w:ascii="Times New Roman" w:hAnsi="Times New Roman" w:cs="Times New Roman"/>
        </w:rPr>
        <w:t>6.2.2检测分析方法</w:t>
      </w:r>
      <w:bookmarkEnd w:id="112"/>
    </w:p>
    <w:p>
      <w:pPr>
        <w:adjustRightInd w:val="0"/>
        <w:snapToGrid w:val="0"/>
        <w:spacing w:line="360" w:lineRule="auto"/>
        <w:jc w:val="center"/>
        <w:rPr>
          <w:rFonts w:ascii="Times New Roman" w:hAnsi="Times New Roman" w:eastAsia="宋体" w:cs="Times New Roman"/>
          <w:b/>
          <w:sz w:val="24"/>
          <w:szCs w:val="24"/>
        </w:rPr>
      </w:pPr>
      <w:r>
        <w:rPr>
          <w:rFonts w:ascii="Times New Roman" w:hAnsi="Times New Roman" w:eastAsia="宋体" w:cs="Times New Roman"/>
          <w:b/>
          <w:sz w:val="24"/>
          <w:szCs w:val="24"/>
        </w:rPr>
        <w:t>表6-</w:t>
      </w:r>
      <w:r>
        <w:rPr>
          <w:rFonts w:hint="eastAsia" w:ascii="Times New Roman" w:hAnsi="Times New Roman" w:eastAsia="宋体" w:cs="Times New Roman"/>
          <w:b/>
          <w:sz w:val="24"/>
          <w:szCs w:val="24"/>
        </w:rPr>
        <w:t>2</w:t>
      </w:r>
      <w:r>
        <w:rPr>
          <w:rFonts w:ascii="Times New Roman" w:hAnsi="Times New Roman" w:eastAsia="宋体" w:cs="Times New Roman"/>
          <w:b/>
          <w:sz w:val="24"/>
          <w:szCs w:val="24"/>
        </w:rPr>
        <w:t xml:space="preserve"> 厂界噪声检测分析方法</w:t>
      </w:r>
    </w:p>
    <w:tbl>
      <w:tblPr>
        <w:tblStyle w:val="11"/>
        <w:tblW w:w="8680"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747"/>
        <w:gridCol w:w="3827"/>
        <w:gridCol w:w="3106"/>
      </w:tblGrid>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535" w:hRule="exact"/>
          <w:jc w:val="center"/>
        </w:trPr>
        <w:tc>
          <w:tcPr>
            <w:tcW w:w="1747" w:type="dxa"/>
            <w:vAlign w:val="center"/>
          </w:tcPr>
          <w:p>
            <w:pPr>
              <w:adjustRightInd w:val="0"/>
              <w:snapToGrid w:val="0"/>
              <w:jc w:val="center"/>
              <w:rPr>
                <w:rFonts w:ascii="Times New Roman" w:hAnsi="Times New Roman" w:eastAsia="宋体" w:cs="Times New Roman"/>
                <w:b/>
              </w:rPr>
            </w:pPr>
            <w:r>
              <w:rPr>
                <w:rFonts w:ascii="Times New Roman" w:hAnsi="宋体" w:eastAsia="宋体" w:cs="Times New Roman"/>
                <w:b/>
              </w:rPr>
              <w:t>检测项目</w:t>
            </w:r>
          </w:p>
        </w:tc>
        <w:tc>
          <w:tcPr>
            <w:tcW w:w="3827" w:type="dxa"/>
            <w:vAlign w:val="center"/>
          </w:tcPr>
          <w:p>
            <w:pPr>
              <w:adjustRightInd w:val="0"/>
              <w:snapToGrid w:val="0"/>
              <w:jc w:val="center"/>
              <w:rPr>
                <w:rFonts w:ascii="Times New Roman" w:hAnsi="Times New Roman" w:eastAsia="宋体" w:cs="Times New Roman"/>
                <w:b/>
              </w:rPr>
            </w:pPr>
            <w:r>
              <w:rPr>
                <w:rFonts w:ascii="Times New Roman" w:hAnsi="宋体" w:eastAsia="宋体" w:cs="Times New Roman"/>
                <w:b/>
              </w:rPr>
              <w:t>分析方法及方法来源</w:t>
            </w:r>
          </w:p>
        </w:tc>
        <w:tc>
          <w:tcPr>
            <w:tcW w:w="3106" w:type="dxa"/>
            <w:vAlign w:val="center"/>
          </w:tcPr>
          <w:p>
            <w:pPr>
              <w:adjustRightInd w:val="0"/>
              <w:snapToGrid w:val="0"/>
              <w:jc w:val="center"/>
              <w:rPr>
                <w:rFonts w:ascii="Times New Roman" w:hAnsi="Times New Roman" w:eastAsia="宋体" w:cs="Times New Roman"/>
                <w:b/>
              </w:rPr>
            </w:pPr>
            <w:r>
              <w:rPr>
                <w:rFonts w:ascii="Times New Roman" w:hAnsi="宋体" w:eastAsia="宋体" w:cs="Times New Roman"/>
                <w:b/>
              </w:rPr>
              <w:t>检测仪器及仪器编号</w:t>
            </w:r>
          </w:p>
        </w:tc>
      </w:tr>
      <w:tr>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284" w:hRule="exact"/>
          <w:jc w:val="center"/>
        </w:trPr>
        <w:tc>
          <w:tcPr>
            <w:tcW w:w="1747" w:type="dxa"/>
            <w:vAlign w:val="center"/>
          </w:tcPr>
          <w:p>
            <w:pPr>
              <w:adjustRightInd w:val="0"/>
              <w:snapToGrid w:val="0"/>
              <w:jc w:val="center"/>
              <w:rPr>
                <w:rFonts w:ascii="Times New Roman" w:hAnsi="Times New Roman" w:eastAsia="宋体" w:cs="Times New Roman"/>
              </w:rPr>
            </w:pPr>
            <w:r>
              <w:rPr>
                <w:rFonts w:ascii="Times New Roman" w:hAnsi="宋体" w:eastAsia="宋体" w:cs="Times New Roman"/>
              </w:rPr>
              <w:t>噪声</w:t>
            </w:r>
          </w:p>
        </w:tc>
        <w:tc>
          <w:tcPr>
            <w:tcW w:w="3827" w:type="dxa"/>
            <w:vAlign w:val="center"/>
          </w:tcPr>
          <w:p>
            <w:pPr>
              <w:adjustRightInd w:val="0"/>
              <w:snapToGrid w:val="0"/>
              <w:jc w:val="center"/>
              <w:rPr>
                <w:rFonts w:ascii="Times New Roman" w:hAnsi="Times New Roman" w:eastAsia="宋体" w:cs="Times New Roman"/>
              </w:rPr>
            </w:pPr>
            <w:r>
              <w:rPr>
                <w:rFonts w:ascii="Times New Roman" w:hAnsi="宋体" w:eastAsia="宋体" w:cs="Times New Roman"/>
              </w:rPr>
              <w:t>《工业企业厂界环境噪声排放标准》</w:t>
            </w:r>
          </w:p>
          <w:p>
            <w:pPr>
              <w:adjustRightInd w:val="0"/>
              <w:snapToGrid w:val="0"/>
              <w:jc w:val="center"/>
              <w:rPr>
                <w:rFonts w:ascii="Times New Roman" w:hAnsi="Times New Roman" w:eastAsia="宋体" w:cs="Times New Roman"/>
              </w:rPr>
            </w:pPr>
            <w:r>
              <w:rPr>
                <w:rFonts w:ascii="Times New Roman" w:hAnsi="Times New Roman" w:eastAsia="宋体" w:cs="Times New Roman"/>
              </w:rPr>
              <w:t>(GB 12348-2008)</w:t>
            </w:r>
          </w:p>
        </w:tc>
        <w:tc>
          <w:tcPr>
            <w:tcW w:w="3106" w:type="dxa"/>
            <w:vAlign w:val="center"/>
          </w:tcPr>
          <w:p>
            <w:pPr>
              <w:adjustRightInd w:val="0"/>
              <w:snapToGrid w:val="0"/>
              <w:jc w:val="center"/>
              <w:rPr>
                <w:rFonts w:hint="default" w:ascii="Times New Roman" w:hAnsi="宋体" w:eastAsia="宋体" w:cs="Times New Roman"/>
                <w:lang w:val="en-US" w:eastAsia="zh-CN"/>
              </w:rPr>
            </w:pPr>
            <w:r>
              <w:rPr>
                <w:rFonts w:hint="eastAsia" w:ascii="楷体" w:hAnsi="楷体" w:eastAsia="楷体" w:cs="楷体"/>
                <w:bCs/>
                <w:color w:val="auto"/>
                <w:sz w:val="21"/>
                <w:szCs w:val="21"/>
                <w:lang w:eastAsia="zh-CN"/>
              </w:rPr>
              <w:t>AWA</w:t>
            </w:r>
            <w:r>
              <w:rPr>
                <w:rFonts w:hint="eastAsia" w:ascii="楷体" w:hAnsi="楷体" w:eastAsia="楷体" w:cs="楷体"/>
                <w:bCs/>
                <w:color w:val="auto"/>
                <w:sz w:val="21"/>
                <w:szCs w:val="21"/>
                <w:lang w:val="en-US" w:eastAsia="zh-CN"/>
              </w:rPr>
              <w:t>5680</w:t>
            </w:r>
            <w:r>
              <w:rPr>
                <w:rFonts w:hint="eastAsia" w:ascii="楷体" w:hAnsi="楷体" w:eastAsia="楷体" w:cs="楷体"/>
                <w:bCs/>
                <w:color w:val="auto"/>
                <w:sz w:val="21"/>
                <w:szCs w:val="21"/>
                <w:lang w:eastAsia="zh-CN"/>
              </w:rPr>
              <w:t>多功能声级计（</w:t>
            </w:r>
            <w:r>
              <w:rPr>
                <w:rFonts w:hint="eastAsia" w:ascii="楷体" w:hAnsi="楷体" w:eastAsia="楷体" w:cs="楷体"/>
                <w:bCs/>
                <w:color w:val="auto"/>
                <w:sz w:val="21"/>
                <w:szCs w:val="21"/>
                <w:lang w:val="en-US" w:eastAsia="zh-CN"/>
              </w:rPr>
              <w:t>SB90</w:t>
            </w:r>
            <w:r>
              <w:rPr>
                <w:rFonts w:hint="eastAsia" w:ascii="楷体" w:hAnsi="楷体" w:eastAsia="楷体" w:cs="楷体"/>
                <w:bCs/>
                <w:color w:val="auto"/>
                <w:sz w:val="21"/>
                <w:szCs w:val="21"/>
                <w:lang w:eastAsia="zh-CN"/>
              </w:rPr>
              <w:t>）</w:t>
            </w:r>
          </w:p>
        </w:tc>
      </w:tr>
    </w:tbl>
    <w:p>
      <w:pPr>
        <w:pStyle w:val="7"/>
        <w:spacing w:line="360" w:lineRule="auto"/>
        <w:rPr>
          <w:rFonts w:ascii="Times New Roman" w:hAnsi="Times New Roman" w:cs="Times New Roman"/>
        </w:rPr>
      </w:pPr>
      <w:r>
        <w:rPr>
          <w:rFonts w:ascii="Times New Roman" w:hAnsi="Times New Roman" w:cs="Times New Roman"/>
        </w:rPr>
        <w:t xml:space="preserve">6.2.3 </w:t>
      </w:r>
      <w:r>
        <w:rPr>
          <w:rFonts w:hint="eastAsia" w:ascii="Times New Roman" w:hAnsi="Times New Roman" w:cs="Times New Roman"/>
        </w:rPr>
        <w:t>监测点位</w:t>
      </w:r>
    </w:p>
    <w:p>
      <w:pPr>
        <w:spacing w:line="360" w:lineRule="auto"/>
        <w:rPr>
          <w:rFonts w:ascii="宋体" w:hAnsi="宋体" w:eastAsia="宋体" w:cs="Times New Roman"/>
          <w:sz w:val="24"/>
          <w:szCs w:val="24"/>
        </w:rPr>
      </w:pPr>
      <w:r>
        <w:rPr>
          <w:rFonts w:ascii="宋体" w:hAnsi="宋体" w:eastAsia="宋体" w:cs="Times New Roman"/>
          <w:sz w:val="24"/>
          <w:szCs w:val="24"/>
        </w:rPr>
        <w:fldChar w:fldCharType="begin"/>
      </w:r>
      <w:r>
        <w:rPr>
          <w:rFonts w:ascii="宋体" w:hAnsi="宋体" w:eastAsia="宋体" w:cs="Times New Roman"/>
          <w:sz w:val="24"/>
          <w:szCs w:val="24"/>
        </w:rPr>
        <w:instrText xml:space="preserve"> </w:instrText>
      </w:r>
      <w:r>
        <w:rPr>
          <w:rFonts w:hint="eastAsia" w:ascii="宋体" w:hAnsi="宋体" w:eastAsia="宋体" w:cs="Times New Roman"/>
          <w:sz w:val="24"/>
          <w:szCs w:val="24"/>
        </w:rPr>
        <w:instrText xml:space="preserve">= 1 \* GB3</w:instrText>
      </w:r>
      <w:r>
        <w:rPr>
          <w:rFonts w:ascii="宋体" w:hAnsi="宋体" w:eastAsia="宋体" w:cs="Times New Roman"/>
          <w:sz w:val="24"/>
          <w:szCs w:val="24"/>
        </w:rPr>
        <w:instrText xml:space="preserve"> </w:instrText>
      </w:r>
      <w:r>
        <w:rPr>
          <w:rFonts w:ascii="宋体" w:hAnsi="宋体" w:eastAsia="宋体" w:cs="Times New Roman"/>
          <w:sz w:val="24"/>
          <w:szCs w:val="24"/>
        </w:rPr>
        <w:fldChar w:fldCharType="separate"/>
      </w:r>
      <w:r>
        <w:rPr>
          <w:rFonts w:hint="eastAsia" w:ascii="宋体" w:hAnsi="宋体" w:eastAsia="宋体" w:cs="Times New Roman"/>
          <w:sz w:val="24"/>
          <w:szCs w:val="24"/>
        </w:rPr>
        <w:t>①</w:t>
      </w:r>
      <w:r>
        <w:rPr>
          <w:rFonts w:ascii="宋体" w:hAnsi="宋体" w:eastAsia="宋体" w:cs="Times New Roman"/>
          <w:sz w:val="24"/>
          <w:szCs w:val="24"/>
        </w:rPr>
        <w:fldChar w:fldCharType="end"/>
      </w:r>
      <w:r>
        <w:rPr>
          <w:rFonts w:ascii="宋体" w:hAnsi="宋体" w:eastAsia="宋体" w:cs="Times New Roman"/>
          <w:sz w:val="24"/>
          <w:szCs w:val="24"/>
        </w:rPr>
        <w:t>监测点位示意图</w:t>
      </w:r>
    </w:p>
    <w:p>
      <w:pPr>
        <w:spacing w:line="360" w:lineRule="auto"/>
      </w:pPr>
      <w:r>
        <w:drawing>
          <wp:inline distT="0" distB="0" distL="114300" distR="114300">
            <wp:extent cx="5267960" cy="3197860"/>
            <wp:effectExtent l="0" t="0" r="8890" b="254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2"/>
                    <a:stretch>
                      <a:fillRect/>
                    </a:stretch>
                  </pic:blipFill>
                  <pic:spPr>
                    <a:xfrm>
                      <a:off x="0" y="0"/>
                      <a:ext cx="5267960" cy="3197860"/>
                    </a:xfrm>
                    <a:prstGeom prst="rect">
                      <a:avLst/>
                    </a:prstGeom>
                    <a:noFill/>
                    <a:ln>
                      <a:noFill/>
                    </a:ln>
                  </pic:spPr>
                </pic:pic>
              </a:graphicData>
            </a:graphic>
          </wp:inline>
        </w:drawing>
      </w:r>
    </w:p>
    <w:p>
      <w:pPr>
        <w:pStyle w:val="2"/>
        <w:rPr>
          <w:rFonts w:hint="eastAsia"/>
          <w:lang w:eastAsia="zh-CN"/>
        </w:rPr>
      </w:pPr>
    </w:p>
    <w:p>
      <w:pPr>
        <w:spacing w:line="360" w:lineRule="auto"/>
        <w:jc w:val="center"/>
        <w:rPr>
          <w:rFonts w:ascii="Times New Roman" w:hAnsi="Times New Roman" w:eastAsia="宋体" w:cs="Times New Roman"/>
          <w:b/>
          <w:sz w:val="24"/>
          <w:szCs w:val="24"/>
        </w:rPr>
      </w:pPr>
      <w:r>
        <w:rPr>
          <w:rFonts w:ascii="Times New Roman" w:hAnsi="宋体" w:eastAsia="宋体" w:cs="Times New Roman"/>
          <w:b/>
          <w:sz w:val="24"/>
          <w:szCs w:val="24"/>
        </w:rPr>
        <w:t>图</w:t>
      </w:r>
      <w:r>
        <w:rPr>
          <w:rFonts w:ascii="Times New Roman" w:hAnsi="Times New Roman" w:eastAsia="宋体" w:cs="Times New Roman"/>
          <w:b/>
          <w:sz w:val="24"/>
          <w:szCs w:val="24"/>
        </w:rPr>
        <w:t>6-1</w:t>
      </w:r>
      <w:r>
        <w:rPr>
          <w:rFonts w:ascii="Times New Roman" w:hAnsi="宋体" w:eastAsia="宋体" w:cs="Times New Roman"/>
          <w:b/>
          <w:sz w:val="24"/>
          <w:szCs w:val="24"/>
        </w:rPr>
        <w:t>监测点位示意图</w:t>
      </w:r>
    </w:p>
    <w:p>
      <w:pPr>
        <w:tabs>
          <w:tab w:val="left" w:pos="540"/>
        </w:tabs>
        <w:spacing w:line="360" w:lineRule="auto"/>
        <w:rPr>
          <w:rFonts w:ascii="Times New Roman" w:hAnsi="Times New Roman" w:eastAsia="宋体" w:cs="Times New Roman"/>
          <w:b/>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5"/>
        <w:spacing w:line="360" w:lineRule="auto"/>
        <w:rPr>
          <w:rFonts w:ascii="Times New Roman" w:hAnsi="Times New Roman" w:cs="Times New Roman"/>
        </w:rPr>
      </w:pPr>
      <w:r>
        <w:rPr>
          <w:rFonts w:ascii="Times New Roman" w:hAnsi="Times New Roman" w:cs="Times New Roman"/>
        </w:rPr>
        <w:t>7 验收</w:t>
      </w:r>
      <w:r>
        <w:rPr>
          <w:rFonts w:hint="eastAsia" w:ascii="Times New Roman" w:hAnsi="Times New Roman" w:cs="Times New Roman"/>
        </w:rPr>
        <w:t>监测</w:t>
      </w:r>
      <w:r>
        <w:rPr>
          <w:rFonts w:ascii="Times New Roman" w:hAnsi="Times New Roman" w:cs="Times New Roman"/>
        </w:rPr>
        <w:t>结果及分析</w:t>
      </w:r>
    </w:p>
    <w:p>
      <w:pPr>
        <w:pStyle w:val="6"/>
        <w:spacing w:line="360" w:lineRule="auto"/>
        <w:rPr>
          <w:rFonts w:ascii="Times New Roman" w:hAnsi="Times New Roman" w:cs="Times New Roman"/>
        </w:rPr>
      </w:pPr>
      <w:bookmarkStart w:id="113" w:name="_Toc22306_WPSOffice_Level2"/>
      <w:r>
        <w:rPr>
          <w:rFonts w:ascii="Times New Roman" w:hAnsi="Times New Roman" w:cs="Times New Roman"/>
        </w:rPr>
        <w:t xml:space="preserve">7.1 </w:t>
      </w:r>
      <w:r>
        <w:rPr>
          <w:rFonts w:hint="eastAsia" w:ascii="Times New Roman" w:hAnsi="Times New Roman" w:cs="Times New Roman"/>
        </w:rPr>
        <w:t>监测</w:t>
      </w:r>
      <w:r>
        <w:rPr>
          <w:rFonts w:ascii="Times New Roman" w:hAnsi="Times New Roman" w:cs="Times New Roman"/>
        </w:rPr>
        <w:t>结果</w:t>
      </w:r>
      <w:bookmarkEnd w:id="113"/>
    </w:p>
    <w:p>
      <w:pPr>
        <w:pStyle w:val="7"/>
        <w:spacing w:line="360" w:lineRule="auto"/>
        <w:rPr>
          <w:rFonts w:ascii="Times New Roman" w:hAnsi="Times New Roman" w:cs="Times New Roman"/>
        </w:rPr>
      </w:pPr>
      <w:bookmarkStart w:id="114" w:name="_Toc27435"/>
      <w:bookmarkStart w:id="115" w:name="_Toc497001488"/>
      <w:r>
        <w:rPr>
          <w:rFonts w:ascii="Times New Roman" w:hAnsi="Times New Roman" w:cs="Times New Roman"/>
        </w:rPr>
        <w:t>7.1.</w:t>
      </w:r>
      <w:r>
        <w:rPr>
          <w:rFonts w:hint="eastAsia" w:ascii="Times New Roman" w:hAnsi="Times New Roman" w:cs="Times New Roman"/>
        </w:rPr>
        <w:t>1</w:t>
      </w:r>
      <w:r>
        <w:rPr>
          <w:rFonts w:ascii="Times New Roman" w:hAnsi="Times New Roman" w:cs="Times New Roman"/>
        </w:rPr>
        <w:t xml:space="preserve"> </w:t>
      </w:r>
      <w:r>
        <w:rPr>
          <w:rFonts w:hint="eastAsia" w:ascii="Times New Roman" w:hAnsi="Times New Roman" w:cs="Times New Roman"/>
        </w:rPr>
        <w:t>噪声监测</w:t>
      </w:r>
      <w:r>
        <w:rPr>
          <w:rFonts w:ascii="Times New Roman" w:hAnsi="Times New Roman" w:cs="Times New Roman"/>
        </w:rPr>
        <w:t>结果</w:t>
      </w:r>
      <w:bookmarkEnd w:id="114"/>
    </w:p>
    <w:bookmarkEnd w:id="115"/>
    <w:p>
      <w:pPr>
        <w:adjustRightInd w:val="0"/>
        <w:snapToGrid w:val="0"/>
        <w:spacing w:line="360" w:lineRule="auto"/>
        <w:jc w:val="center"/>
        <w:rPr>
          <w:rFonts w:ascii="Times New Roman" w:hAnsi="Times New Roman" w:eastAsia="宋体" w:cs="Times New Roman"/>
          <w:b/>
          <w:sz w:val="24"/>
          <w:szCs w:val="24"/>
        </w:rPr>
      </w:pPr>
      <w:r>
        <w:rPr>
          <w:rFonts w:hint="eastAsia" w:ascii="Times New Roman" w:hAnsi="Times New Roman" w:eastAsia="宋体" w:cs="Times New Roman"/>
          <w:b/>
          <w:sz w:val="24"/>
          <w:szCs w:val="24"/>
        </w:rPr>
        <w:t>表7-3 噪声监测结果</w:t>
      </w:r>
    </w:p>
    <w:tbl>
      <w:tblPr>
        <w:tblStyle w:val="11"/>
        <w:tblpPr w:leftFromText="180" w:rightFromText="180" w:vertAnchor="text" w:horzAnchor="page" w:tblpXSpec="center" w:tblpY="17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31"/>
        <w:gridCol w:w="1690"/>
        <w:gridCol w:w="1167"/>
        <w:gridCol w:w="1397"/>
        <w:gridCol w:w="1397"/>
        <w:gridCol w:w="1397"/>
        <w:gridCol w:w="13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restart"/>
            <w:noWrap w:val="0"/>
            <w:vAlign w:val="center"/>
          </w:tcPr>
          <w:p>
            <w:pPr>
              <w:tabs>
                <w:tab w:val="center" w:pos="4737"/>
              </w:tabs>
              <w:jc w:val="center"/>
              <w:rPr>
                <w:rFonts w:hint="eastAsia" w:ascii="楷体" w:hAnsi="楷体" w:eastAsia="楷体" w:cs="楷体"/>
                <w:color w:val="000000"/>
                <w:szCs w:val="21"/>
              </w:rPr>
            </w:pPr>
            <w:bookmarkStart w:id="116" w:name="_Toc10896_WPSOffice_Level1"/>
            <w:r>
              <w:rPr>
                <w:rFonts w:hint="eastAsia" w:ascii="楷体" w:hAnsi="楷体" w:eastAsia="楷体" w:cs="楷体"/>
                <w:color w:val="000000"/>
                <w:szCs w:val="21"/>
              </w:rPr>
              <w:t>监测时间</w:t>
            </w:r>
          </w:p>
        </w:tc>
        <w:tc>
          <w:tcPr>
            <w:tcW w:w="1690"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监测项目</w:t>
            </w:r>
          </w:p>
        </w:tc>
        <w:tc>
          <w:tcPr>
            <w:tcW w:w="1167"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点位</w:t>
            </w:r>
          </w:p>
        </w:tc>
        <w:tc>
          <w:tcPr>
            <w:tcW w:w="5590" w:type="dxa"/>
            <w:gridSpan w:val="4"/>
            <w:noWrap w:val="0"/>
            <w:vAlign w:val="center"/>
          </w:tcPr>
          <w:p>
            <w:pPr>
              <w:tabs>
                <w:tab w:val="center" w:pos="4737"/>
              </w:tabs>
              <w:ind w:firstLine="315" w:firstLineChars="150"/>
              <w:jc w:val="center"/>
              <w:rPr>
                <w:rFonts w:hint="eastAsia" w:ascii="楷体" w:hAnsi="楷体" w:eastAsia="楷体" w:cs="楷体"/>
                <w:color w:val="000000"/>
                <w:szCs w:val="21"/>
              </w:rPr>
            </w:pPr>
            <w:r>
              <w:rPr>
                <w:rFonts w:hint="eastAsia" w:ascii="楷体" w:hAnsi="楷体" w:eastAsia="楷体" w:cs="楷体"/>
                <w:color w:val="000000"/>
                <w:szCs w:val="21"/>
              </w:rPr>
              <w:t>监测结果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690"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167"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昼间</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最大值</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夜间</w:t>
            </w:r>
          </w:p>
        </w:tc>
        <w:tc>
          <w:tcPr>
            <w:tcW w:w="1399" w:type="dxa"/>
            <w:noWrap w:val="0"/>
            <w:vAlign w:val="center"/>
          </w:tcPr>
          <w:p>
            <w:pPr>
              <w:spacing w:line="300" w:lineRule="exact"/>
              <w:jc w:val="center"/>
              <w:outlineLvl w:val="1"/>
              <w:rPr>
                <w:rFonts w:hint="eastAsia" w:ascii="楷体" w:hAnsi="楷体" w:eastAsia="楷体" w:cs="楷体"/>
                <w:color w:val="000000"/>
                <w:szCs w:val="21"/>
              </w:rPr>
            </w:pPr>
            <w:r>
              <w:rPr>
                <w:rFonts w:hint="eastAsia" w:ascii="楷体" w:hAnsi="楷体" w:eastAsia="楷体" w:cs="楷体"/>
                <w:color w:val="000000"/>
                <w:szCs w:val="21"/>
              </w:rPr>
              <w:t>最大值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2019-11-01</w:t>
            </w:r>
          </w:p>
        </w:tc>
        <w:tc>
          <w:tcPr>
            <w:tcW w:w="1690"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工业企业厂界环境噪声</w:t>
            </w: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1#</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53.0</w:t>
            </w:r>
          </w:p>
        </w:tc>
        <w:tc>
          <w:tcPr>
            <w:tcW w:w="1397"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57.7</w:t>
            </w:r>
          </w:p>
        </w:tc>
        <w:tc>
          <w:tcPr>
            <w:tcW w:w="1397"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不生产</w:t>
            </w:r>
          </w:p>
        </w:tc>
        <w:tc>
          <w:tcPr>
            <w:tcW w:w="1399" w:type="dxa"/>
            <w:vMerge w:val="restart"/>
            <w:noWrap w:val="0"/>
            <w:vAlign w:val="center"/>
          </w:tcPr>
          <w:p>
            <w:pPr>
              <w:spacing w:line="300" w:lineRule="exact"/>
              <w:jc w:val="center"/>
              <w:outlineLvl w:val="1"/>
              <w:rPr>
                <w:rFonts w:hint="eastAsia" w:ascii="楷体" w:hAnsi="楷体" w:eastAsia="楷体" w:cs="楷体"/>
                <w:color w:val="000000"/>
                <w:szCs w:val="21"/>
              </w:rPr>
            </w:pPr>
            <w:r>
              <w:rPr>
                <w:rFonts w:hint="eastAsia" w:ascii="楷体" w:hAnsi="楷体" w:eastAsia="楷体" w:cs="楷体"/>
                <w:color w:val="00000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690"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2#</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57.7</w:t>
            </w: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9" w:type="dxa"/>
            <w:vMerge w:val="continue"/>
            <w:noWrap w:val="0"/>
            <w:vAlign w:val="center"/>
          </w:tcPr>
          <w:p>
            <w:pPr>
              <w:spacing w:line="300" w:lineRule="exact"/>
              <w:jc w:val="center"/>
              <w:outlineLvl w:val="1"/>
              <w:rPr>
                <w:rFonts w:hint="eastAsia" w:ascii="楷体" w:hAnsi="楷体" w:eastAsia="楷体" w:cs="楷体"/>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690"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3#</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53.3</w:t>
            </w: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9" w:type="dxa"/>
            <w:vMerge w:val="continue"/>
            <w:noWrap w:val="0"/>
            <w:vAlign w:val="center"/>
          </w:tcPr>
          <w:p>
            <w:pPr>
              <w:spacing w:line="300" w:lineRule="exact"/>
              <w:jc w:val="center"/>
              <w:outlineLvl w:val="1"/>
              <w:rPr>
                <w:rFonts w:hint="eastAsia" w:ascii="楷体" w:hAnsi="楷体" w:eastAsia="楷体" w:cs="楷体"/>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690"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4#</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56.6</w:t>
            </w: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9" w:type="dxa"/>
            <w:vMerge w:val="continue"/>
            <w:noWrap w:val="0"/>
            <w:vAlign w:val="center"/>
          </w:tcPr>
          <w:p>
            <w:pPr>
              <w:spacing w:line="300" w:lineRule="exact"/>
              <w:jc w:val="center"/>
              <w:outlineLvl w:val="1"/>
              <w:rPr>
                <w:rFonts w:hint="eastAsia" w:ascii="楷体" w:hAnsi="楷体" w:eastAsia="楷体" w:cs="楷体"/>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2019-11-02</w:t>
            </w:r>
          </w:p>
        </w:tc>
        <w:tc>
          <w:tcPr>
            <w:tcW w:w="1690"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工业企业厂界环境噪声</w:t>
            </w: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1#</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55.9</w:t>
            </w:r>
          </w:p>
        </w:tc>
        <w:tc>
          <w:tcPr>
            <w:tcW w:w="1397" w:type="dxa"/>
            <w:vMerge w:val="restart"/>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57.2</w:t>
            </w: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9" w:type="dxa"/>
            <w:vMerge w:val="restart"/>
            <w:noWrap w:val="0"/>
            <w:vAlign w:val="center"/>
          </w:tcPr>
          <w:p>
            <w:pPr>
              <w:spacing w:line="300" w:lineRule="exact"/>
              <w:jc w:val="center"/>
              <w:outlineLvl w:val="1"/>
              <w:rPr>
                <w:rFonts w:hint="eastAsia" w:ascii="楷体" w:hAnsi="楷体" w:eastAsia="楷体" w:cs="楷体"/>
                <w:color w:val="000000"/>
                <w:szCs w:val="21"/>
              </w:rPr>
            </w:pPr>
            <w:r>
              <w:rPr>
                <w:rFonts w:hint="eastAsia" w:ascii="楷体" w:hAnsi="楷体" w:eastAsia="楷体" w:cs="楷体"/>
                <w:color w:val="00000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690"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2#</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57.2</w:t>
            </w: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9" w:type="dxa"/>
            <w:vMerge w:val="continue"/>
            <w:noWrap w:val="0"/>
            <w:vAlign w:val="center"/>
          </w:tcPr>
          <w:p>
            <w:pPr>
              <w:spacing w:line="300" w:lineRule="exact"/>
              <w:jc w:val="center"/>
              <w:outlineLvl w:val="1"/>
              <w:rPr>
                <w:rFonts w:hint="eastAsia" w:ascii="楷体" w:hAnsi="楷体" w:eastAsia="楷体" w:cs="楷体"/>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690"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3#</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56.5</w:t>
            </w: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9" w:type="dxa"/>
            <w:vMerge w:val="continue"/>
            <w:noWrap w:val="0"/>
            <w:vAlign w:val="center"/>
          </w:tcPr>
          <w:p>
            <w:pPr>
              <w:spacing w:line="300" w:lineRule="exact"/>
              <w:jc w:val="center"/>
              <w:outlineLvl w:val="1"/>
              <w:rPr>
                <w:rFonts w:hint="eastAsia" w:ascii="楷体" w:hAnsi="楷体" w:eastAsia="楷体" w:cs="楷体"/>
                <w:color w:val="000000"/>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531"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690" w:type="dxa"/>
            <w:vMerge w:val="continue"/>
            <w:noWrap w:val="0"/>
            <w:vAlign w:val="center"/>
          </w:tcPr>
          <w:p>
            <w:pPr>
              <w:tabs>
                <w:tab w:val="center" w:pos="4737"/>
              </w:tabs>
              <w:ind w:firstLine="315" w:firstLineChars="150"/>
              <w:jc w:val="center"/>
              <w:rPr>
                <w:rFonts w:hint="eastAsia" w:ascii="楷体" w:hAnsi="楷体" w:eastAsia="楷体" w:cs="楷体"/>
                <w:color w:val="000000"/>
                <w:szCs w:val="21"/>
              </w:rPr>
            </w:pPr>
          </w:p>
        </w:tc>
        <w:tc>
          <w:tcPr>
            <w:tcW w:w="116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4#</w:t>
            </w:r>
          </w:p>
        </w:tc>
        <w:tc>
          <w:tcPr>
            <w:tcW w:w="1397" w:type="dxa"/>
            <w:noWrap w:val="0"/>
            <w:vAlign w:val="center"/>
          </w:tcPr>
          <w:p>
            <w:pPr>
              <w:tabs>
                <w:tab w:val="center" w:pos="4737"/>
              </w:tabs>
              <w:jc w:val="center"/>
              <w:rPr>
                <w:rFonts w:hint="eastAsia" w:ascii="楷体" w:hAnsi="楷体" w:eastAsia="楷体" w:cs="楷体"/>
                <w:color w:val="000000"/>
                <w:szCs w:val="21"/>
              </w:rPr>
            </w:pPr>
            <w:r>
              <w:rPr>
                <w:rFonts w:hint="eastAsia" w:ascii="楷体" w:hAnsi="楷体" w:eastAsia="楷体" w:cs="楷体"/>
                <w:color w:val="000000"/>
                <w:szCs w:val="21"/>
              </w:rPr>
              <w:t>53.4</w:t>
            </w: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7" w:type="dxa"/>
            <w:vMerge w:val="continue"/>
            <w:noWrap w:val="0"/>
            <w:vAlign w:val="center"/>
          </w:tcPr>
          <w:p>
            <w:pPr>
              <w:tabs>
                <w:tab w:val="center" w:pos="4737"/>
              </w:tabs>
              <w:jc w:val="center"/>
              <w:rPr>
                <w:rFonts w:hint="eastAsia" w:ascii="楷体" w:hAnsi="楷体" w:eastAsia="楷体" w:cs="楷体"/>
                <w:color w:val="000000"/>
                <w:szCs w:val="21"/>
              </w:rPr>
            </w:pPr>
          </w:p>
        </w:tc>
        <w:tc>
          <w:tcPr>
            <w:tcW w:w="1399" w:type="dxa"/>
            <w:vMerge w:val="continue"/>
            <w:noWrap w:val="0"/>
            <w:vAlign w:val="center"/>
          </w:tcPr>
          <w:p>
            <w:pPr>
              <w:spacing w:line="300" w:lineRule="exact"/>
              <w:jc w:val="center"/>
              <w:outlineLvl w:val="1"/>
              <w:rPr>
                <w:rFonts w:hint="eastAsia" w:ascii="楷体" w:hAnsi="楷体" w:eastAsia="楷体" w:cs="楷体"/>
                <w:color w:val="000000"/>
                <w:szCs w:val="21"/>
              </w:rPr>
            </w:pPr>
          </w:p>
        </w:tc>
      </w:tr>
    </w:tbl>
    <w:p>
      <w:pPr>
        <w:adjustRightInd w:val="0"/>
        <w:snapToGrid w:val="0"/>
        <w:spacing w:line="360" w:lineRule="auto"/>
        <w:jc w:val="right"/>
        <w:rPr>
          <w:rFonts w:ascii="Times New Roman"/>
          <w:b/>
          <w:w w:val="95"/>
          <w:sz w:val="24"/>
        </w:rPr>
      </w:pPr>
      <w:r>
        <w:rPr>
          <w:rFonts w:hint="eastAsia"/>
          <w:b/>
          <w:w w:val="95"/>
          <w:sz w:val="24"/>
          <w:lang w:val="en-US" w:eastAsia="zh-CN"/>
        </w:rPr>
        <w:t>单</w:t>
      </w:r>
      <w:r>
        <w:rPr>
          <w:b/>
          <w:w w:val="95"/>
          <w:sz w:val="24"/>
        </w:rPr>
        <w:t>位：</w:t>
      </w:r>
      <w:r>
        <w:rPr>
          <w:rFonts w:ascii="Times New Roman" w:eastAsia="Times New Roman"/>
          <w:b/>
          <w:w w:val="95"/>
          <w:sz w:val="24"/>
        </w:rPr>
        <w:t>dB(A)</w:t>
      </w:r>
      <w:bookmarkEnd w:id="116"/>
    </w:p>
    <w:p>
      <w:pPr>
        <w:pStyle w:val="6"/>
        <w:adjustRightInd w:val="0"/>
        <w:snapToGrid w:val="0"/>
        <w:spacing w:line="360" w:lineRule="auto"/>
        <w:rPr>
          <w:rFonts w:ascii="Times New Roman" w:hAnsi="Times New Roman" w:cs="Times New Roman"/>
        </w:rPr>
      </w:pPr>
      <w:bookmarkStart w:id="117" w:name="_Toc19013_WPSOffice_Level2"/>
      <w:r>
        <w:rPr>
          <w:rFonts w:ascii="Times New Roman" w:hAnsi="Times New Roman" w:cs="Times New Roman"/>
        </w:rPr>
        <w:t xml:space="preserve">7.2 </w:t>
      </w:r>
      <w:r>
        <w:rPr>
          <w:rFonts w:hint="eastAsia" w:ascii="Times New Roman" w:hAnsi="Times New Roman" w:cs="Times New Roman"/>
        </w:rPr>
        <w:t>监测</w:t>
      </w:r>
      <w:r>
        <w:rPr>
          <w:rFonts w:ascii="Times New Roman" w:hAnsi="Times New Roman" w:cs="Times New Roman"/>
        </w:rPr>
        <w:t>结果分析</w:t>
      </w:r>
      <w:bookmarkEnd w:id="117"/>
    </w:p>
    <w:p>
      <w:pPr>
        <w:pStyle w:val="7"/>
        <w:adjustRightInd w:val="0"/>
        <w:snapToGrid w:val="0"/>
        <w:spacing w:line="360" w:lineRule="auto"/>
        <w:rPr>
          <w:rFonts w:ascii="Times New Roman" w:hAnsi="Times New Roman" w:cs="Times New Roman"/>
        </w:rPr>
      </w:pPr>
      <w:r>
        <w:rPr>
          <w:rFonts w:ascii="Times New Roman" w:hAnsi="Times New Roman" w:cs="Times New Roman"/>
        </w:rPr>
        <w:t>7.2.</w:t>
      </w:r>
      <w:r>
        <w:rPr>
          <w:rFonts w:hint="eastAsia" w:ascii="Times New Roman" w:hAnsi="Times New Roman" w:cs="Times New Roman"/>
        </w:rPr>
        <w:t>1噪声</w:t>
      </w:r>
      <w:r>
        <w:rPr>
          <w:rFonts w:ascii="Times New Roman" w:hAnsi="Times New Roman" w:cs="Times New Roman"/>
        </w:rPr>
        <w:t>检测结果分析</w:t>
      </w:r>
    </w:p>
    <w:p>
      <w:pPr>
        <w:widowControl/>
        <w:adjustRightInd w:val="0"/>
        <w:snapToGrid w:val="0"/>
        <w:spacing w:line="360" w:lineRule="auto"/>
        <w:ind w:firstLine="480" w:firstLineChars="200"/>
        <w:jc w:val="left"/>
        <w:rPr>
          <w:rFonts w:ascii="Times New Roman" w:hAnsi="Times New Roman" w:eastAsia="宋体" w:cs="Times New Roman"/>
          <w:bCs/>
          <w:sz w:val="24"/>
          <w:szCs w:val="20"/>
        </w:rPr>
      </w:pPr>
      <w:r>
        <w:rPr>
          <w:rFonts w:hint="eastAsia" w:ascii="Times New Roman" w:hAnsi="Times New Roman" w:eastAsia="宋体" w:cs="Times New Roman"/>
          <w:bCs/>
          <w:sz w:val="24"/>
          <w:szCs w:val="20"/>
          <w:lang w:eastAsia="zh-CN"/>
        </w:rPr>
        <w:t>经监测，该项目东、南、西厂界昼间噪声监测结果均符合《工业企业</w:t>
      </w:r>
      <w:r>
        <w:rPr>
          <w:rFonts w:ascii="Times New Roman" w:hAnsi="Times New Roman" w:eastAsia="宋体" w:cs="Times New Roman"/>
          <w:bCs/>
          <w:sz w:val="24"/>
          <w:szCs w:val="20"/>
        </w:rPr>
        <w:t>厂界环境噪声排放标准》（GB 12348-2008）表1中</w:t>
      </w:r>
      <w:r>
        <w:rPr>
          <w:rFonts w:hint="eastAsia" w:ascii="Times New Roman" w:hAnsi="Times New Roman" w:eastAsia="宋体" w:cs="Times New Roman"/>
          <w:bCs/>
          <w:sz w:val="24"/>
          <w:szCs w:val="20"/>
          <w:lang w:val="en-US" w:eastAsia="zh-CN"/>
        </w:rPr>
        <w:t>2</w:t>
      </w:r>
      <w:r>
        <w:rPr>
          <w:rFonts w:ascii="Times New Roman" w:hAnsi="Times New Roman" w:eastAsia="宋体" w:cs="Times New Roman"/>
          <w:bCs/>
          <w:sz w:val="24"/>
          <w:szCs w:val="20"/>
        </w:rPr>
        <w:t>类标准</w:t>
      </w:r>
      <w:r>
        <w:rPr>
          <w:rFonts w:hint="eastAsia" w:ascii="Times New Roman" w:hAnsi="Times New Roman" w:eastAsia="宋体" w:cs="Times New Roman"/>
          <w:bCs/>
          <w:sz w:val="24"/>
          <w:szCs w:val="20"/>
          <w:lang w:eastAsia="zh-CN"/>
        </w:rPr>
        <w:t>；北厂界昼间噪声监测结果符合《工业企业厂界环境噪声排放标准》（</w:t>
      </w:r>
      <w:r>
        <w:rPr>
          <w:rFonts w:hint="eastAsia" w:ascii="Times New Roman" w:hAnsi="Times New Roman" w:eastAsia="宋体" w:cs="Times New Roman"/>
          <w:bCs/>
          <w:sz w:val="24"/>
          <w:szCs w:val="20"/>
          <w:lang w:val="en-US" w:eastAsia="zh-CN"/>
        </w:rPr>
        <w:t>GB 12348-2008</w:t>
      </w:r>
      <w:r>
        <w:rPr>
          <w:rFonts w:hint="eastAsia" w:ascii="Times New Roman" w:hAnsi="Times New Roman" w:eastAsia="宋体" w:cs="Times New Roman"/>
          <w:bCs/>
          <w:sz w:val="24"/>
          <w:szCs w:val="20"/>
          <w:lang w:eastAsia="zh-CN"/>
        </w:rPr>
        <w:t>）表</w:t>
      </w:r>
      <w:r>
        <w:rPr>
          <w:rFonts w:hint="eastAsia" w:ascii="Times New Roman" w:hAnsi="Times New Roman" w:eastAsia="宋体" w:cs="Times New Roman"/>
          <w:bCs/>
          <w:sz w:val="24"/>
          <w:szCs w:val="20"/>
          <w:lang w:val="en-US" w:eastAsia="zh-CN"/>
        </w:rPr>
        <w:t>1中4类标准</w:t>
      </w:r>
      <w:r>
        <w:rPr>
          <w:rFonts w:ascii="Times New Roman" w:hAnsi="Times New Roman" w:eastAsia="宋体" w:cs="Times New Roman"/>
          <w:bCs/>
          <w:sz w:val="24"/>
          <w:szCs w:val="20"/>
        </w:rPr>
        <w:t>。</w:t>
      </w:r>
    </w:p>
    <w:p>
      <w:pPr>
        <w:pStyle w:val="6"/>
        <w:adjustRightInd w:val="0"/>
        <w:snapToGrid w:val="0"/>
        <w:spacing w:line="360" w:lineRule="auto"/>
        <w:rPr>
          <w:rFonts w:ascii="Times New Roman" w:hAnsi="Times New Roman" w:cs="Times New Roman"/>
        </w:rPr>
      </w:pPr>
      <w:bookmarkStart w:id="118" w:name="_Toc23607_WPSOffice_Level2"/>
      <w:r>
        <w:rPr>
          <w:rFonts w:ascii="Times New Roman" w:hAnsi="Times New Roman" w:cs="Times New Roman"/>
        </w:rPr>
        <w:t>7.3 总量控制要求</w:t>
      </w:r>
      <w:bookmarkEnd w:id="118"/>
    </w:p>
    <w:p>
      <w:pPr>
        <w:widowControl/>
        <w:adjustRightInd w:val="0"/>
        <w:snapToGrid w:val="0"/>
        <w:spacing w:line="360" w:lineRule="auto"/>
        <w:ind w:firstLine="480" w:firstLineChars="200"/>
        <w:rPr>
          <w:rFonts w:ascii="Times New Roman" w:hAnsi="Times New Roman" w:eastAsia="宋体" w:cs="Times New Roman"/>
          <w:kern w:val="0"/>
          <w:sz w:val="24"/>
          <w:szCs w:val="21"/>
        </w:rPr>
      </w:pPr>
      <w:r>
        <w:rPr>
          <w:rFonts w:ascii="Times New Roman" w:hAnsi="Times New Roman" w:eastAsia="宋体" w:cs="Times New Roman"/>
          <w:bCs/>
          <w:sz w:val="24"/>
          <w:szCs w:val="20"/>
        </w:rPr>
        <w:t>依据企业提供的资料和证明，年工作</w:t>
      </w:r>
      <w:r>
        <w:rPr>
          <w:rFonts w:hint="eastAsia" w:ascii="Times New Roman" w:hAnsi="Times New Roman" w:eastAsia="宋体" w:cs="Times New Roman"/>
          <w:bCs/>
          <w:sz w:val="24"/>
          <w:szCs w:val="20"/>
        </w:rPr>
        <w:t>300</w:t>
      </w:r>
      <w:r>
        <w:rPr>
          <w:rFonts w:ascii="Times New Roman" w:hAnsi="Times New Roman" w:eastAsia="宋体" w:cs="Times New Roman"/>
          <w:bCs/>
          <w:sz w:val="24"/>
          <w:szCs w:val="20"/>
        </w:rPr>
        <w:t>天，每天</w:t>
      </w:r>
      <w:r>
        <w:rPr>
          <w:rFonts w:hint="eastAsia" w:ascii="Times New Roman" w:hAnsi="Times New Roman" w:eastAsia="宋体" w:cs="Times New Roman"/>
          <w:bCs/>
          <w:sz w:val="24"/>
          <w:szCs w:val="20"/>
        </w:rPr>
        <w:t>工作8小时，采用1班制</w:t>
      </w:r>
      <w:r>
        <w:rPr>
          <w:rFonts w:ascii="Times New Roman" w:hAnsi="Times New Roman" w:eastAsia="宋体" w:cs="Times New Roman"/>
          <w:bCs/>
          <w:sz w:val="24"/>
          <w:szCs w:val="20"/>
        </w:rPr>
        <w:t>。年运行时间</w:t>
      </w:r>
      <w:r>
        <w:rPr>
          <w:rFonts w:hint="eastAsia" w:ascii="Times New Roman" w:hAnsi="Times New Roman" w:eastAsia="宋体" w:cs="Times New Roman"/>
          <w:bCs/>
          <w:sz w:val="24"/>
          <w:szCs w:val="20"/>
        </w:rPr>
        <w:t>2400h，</w:t>
      </w:r>
      <w:r>
        <w:rPr>
          <w:rFonts w:ascii="Times New Roman" w:hAnsi="Times New Roman" w:eastAsia="宋体" w:cs="Times New Roman"/>
          <w:bCs/>
          <w:sz w:val="24"/>
          <w:szCs w:val="20"/>
        </w:rPr>
        <w:t>该企业污染物排放</w:t>
      </w:r>
      <w:r>
        <w:rPr>
          <w:rFonts w:ascii="Times New Roman" w:hAnsi="Times New Roman" w:eastAsia="宋体" w:cs="Times New Roman"/>
          <w:kern w:val="0"/>
          <w:sz w:val="24"/>
          <w:szCs w:val="21"/>
        </w:rPr>
        <w:t>量为：</w:t>
      </w:r>
    </w:p>
    <w:p>
      <w:pPr>
        <w:widowControl/>
        <w:adjustRightInd w:val="0"/>
        <w:snapToGrid w:val="0"/>
        <w:spacing w:line="360" w:lineRule="auto"/>
        <w:ind w:firstLine="480" w:firstLineChars="200"/>
        <w:rPr>
          <w:rFonts w:ascii="Times New Roman" w:hAnsi="Times New Roman" w:eastAsia="宋体" w:cs="Times New Roman"/>
          <w:kern w:val="0"/>
          <w:sz w:val="24"/>
          <w:szCs w:val="21"/>
        </w:rPr>
      </w:pPr>
      <w:r>
        <w:rPr>
          <w:rFonts w:hint="eastAsia" w:ascii="Times New Roman" w:hAnsi="Times New Roman" w:eastAsia="宋体" w:cs="Times New Roman"/>
          <w:kern w:val="0"/>
          <w:sz w:val="24"/>
          <w:szCs w:val="21"/>
        </w:rPr>
        <w:t>项目无SO</w:t>
      </w:r>
      <w:r>
        <w:rPr>
          <w:rFonts w:hint="eastAsia" w:ascii="Times New Roman" w:hAnsi="Times New Roman" w:eastAsia="宋体" w:cs="Times New Roman"/>
          <w:kern w:val="0"/>
          <w:sz w:val="24"/>
          <w:szCs w:val="21"/>
          <w:vertAlign w:val="subscript"/>
        </w:rPr>
        <w:t>2</w:t>
      </w:r>
      <w:r>
        <w:rPr>
          <w:rFonts w:hint="eastAsia" w:ascii="Times New Roman" w:hAnsi="Times New Roman" w:eastAsia="宋体" w:cs="Times New Roman"/>
          <w:kern w:val="0"/>
          <w:sz w:val="24"/>
          <w:szCs w:val="21"/>
        </w:rPr>
        <w:t>和NO</w:t>
      </w:r>
      <w:r>
        <w:rPr>
          <w:rFonts w:hint="eastAsia" w:ascii="Times New Roman" w:hAnsi="Times New Roman" w:eastAsia="宋体" w:cs="Times New Roman"/>
          <w:kern w:val="0"/>
          <w:sz w:val="24"/>
          <w:szCs w:val="21"/>
          <w:vertAlign w:val="subscript"/>
        </w:rPr>
        <w:t>x</w:t>
      </w:r>
      <w:r>
        <w:rPr>
          <w:rFonts w:hint="eastAsia" w:ascii="Times New Roman" w:hAnsi="Times New Roman" w:eastAsia="宋体" w:cs="Times New Roman"/>
          <w:kern w:val="0"/>
          <w:sz w:val="24"/>
          <w:szCs w:val="21"/>
        </w:rPr>
        <w:t>排放。</w:t>
      </w:r>
    </w:p>
    <w:p>
      <w:pPr>
        <w:widowControl/>
        <w:adjustRightInd w:val="0"/>
        <w:snapToGrid w:val="0"/>
        <w:spacing w:line="360" w:lineRule="auto"/>
        <w:ind w:firstLine="480" w:firstLineChars="200"/>
        <w:rPr>
          <w:rFonts w:ascii="Times New Roman" w:hAnsi="Times New Roman" w:eastAsia="宋体" w:cs="Times New Roman"/>
          <w:kern w:val="0"/>
          <w:sz w:val="24"/>
          <w:szCs w:val="21"/>
        </w:rPr>
      </w:pPr>
      <w:r>
        <w:rPr>
          <w:rFonts w:hint="eastAsia" w:ascii="Times New Roman" w:hAnsi="Times New Roman" w:eastAsia="宋体" w:cs="Times New Roman"/>
          <w:kern w:val="0"/>
          <w:sz w:val="24"/>
          <w:szCs w:val="21"/>
        </w:rPr>
        <w:t>本项目无生产废水外排。</w:t>
      </w:r>
      <w:r>
        <w:rPr>
          <w:rFonts w:ascii="Times New Roman" w:hAnsi="Times New Roman" w:eastAsia="宋体" w:cs="Times New Roman"/>
          <w:kern w:val="0"/>
          <w:sz w:val="24"/>
          <w:szCs w:val="21"/>
        </w:rPr>
        <w:t>满足环评中给出的总量控制指标，</w:t>
      </w:r>
      <w:r>
        <w:rPr>
          <w:rFonts w:hint="eastAsia" w:ascii="Times New Roman" w:hAnsi="Times New Roman" w:eastAsia="宋体" w:cs="Times New Roman"/>
          <w:kern w:val="0"/>
          <w:sz w:val="24"/>
          <w:szCs w:val="21"/>
        </w:rPr>
        <w:t>COD：0t/a；氨氮：0t/a；SO</w:t>
      </w:r>
      <w:r>
        <w:rPr>
          <w:rFonts w:hint="eastAsia" w:ascii="Times New Roman" w:hAnsi="Times New Roman" w:eastAsia="宋体" w:cs="Times New Roman"/>
          <w:kern w:val="0"/>
          <w:sz w:val="24"/>
          <w:szCs w:val="21"/>
          <w:vertAlign w:val="subscript"/>
        </w:rPr>
        <w:t>2</w:t>
      </w:r>
      <w:r>
        <w:rPr>
          <w:rFonts w:hint="eastAsia" w:ascii="Times New Roman" w:hAnsi="Times New Roman" w:eastAsia="宋体" w:cs="Times New Roman"/>
          <w:kern w:val="0"/>
          <w:sz w:val="24"/>
          <w:szCs w:val="21"/>
        </w:rPr>
        <w:t>：0t/a；NOx：0t/a。</w:t>
      </w:r>
    </w:p>
    <w:p>
      <w:pPr>
        <w:widowControl/>
        <w:adjustRightInd w:val="0"/>
        <w:snapToGrid w:val="0"/>
        <w:spacing w:line="360" w:lineRule="auto"/>
        <w:ind w:firstLine="480" w:firstLineChars="200"/>
        <w:rPr>
          <w:rFonts w:ascii="Times New Roman" w:hAnsi="Times New Roman" w:eastAsia="宋体" w:cs="Times New Roman"/>
          <w:kern w:val="0"/>
          <w:sz w:val="24"/>
          <w:szCs w:val="21"/>
        </w:rPr>
        <w:sectPr>
          <w:pgSz w:w="11906" w:h="16838"/>
          <w:pgMar w:top="1417" w:right="1417" w:bottom="1559" w:left="1417" w:header="851" w:footer="992" w:gutter="0"/>
          <w:pgBorders>
            <w:top w:val="none" w:sz="0" w:space="0"/>
            <w:left w:val="none" w:sz="0" w:space="0"/>
            <w:bottom w:val="none" w:sz="0" w:space="0"/>
            <w:right w:val="none" w:sz="0" w:space="0"/>
          </w:pgBorders>
          <w:cols w:space="425" w:num="1"/>
          <w:docGrid w:type="lines" w:linePitch="312" w:charSpace="0"/>
        </w:sectPr>
      </w:pPr>
    </w:p>
    <w:p>
      <w:pPr>
        <w:pStyle w:val="5"/>
        <w:adjustRightInd w:val="0"/>
        <w:snapToGrid w:val="0"/>
        <w:spacing w:line="360" w:lineRule="auto"/>
        <w:rPr>
          <w:rFonts w:ascii="Times New Roman" w:hAnsi="Times New Roman" w:cs="Times New Roman"/>
        </w:rPr>
      </w:pPr>
      <w:r>
        <w:rPr>
          <w:rFonts w:ascii="Times New Roman" w:hAnsi="Times New Roman" w:cs="Times New Roman"/>
        </w:rPr>
        <w:t>8 环境管理检查</w:t>
      </w:r>
    </w:p>
    <w:p>
      <w:pPr>
        <w:pStyle w:val="6"/>
        <w:adjustRightInd w:val="0"/>
        <w:snapToGrid w:val="0"/>
        <w:spacing w:line="360" w:lineRule="auto"/>
        <w:rPr>
          <w:rFonts w:ascii="Times New Roman" w:hAnsi="Times New Roman" w:cs="Times New Roman"/>
        </w:rPr>
      </w:pPr>
      <w:bookmarkStart w:id="119" w:name="_Toc8835_WPSOffice_Level2"/>
      <w:r>
        <w:rPr>
          <w:rFonts w:ascii="Times New Roman" w:hAnsi="Times New Roman" w:cs="Times New Roman"/>
        </w:rPr>
        <w:t>8.1 环保管理机构</w:t>
      </w:r>
      <w:bookmarkEnd w:id="119"/>
    </w:p>
    <w:p>
      <w:pPr>
        <w:adjustRightInd w:val="0"/>
        <w:snapToGrid w:val="0"/>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沧县东达五金制品加工厂</w:t>
      </w:r>
      <w:r>
        <w:rPr>
          <w:rFonts w:ascii="Times New Roman" w:hAnsi="Times New Roman" w:eastAsia="宋体" w:cs="Times New Roman"/>
          <w:sz w:val="24"/>
          <w:szCs w:val="24"/>
        </w:rPr>
        <w:t>环境管理由公司</w:t>
      </w:r>
      <w:r>
        <w:rPr>
          <w:rFonts w:hint="eastAsia" w:ascii="Times New Roman" w:hAnsi="Times New Roman" w:eastAsia="宋体" w:cs="Times New Roman"/>
          <w:sz w:val="24"/>
          <w:szCs w:val="24"/>
        </w:rPr>
        <w:t>管理科</w:t>
      </w:r>
      <w:r>
        <w:rPr>
          <w:rFonts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6"/>
        <w:adjustRightInd w:val="0"/>
        <w:snapToGrid w:val="0"/>
        <w:spacing w:line="360" w:lineRule="auto"/>
        <w:rPr>
          <w:rFonts w:ascii="Times New Roman" w:hAnsi="Times New Roman" w:cs="Times New Roman"/>
          <w:snapToGrid w:val="0"/>
        </w:rPr>
      </w:pPr>
      <w:bookmarkStart w:id="120" w:name="_Toc24742_WPSOffice_Level2"/>
      <w:bookmarkStart w:id="121" w:name="_Toc412705194"/>
      <w:bookmarkStart w:id="122" w:name="_Toc294178076"/>
      <w:r>
        <w:rPr>
          <w:rFonts w:ascii="Times New Roman" w:hAnsi="Times New Roman" w:cs="Times New Roman"/>
          <w:snapToGrid w:val="0"/>
        </w:rPr>
        <w:t>8.2 施工期环境管理</w:t>
      </w:r>
      <w:bookmarkEnd w:id="120"/>
      <w:bookmarkEnd w:id="121"/>
      <w:bookmarkEnd w:id="122"/>
    </w:p>
    <w:p>
      <w:pPr>
        <w:adjustRightInd w:val="0"/>
        <w:snapToGrid w:val="0"/>
        <w:spacing w:line="360" w:lineRule="auto"/>
        <w:ind w:firstLine="482"/>
        <w:rPr>
          <w:rFonts w:ascii="Times New Roman" w:hAnsi="Times New Roman" w:eastAsia="宋体" w:cs="Times New Roman"/>
          <w:sz w:val="24"/>
          <w:szCs w:val="24"/>
        </w:rPr>
      </w:pPr>
      <w:r>
        <w:rPr>
          <w:rFonts w:ascii="Times New Roman" w:hAnsi="Times New Roman" w:eastAsia="宋体" w:cs="Times New Roman"/>
          <w:sz w:val="24"/>
          <w:szCs w:val="24"/>
        </w:rPr>
        <w:t>本工程在施工招标文件中严格要求施工单位按设计文件施工，特别是按环保设计要求提出的措施要求进行施工。</w:t>
      </w:r>
    </w:p>
    <w:p>
      <w:pPr>
        <w:pStyle w:val="6"/>
        <w:adjustRightInd w:val="0"/>
        <w:snapToGrid w:val="0"/>
        <w:spacing w:line="360" w:lineRule="auto"/>
        <w:rPr>
          <w:rFonts w:ascii="Times New Roman" w:hAnsi="Times New Roman" w:cs="Times New Roman"/>
        </w:rPr>
      </w:pPr>
      <w:bookmarkStart w:id="123" w:name="_Toc8917_WPSOffice_Level2"/>
      <w:bookmarkStart w:id="124" w:name="_Toc294178077"/>
      <w:bookmarkStart w:id="125" w:name="_Toc412705195"/>
      <w:r>
        <w:rPr>
          <w:rFonts w:ascii="Times New Roman" w:hAnsi="Times New Roman" w:cs="Times New Roman"/>
        </w:rPr>
        <w:t>8.3 运行期环境管理</w:t>
      </w:r>
      <w:bookmarkEnd w:id="123"/>
      <w:bookmarkEnd w:id="124"/>
      <w:bookmarkEnd w:id="125"/>
    </w:p>
    <w:p>
      <w:pPr>
        <w:adjustRightInd w:val="0"/>
        <w:snapToGrid w:val="0"/>
        <w:spacing w:line="360" w:lineRule="auto"/>
        <w:ind w:firstLine="480" w:firstLineChars="200"/>
        <w:rPr>
          <w:rFonts w:ascii="Times New Roman" w:hAnsi="Times New Roman" w:eastAsia="宋体" w:cs="Times New Roman"/>
          <w:sz w:val="24"/>
          <w:szCs w:val="24"/>
        </w:rPr>
      </w:pPr>
      <w:bookmarkStart w:id="126" w:name="_Toc294178078"/>
      <w:r>
        <w:rPr>
          <w:rFonts w:hint="eastAsia" w:ascii="Times New Roman" w:hAnsi="Times New Roman" w:eastAsia="宋体" w:cs="Times New Roman"/>
          <w:sz w:val="24"/>
          <w:szCs w:val="24"/>
          <w:lang w:eastAsia="zh-CN"/>
        </w:rPr>
        <w:t>沧县东达五金制品加工厂</w:t>
      </w:r>
      <w:r>
        <w:rPr>
          <w:rFonts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p>
    <w:bookmarkEnd w:id="126"/>
    <w:p>
      <w:pPr>
        <w:adjustRightInd w:val="0"/>
        <w:snapToGrid w:val="0"/>
        <w:spacing w:line="360" w:lineRule="auto"/>
        <w:ind w:firstLine="480" w:firstLineChars="200"/>
        <w:rPr>
          <w:rFonts w:ascii="Times New Roman" w:hAnsi="Times New Roman" w:eastAsia="宋体" w:cs="Times New Roman"/>
          <w:sz w:val="24"/>
          <w:szCs w:val="24"/>
        </w:rPr>
      </w:pPr>
      <w:bookmarkStart w:id="127" w:name="_Toc414220604"/>
      <w:bookmarkStart w:id="128" w:name="_Toc412705199"/>
      <w:r>
        <w:rPr>
          <w:rFonts w:ascii="Times New Roman" w:hAnsi="Times New Roman" w:eastAsia="宋体" w:cs="Times New Roman"/>
          <w:sz w:val="24"/>
          <w:szCs w:val="24"/>
        </w:rPr>
        <w:t>公司</w:t>
      </w:r>
      <w:r>
        <w:rPr>
          <w:rFonts w:hint="eastAsia" w:ascii="Times New Roman" w:hAnsi="Times New Roman" w:eastAsia="宋体" w:cs="Times New Roman"/>
          <w:sz w:val="24"/>
          <w:szCs w:val="24"/>
        </w:rPr>
        <w:t>按相关规定</w:t>
      </w:r>
      <w:r>
        <w:rPr>
          <w:rFonts w:ascii="Times New Roman" w:hAnsi="Times New Roman" w:eastAsia="宋体" w:cs="Times New Roman"/>
          <w:sz w:val="24"/>
          <w:szCs w:val="24"/>
        </w:rPr>
        <w:t>定期对公司废气</w:t>
      </w:r>
      <w:r>
        <w:rPr>
          <w:rFonts w:hint="eastAsia" w:ascii="Times New Roman" w:hAnsi="Times New Roman" w:eastAsia="宋体" w:cs="Times New Roman"/>
          <w:sz w:val="24"/>
          <w:szCs w:val="24"/>
        </w:rPr>
        <w:t>、废水、噪声</w:t>
      </w:r>
      <w:r>
        <w:rPr>
          <w:rFonts w:ascii="Times New Roman" w:hAnsi="Times New Roman" w:eastAsia="宋体" w:cs="Times New Roman"/>
          <w:sz w:val="24"/>
          <w:szCs w:val="24"/>
        </w:rPr>
        <w:t>进行检测。</w:t>
      </w:r>
    </w:p>
    <w:p>
      <w:pPr>
        <w:pStyle w:val="6"/>
        <w:adjustRightInd w:val="0"/>
        <w:snapToGrid w:val="0"/>
        <w:spacing w:line="360" w:lineRule="auto"/>
        <w:rPr>
          <w:rFonts w:ascii="Times New Roman" w:hAnsi="Times New Roman" w:cs="Times New Roman"/>
        </w:rPr>
      </w:pPr>
      <w:bookmarkStart w:id="129" w:name="_Toc412705196"/>
      <w:bookmarkStart w:id="130" w:name="_Toc414220602"/>
      <w:bookmarkStart w:id="131" w:name="_Toc6002_WPSOffice_Level2"/>
      <w:r>
        <w:rPr>
          <w:rFonts w:ascii="Times New Roman" w:hAnsi="Times New Roman" w:cs="Times New Roman"/>
        </w:rPr>
        <w:t>8.4 社会环境影响情况调查</w:t>
      </w:r>
      <w:bookmarkEnd w:id="129"/>
      <w:bookmarkEnd w:id="130"/>
      <w:bookmarkEnd w:id="131"/>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经咨询当地环保主管部门，项目建设及试运行期间未发生扰民和公众投诉意见。</w:t>
      </w:r>
    </w:p>
    <w:p>
      <w:pPr>
        <w:pStyle w:val="6"/>
        <w:adjustRightInd w:val="0"/>
        <w:snapToGrid w:val="0"/>
        <w:spacing w:line="360" w:lineRule="auto"/>
        <w:rPr>
          <w:rFonts w:ascii="Times New Roman" w:hAnsi="Times New Roman" w:cs="Times New Roman"/>
        </w:rPr>
      </w:pPr>
      <w:bookmarkStart w:id="132" w:name="_Toc1950_WPSOffice_Level2"/>
      <w:r>
        <w:rPr>
          <w:rFonts w:ascii="Times New Roman" w:hAnsi="Times New Roman" w:cs="Times New Roman"/>
        </w:rPr>
        <w:t>8.5 环境管理情况分析</w:t>
      </w:r>
      <w:bookmarkEnd w:id="127"/>
      <w:bookmarkEnd w:id="128"/>
      <w:bookmarkEnd w:id="132"/>
    </w:p>
    <w:p>
      <w:pPr>
        <w:adjustRightInd w:val="0"/>
        <w:snapToGrid w:val="0"/>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建设单位和运行单位设置了相应的环境管理机构，并且正常履行了运行期的环境职责，运行初期的检测工作也已经完成，后续检测计划按周期正常进行。</w:t>
      </w:r>
    </w:p>
    <w:p>
      <w:pPr>
        <w:adjustRightInd w:val="0"/>
        <w:snapToGrid w:val="0"/>
        <w:spacing w:line="360" w:lineRule="auto"/>
        <w:rPr>
          <w:rFonts w:ascii="Times New Roman" w:hAnsi="Times New Roman"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5"/>
        <w:adjustRightInd w:val="0"/>
        <w:snapToGrid w:val="0"/>
        <w:spacing w:line="360" w:lineRule="auto"/>
        <w:rPr>
          <w:rFonts w:ascii="Times New Roman" w:hAnsi="Times New Roman" w:cs="Times New Roman"/>
        </w:rPr>
      </w:pPr>
      <w:r>
        <w:rPr>
          <w:rFonts w:ascii="Times New Roman" w:hAnsi="Times New Roman" w:cs="Times New Roman"/>
        </w:rPr>
        <w:t>9 结论和建议</w:t>
      </w:r>
    </w:p>
    <w:p>
      <w:pPr>
        <w:pStyle w:val="6"/>
        <w:keepNext w:val="0"/>
        <w:keepLines w:val="0"/>
        <w:pageBreakBefore w:val="0"/>
        <w:widowControl w:val="0"/>
        <w:kinsoku/>
        <w:wordWrap/>
        <w:overflowPunct/>
        <w:topLinePunct w:val="0"/>
        <w:autoSpaceDE/>
        <w:autoSpaceDN/>
        <w:bidi w:val="0"/>
        <w:adjustRightInd w:val="0"/>
        <w:snapToGrid w:val="0"/>
        <w:spacing w:line="360" w:lineRule="auto"/>
        <w:ind w:firstLine="0" w:firstLineChars="0"/>
        <w:textAlignment w:val="auto"/>
        <w:rPr>
          <w:rFonts w:ascii="Times New Roman" w:hAnsi="Times New Roman" w:cs="Times New Roman"/>
        </w:rPr>
      </w:pPr>
      <w:bookmarkStart w:id="133" w:name="_Toc9603_WPSOffice_Level2"/>
      <w:r>
        <w:rPr>
          <w:rFonts w:ascii="Times New Roman" w:hAnsi="Times New Roman" w:cs="Times New Roman"/>
        </w:rPr>
        <w:t>9.1 验收主要结论</w:t>
      </w:r>
      <w:bookmarkEnd w:id="133"/>
    </w:p>
    <w:p>
      <w:pPr>
        <w:widowControl/>
        <w:adjustRightInd w:val="0"/>
        <w:snapToGrid w:val="0"/>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eastAsia="zh-CN"/>
        </w:rPr>
        <w:t>沧县东达五金制品加工厂年产100吨刀片刺绳卡扣及各种配件项目位于</w:t>
      </w:r>
      <w:r>
        <w:rPr>
          <w:rFonts w:hint="eastAsia"/>
          <w:kern w:val="0"/>
          <w:sz w:val="24"/>
          <w:szCs w:val="20"/>
          <w:u w:val="none" w:color="000000"/>
          <w:lang w:eastAsia="zh-CN"/>
        </w:rPr>
        <w:t>河北省沧州市沧县张官屯乡大马庄村</w:t>
      </w:r>
      <w:r>
        <w:rPr>
          <w:rFonts w:hint="eastAsia" w:ascii="Times New Roman" w:hAnsi="Times New Roman" w:eastAsia="宋体" w:cs="Times New Roman"/>
          <w:sz w:val="24"/>
          <w:szCs w:val="24"/>
          <w:lang w:eastAsia="zh-CN"/>
        </w:rPr>
        <w:t>，该项目现已完成。受沧县东达五金制品加工厂委托，河北海蓝环境检测服务有限公司于</w:t>
      </w:r>
      <w:r>
        <w:rPr>
          <w:rFonts w:hint="eastAsia" w:ascii="Times New Roman" w:hAnsi="Times New Roman" w:eastAsia="宋体" w:cs="Times New Roman"/>
          <w:sz w:val="24"/>
          <w:szCs w:val="24"/>
          <w:lang w:val="en-US" w:eastAsia="zh-CN"/>
        </w:rPr>
        <w:t>2019年11月1日~11月2日对该项目进行了环境保护设施竣工验收监测，监测结论如下：</w:t>
      </w:r>
    </w:p>
    <w:p>
      <w:pPr>
        <w:pStyle w:val="2"/>
        <w:spacing w:line="480" w:lineRule="auto"/>
        <w:ind w:firstLine="480" w:firstLineChars="200"/>
        <w:rPr>
          <w:rFonts w:hint="eastAsia" w:ascii="楷体" w:hAnsi="楷体" w:eastAsia="楷体" w:cs="楷体"/>
          <w:color w:val="auto"/>
          <w:sz w:val="24"/>
          <w:szCs w:val="24"/>
          <w:lang w:eastAsia="zh-CN"/>
        </w:rPr>
      </w:pPr>
      <w:r>
        <w:rPr>
          <w:rFonts w:hint="eastAsia" w:ascii="宋体" w:hAnsi="宋体" w:eastAsia="宋体" w:cs="宋体"/>
          <w:color w:val="auto"/>
          <w:sz w:val="24"/>
          <w:szCs w:val="24"/>
        </w:rPr>
        <w:t>该</w:t>
      </w:r>
      <w:r>
        <w:rPr>
          <w:rFonts w:hint="eastAsia" w:ascii="宋体" w:hAnsi="宋体" w:eastAsia="宋体" w:cs="宋体"/>
          <w:color w:val="auto"/>
          <w:sz w:val="24"/>
          <w:szCs w:val="24"/>
          <w:lang w:eastAsia="zh-CN"/>
        </w:rPr>
        <w:t>项目</w:t>
      </w:r>
      <w:r>
        <w:rPr>
          <w:rFonts w:hint="eastAsia" w:ascii="宋体" w:hAnsi="宋体" w:eastAsia="宋体" w:cs="宋体"/>
          <w:color w:val="auto"/>
          <w:sz w:val="24"/>
          <w:szCs w:val="24"/>
        </w:rPr>
        <w:t>噪声</w:t>
      </w:r>
      <w:r>
        <w:rPr>
          <w:rFonts w:hint="eastAsia" w:ascii="宋体" w:hAnsi="宋体" w:eastAsia="宋体" w:cs="宋体"/>
          <w:color w:val="auto"/>
          <w:sz w:val="24"/>
          <w:szCs w:val="24"/>
          <w:lang w:eastAsia="zh-CN"/>
        </w:rPr>
        <w:t>检测</w:t>
      </w:r>
      <w:r>
        <w:rPr>
          <w:rFonts w:hint="eastAsia" w:ascii="宋体" w:hAnsi="宋体" w:eastAsia="宋体" w:cs="宋体"/>
          <w:color w:val="auto"/>
          <w:sz w:val="24"/>
          <w:szCs w:val="24"/>
        </w:rPr>
        <w:t>布设</w:t>
      </w:r>
      <w:r>
        <w:rPr>
          <w:rFonts w:hint="eastAsia" w:ascii="宋体" w:hAnsi="宋体" w:eastAsia="宋体" w:cs="宋体"/>
          <w:color w:val="auto"/>
          <w:sz w:val="24"/>
          <w:szCs w:val="24"/>
          <w:lang w:val="en-US" w:eastAsia="zh-CN"/>
        </w:rPr>
        <w:t>4</w:t>
      </w:r>
      <w:r>
        <w:rPr>
          <w:rFonts w:hint="eastAsia" w:ascii="宋体" w:hAnsi="宋体" w:eastAsia="宋体" w:cs="宋体"/>
          <w:color w:val="auto"/>
          <w:sz w:val="24"/>
          <w:szCs w:val="24"/>
        </w:rPr>
        <w:t>个</w:t>
      </w:r>
      <w:r>
        <w:rPr>
          <w:rFonts w:hint="eastAsia" w:ascii="宋体" w:hAnsi="宋体" w:eastAsia="宋体" w:cs="宋体"/>
          <w:color w:val="auto"/>
          <w:sz w:val="24"/>
          <w:szCs w:val="24"/>
          <w:lang w:eastAsia="zh-CN"/>
        </w:rPr>
        <w:t>检测</w:t>
      </w:r>
      <w:r>
        <w:rPr>
          <w:rFonts w:hint="eastAsia" w:ascii="宋体" w:hAnsi="宋体" w:eastAsia="宋体" w:cs="宋体"/>
          <w:color w:val="auto"/>
          <w:sz w:val="24"/>
          <w:szCs w:val="24"/>
        </w:rPr>
        <w:t>点位，噪声</w:t>
      </w:r>
      <w:r>
        <w:rPr>
          <w:rFonts w:hint="eastAsia" w:ascii="宋体" w:hAnsi="宋体" w:eastAsia="宋体" w:cs="宋体"/>
          <w:color w:val="auto"/>
          <w:sz w:val="24"/>
          <w:szCs w:val="24"/>
          <w:lang w:eastAsia="zh-CN"/>
        </w:rPr>
        <w:t>检测</w:t>
      </w:r>
      <w:r>
        <w:rPr>
          <w:rFonts w:hint="eastAsia" w:ascii="宋体" w:hAnsi="宋体" w:eastAsia="宋体" w:cs="宋体"/>
          <w:color w:val="auto"/>
          <w:sz w:val="24"/>
          <w:szCs w:val="24"/>
        </w:rPr>
        <w:t>结果</w:t>
      </w:r>
      <w:r>
        <w:rPr>
          <w:rFonts w:hint="eastAsia" w:ascii="宋体" w:hAnsi="宋体" w:eastAsia="宋体" w:cs="宋体"/>
          <w:color w:val="auto"/>
          <w:sz w:val="24"/>
          <w:szCs w:val="24"/>
          <w:lang w:eastAsia="zh-CN"/>
        </w:rPr>
        <w:t>东、西、南、北边界</w:t>
      </w:r>
      <w:r>
        <w:rPr>
          <w:rFonts w:hint="eastAsia" w:ascii="宋体" w:hAnsi="宋体" w:eastAsia="宋体" w:cs="宋体"/>
          <w:color w:val="auto"/>
          <w:sz w:val="24"/>
          <w:szCs w:val="24"/>
        </w:rPr>
        <w:t>昼间</w:t>
      </w:r>
      <w:r>
        <w:rPr>
          <w:rFonts w:hint="eastAsia" w:ascii="宋体" w:hAnsi="宋体" w:eastAsia="宋体" w:cs="宋体"/>
          <w:color w:val="auto"/>
          <w:sz w:val="24"/>
          <w:szCs w:val="24"/>
          <w:lang w:eastAsia="zh-CN"/>
        </w:rPr>
        <w:t>噪声值范围为</w:t>
      </w:r>
      <w:r>
        <w:rPr>
          <w:rFonts w:hint="eastAsia" w:ascii="宋体" w:hAnsi="宋体" w:eastAsia="宋体" w:cs="宋体"/>
          <w:color w:val="auto"/>
          <w:sz w:val="24"/>
          <w:szCs w:val="24"/>
          <w:lang w:val="en-US" w:eastAsia="zh-CN"/>
        </w:rPr>
        <w:t>53.～57.7</w:t>
      </w:r>
      <w:r>
        <w:rPr>
          <w:rFonts w:hint="eastAsia" w:ascii="宋体" w:hAnsi="宋体" w:eastAsia="宋体" w:cs="宋体"/>
          <w:color w:val="auto"/>
          <w:sz w:val="24"/>
          <w:szCs w:val="24"/>
        </w:rPr>
        <w:t>dB（A）</w:t>
      </w:r>
      <w:r>
        <w:rPr>
          <w:rFonts w:hint="eastAsia" w:ascii="宋体" w:hAnsi="宋体" w:eastAsia="宋体" w:cs="宋体"/>
          <w:color w:val="auto"/>
          <w:sz w:val="24"/>
          <w:szCs w:val="24"/>
          <w:lang w:eastAsia="zh-CN"/>
        </w:rPr>
        <w:t>，夜</w:t>
      </w:r>
      <w:r>
        <w:rPr>
          <w:rFonts w:hint="eastAsia" w:ascii="宋体" w:hAnsi="宋体" w:eastAsia="宋体" w:cs="宋体"/>
          <w:color w:val="auto"/>
          <w:sz w:val="24"/>
          <w:szCs w:val="24"/>
        </w:rPr>
        <w:t>间</w:t>
      </w:r>
      <w:r>
        <w:rPr>
          <w:rFonts w:hint="eastAsia" w:ascii="宋体" w:hAnsi="宋体" w:eastAsia="宋体" w:cs="宋体"/>
          <w:color w:val="auto"/>
          <w:sz w:val="24"/>
          <w:szCs w:val="24"/>
          <w:lang w:eastAsia="zh-CN"/>
        </w:rPr>
        <w:t>不生产，检测</w:t>
      </w:r>
      <w:r>
        <w:rPr>
          <w:rFonts w:hint="eastAsia" w:ascii="宋体" w:hAnsi="宋体" w:eastAsia="宋体" w:cs="宋体"/>
          <w:color w:val="auto"/>
          <w:sz w:val="24"/>
          <w:szCs w:val="24"/>
        </w:rPr>
        <w:t>结果</w:t>
      </w:r>
      <w:r>
        <w:rPr>
          <w:rFonts w:hint="eastAsia" w:ascii="宋体" w:hAnsi="宋体" w:eastAsia="宋体" w:cs="宋体"/>
          <w:color w:val="auto"/>
          <w:sz w:val="24"/>
          <w:szCs w:val="24"/>
          <w:lang w:eastAsia="zh-CN"/>
        </w:rPr>
        <w:t>符合</w:t>
      </w:r>
      <w:r>
        <w:rPr>
          <w:rFonts w:hint="eastAsia" w:ascii="宋体" w:hAnsi="宋体" w:eastAsia="宋体" w:cs="宋体"/>
          <w:color w:val="auto"/>
          <w:sz w:val="24"/>
          <w:szCs w:val="24"/>
        </w:rPr>
        <w:t>《</w:t>
      </w:r>
      <w:r>
        <w:rPr>
          <w:rFonts w:hint="eastAsia" w:ascii="宋体" w:hAnsi="宋体" w:eastAsia="宋体" w:cs="宋体"/>
          <w:color w:val="auto"/>
          <w:sz w:val="24"/>
          <w:szCs w:val="24"/>
          <w:lang w:eastAsia="zh-CN"/>
        </w:rPr>
        <w:t>工业企业厂界</w:t>
      </w:r>
      <w:r>
        <w:rPr>
          <w:rFonts w:hint="eastAsia" w:ascii="宋体" w:hAnsi="宋体" w:eastAsia="宋体" w:cs="宋体"/>
          <w:color w:val="auto"/>
          <w:sz w:val="24"/>
          <w:szCs w:val="24"/>
        </w:rPr>
        <w:t>环境噪声排放标准》（GB</w:t>
      </w:r>
      <w:r>
        <w:rPr>
          <w:rFonts w:hint="eastAsia" w:ascii="宋体" w:hAnsi="宋体" w:eastAsia="宋体" w:cs="宋体"/>
          <w:color w:val="auto"/>
          <w:sz w:val="24"/>
          <w:szCs w:val="24"/>
          <w:lang w:val="en-US" w:eastAsia="zh-CN"/>
        </w:rPr>
        <w:t>12348</w:t>
      </w:r>
      <w:r>
        <w:rPr>
          <w:rFonts w:hint="eastAsia" w:ascii="宋体" w:hAnsi="宋体" w:eastAsia="宋体" w:cs="宋体"/>
          <w:color w:val="auto"/>
          <w:sz w:val="24"/>
          <w:szCs w:val="24"/>
        </w:rPr>
        <w:t>-2008）</w:t>
      </w: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rPr>
        <w:t>类标准</w:t>
      </w:r>
      <w:r>
        <w:rPr>
          <w:rFonts w:hint="eastAsia" w:ascii="宋体" w:hAnsi="宋体" w:eastAsia="宋体" w:cs="宋体"/>
          <w:color w:val="auto"/>
          <w:sz w:val="24"/>
          <w:szCs w:val="24"/>
          <w:lang w:eastAsia="zh-CN"/>
        </w:rPr>
        <w:t>。</w:t>
      </w:r>
    </w:p>
    <w:p>
      <w:pPr>
        <w:pStyle w:val="6"/>
        <w:rPr>
          <w:rFonts w:ascii="Times New Roman" w:hAnsi="Times New Roman" w:cs="Times New Roman"/>
        </w:rPr>
      </w:pPr>
      <w:bookmarkStart w:id="134" w:name="_Toc22216_WPSOffice_Level2"/>
      <w:r>
        <w:rPr>
          <w:rFonts w:ascii="Times New Roman" w:hAnsi="Times New Roman" w:cs="Times New Roman"/>
        </w:rPr>
        <w:t>9.2 建议</w:t>
      </w:r>
      <w:bookmarkEnd w:id="134"/>
    </w:p>
    <w:p>
      <w:pPr>
        <w:widowControl/>
        <w:spacing w:line="480" w:lineRule="atLeas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1、要</w:t>
      </w:r>
      <w:r>
        <w:rPr>
          <w:rFonts w:ascii="Times New Roman" w:hAnsi="Times New Roman" w:eastAsia="宋体" w:cs="Times New Roman"/>
          <w:sz w:val="24"/>
          <w:szCs w:val="24"/>
        </w:rPr>
        <w:t>加强</w:t>
      </w:r>
      <w:r>
        <w:rPr>
          <w:rFonts w:hint="eastAsia" w:ascii="Times New Roman" w:hAnsi="Times New Roman" w:eastAsia="宋体" w:cs="Times New Roman"/>
          <w:sz w:val="24"/>
          <w:szCs w:val="24"/>
        </w:rPr>
        <w:t>环境管理和职工环保教育，增进职工的环保意识</w:t>
      </w:r>
      <w:r>
        <w:rPr>
          <w:rFonts w:ascii="Times New Roman" w:hAnsi="Times New Roman" w:eastAsia="宋体" w:cs="Times New Roman"/>
          <w:sz w:val="24"/>
          <w:szCs w:val="24"/>
        </w:rPr>
        <w:t>。</w:t>
      </w:r>
    </w:p>
    <w:p>
      <w:pPr>
        <w:widowControl/>
        <w:spacing w:line="480" w:lineRule="atLeast"/>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2、加强日常环境管理以确保污染物长期稳定达标排放。</w:t>
      </w:r>
    </w:p>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69395644"/>
    </w:sdtPr>
    <w:sdtEndPr>
      <w:rPr>
        <w:rFonts w:ascii="Times New Roman" w:hAnsi="Times New Roman" w:cs="Times New Roman"/>
      </w:rPr>
    </w:sdtEndPr>
    <w:sdtContent>
      <w:p>
        <w:pPr>
          <w:pStyle w:val="9"/>
          <w:jc w:val="cente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19</w:t>
        </w:r>
        <w:r>
          <w:rPr>
            <w:rFonts w:ascii="Times New Roman" w:hAnsi="Times New Roman" w:cs="Times New Roman"/>
          </w:rP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94278BE"/>
    <w:rsid w:val="016A2490"/>
    <w:rsid w:val="0F847698"/>
    <w:rsid w:val="11D60962"/>
    <w:rsid w:val="15B03676"/>
    <w:rsid w:val="15BD66BC"/>
    <w:rsid w:val="18BC624F"/>
    <w:rsid w:val="1DA47349"/>
    <w:rsid w:val="214071C0"/>
    <w:rsid w:val="228413BE"/>
    <w:rsid w:val="24B47E30"/>
    <w:rsid w:val="25074929"/>
    <w:rsid w:val="26F8487C"/>
    <w:rsid w:val="27437CB7"/>
    <w:rsid w:val="27E04D55"/>
    <w:rsid w:val="28AF0389"/>
    <w:rsid w:val="294278BE"/>
    <w:rsid w:val="29DF2A00"/>
    <w:rsid w:val="2D58271D"/>
    <w:rsid w:val="30FA1CFC"/>
    <w:rsid w:val="315F09E3"/>
    <w:rsid w:val="32596D95"/>
    <w:rsid w:val="343C5BFD"/>
    <w:rsid w:val="35302608"/>
    <w:rsid w:val="36D1066C"/>
    <w:rsid w:val="37F6316E"/>
    <w:rsid w:val="3C4A6418"/>
    <w:rsid w:val="458D48C4"/>
    <w:rsid w:val="4F8D3847"/>
    <w:rsid w:val="55DA3F7C"/>
    <w:rsid w:val="567B19C4"/>
    <w:rsid w:val="5A220811"/>
    <w:rsid w:val="5BCC7460"/>
    <w:rsid w:val="5F8166C9"/>
    <w:rsid w:val="60D41C1D"/>
    <w:rsid w:val="63625781"/>
    <w:rsid w:val="64CC2BF6"/>
    <w:rsid w:val="6597556F"/>
    <w:rsid w:val="69017CE0"/>
    <w:rsid w:val="6A4E6056"/>
    <w:rsid w:val="6FAF45AD"/>
    <w:rsid w:val="7003068F"/>
    <w:rsid w:val="72577F96"/>
    <w:rsid w:val="74CC3438"/>
    <w:rsid w:val="74D571E2"/>
    <w:rsid w:val="74ED1437"/>
    <w:rsid w:val="756925B9"/>
    <w:rsid w:val="77D00620"/>
    <w:rsid w:val="7A222BA8"/>
    <w:rsid w:val="7D4D43A8"/>
    <w:rsid w:val="7DB338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qFormat="1"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5">
    <w:name w:val="heading 1"/>
    <w:basedOn w:val="1"/>
    <w:next w:val="1"/>
    <w:qFormat/>
    <w:uiPriority w:val="0"/>
    <w:pPr>
      <w:spacing w:line="480" w:lineRule="atLeast"/>
      <w:outlineLvl w:val="0"/>
    </w:pPr>
    <w:rPr>
      <w:rFonts w:ascii="宋体" w:hAnsi="宋体" w:eastAsia="宋体"/>
      <w:b/>
      <w:sz w:val="30"/>
      <w:szCs w:val="30"/>
    </w:rPr>
  </w:style>
  <w:style w:type="paragraph" w:styleId="6">
    <w:name w:val="heading 2"/>
    <w:basedOn w:val="5"/>
    <w:next w:val="1"/>
    <w:qFormat/>
    <w:uiPriority w:val="0"/>
    <w:pPr>
      <w:outlineLvl w:val="1"/>
    </w:pPr>
    <w:rPr>
      <w:sz w:val="28"/>
    </w:rPr>
  </w:style>
  <w:style w:type="paragraph" w:styleId="7">
    <w:name w:val="heading 3"/>
    <w:basedOn w:val="1"/>
    <w:next w:val="1"/>
    <w:qFormat/>
    <w:uiPriority w:val="0"/>
    <w:pPr>
      <w:spacing w:line="480" w:lineRule="atLeast"/>
      <w:outlineLvl w:val="2"/>
    </w:pPr>
    <w:rPr>
      <w:rFonts w:ascii="宋体" w:hAnsi="宋体" w:eastAsia="宋体"/>
      <w:sz w:val="24"/>
      <w:szCs w:val="24"/>
    </w:rPr>
  </w:style>
  <w:style w:type="character" w:default="1" w:styleId="12">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Normal Indent"/>
    <w:basedOn w:val="1"/>
    <w:next w:val="3"/>
    <w:qFormat/>
    <w:uiPriority w:val="99"/>
    <w:pPr>
      <w:spacing w:line="460" w:lineRule="atLeast"/>
      <w:ind w:firstLine="420" w:firstLineChars="200"/>
    </w:pPr>
    <w:rPr>
      <w:sz w:val="24"/>
    </w:rPr>
  </w:style>
  <w:style w:type="paragraph" w:customStyle="1" w:styleId="3">
    <w:name w:val="样式 正文文本 + 首行缩进:  2 字符"/>
    <w:basedOn w:val="4"/>
    <w:qFormat/>
    <w:uiPriority w:val="0"/>
    <w:pPr>
      <w:spacing w:line="480" w:lineRule="exact"/>
      <w:ind w:firstLine="480" w:firstLineChars="200"/>
    </w:pPr>
    <w:rPr>
      <w:rFonts w:ascii="宋体" w:hAnsi="宋体" w:eastAsia="宋体" w:cs="宋体"/>
      <w:sz w:val="24"/>
      <w:szCs w:val="20"/>
    </w:rPr>
  </w:style>
  <w:style w:type="paragraph" w:styleId="4">
    <w:name w:val="Body Text"/>
    <w:basedOn w:val="1"/>
    <w:qFormat/>
    <w:uiPriority w:val="1"/>
    <w:rPr>
      <w:rFonts w:ascii="Times New Roman" w:hAnsi="Times New Roman" w:eastAsia="宋体" w:cs="Times New Roman"/>
      <w:sz w:val="32"/>
      <w:szCs w:val="20"/>
    </w:rPr>
  </w:style>
  <w:style w:type="paragraph" w:styleId="8">
    <w:name w:val="Body Text 3"/>
    <w:basedOn w:val="1"/>
    <w:qFormat/>
    <w:uiPriority w:val="0"/>
    <w:pPr>
      <w:spacing w:after="120"/>
    </w:pPr>
    <w:rPr>
      <w:sz w:val="16"/>
      <w:szCs w:val="16"/>
    </w:rPr>
  </w:style>
  <w:style w:type="paragraph" w:styleId="9">
    <w:name w:val="footer"/>
    <w:basedOn w:val="1"/>
    <w:unhideWhenUsed/>
    <w:qFormat/>
    <w:uiPriority w:val="99"/>
    <w:pPr>
      <w:tabs>
        <w:tab w:val="center" w:pos="4153"/>
        <w:tab w:val="right" w:pos="8306"/>
      </w:tabs>
      <w:snapToGrid w:val="0"/>
      <w:jc w:val="left"/>
    </w:pPr>
    <w:rPr>
      <w:sz w:val="18"/>
      <w:szCs w:val="18"/>
    </w:rPr>
  </w:style>
  <w:style w:type="paragraph" w:styleId="10">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13">
    <w:name w:val="WPSOffice手动目录 1"/>
    <w:qFormat/>
    <w:uiPriority w:val="0"/>
    <w:rPr>
      <w:rFonts w:asciiTheme="minorHAnsi" w:hAnsiTheme="minorHAnsi" w:eastAsiaTheme="minorEastAsia" w:cstheme="minorBidi"/>
      <w:lang w:val="en-US" w:eastAsia="zh-CN" w:bidi="ar-SA"/>
    </w:rPr>
  </w:style>
  <w:style w:type="paragraph" w:customStyle="1" w:styleId="14">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15">
    <w:name w:val="中文报告书样式"/>
    <w:basedOn w:val="1"/>
    <w:qFormat/>
    <w:uiPriority w:val="0"/>
    <w:pPr>
      <w:adjustRightInd w:val="0"/>
      <w:spacing w:line="480" w:lineRule="atLeast"/>
      <w:ind w:firstLine="482"/>
    </w:pPr>
    <w:rPr>
      <w:kern w:val="24"/>
      <w:sz w:val="24"/>
    </w:rPr>
  </w:style>
  <w:style w:type="paragraph" w:customStyle="1" w:styleId="16">
    <w:name w:val="Table Paragraph"/>
    <w:basedOn w:val="1"/>
    <w:qFormat/>
    <w:uiPriority w:val="1"/>
    <w:pPr>
      <w:autoSpaceDE w:val="0"/>
      <w:autoSpaceDN w:val="0"/>
      <w:jc w:val="left"/>
    </w:pPr>
    <w:rPr>
      <w:rFonts w:ascii="仿宋" w:hAnsi="仿宋" w:eastAsia="仿宋" w:cs="仿宋"/>
      <w:kern w:val="0"/>
      <w:sz w:val="22"/>
      <w:lang w:val="zh-CN" w:bidi="zh-CN"/>
    </w:rPr>
  </w:style>
  <w:style w:type="table" w:customStyle="1" w:styleId="17">
    <w:name w:val="Table Normal"/>
    <w:semiHidden/>
    <w:unhideWhenUsed/>
    <w:qFormat/>
    <w:uiPriority w:val="2"/>
    <w:pPr>
      <w:widowControl w:val="0"/>
      <w:autoSpaceDE w:val="0"/>
      <w:autoSpaceDN w:val="0"/>
    </w:pPr>
    <w:rPr>
      <w:sz w:val="22"/>
      <w:szCs w:val="22"/>
      <w:lang w:eastAsia="en-US"/>
    </w:rPr>
    <w:tblPr>
      <w:tblCellMar>
        <w:top w:w="0" w:type="dxa"/>
        <w:left w:w="0" w:type="dxa"/>
        <w:bottom w:w="0" w:type="dxa"/>
        <w:right w:w="0" w:type="dxa"/>
      </w:tblCellMar>
    </w:tblPr>
  </w:style>
  <w:style w:type="paragraph" w:customStyle="1" w:styleId="18">
    <w:name w:val="1"/>
    <w:basedOn w:val="1"/>
    <w:next w:val="1"/>
    <w:qFormat/>
    <w:uiPriority w:val="0"/>
    <w:rPr>
      <w:szCs w:val="24"/>
    </w:rPr>
  </w:style>
  <w:style w:type="paragraph" w:customStyle="1" w:styleId="19">
    <w:name w:val="A-表格文字"/>
    <w:basedOn w:val="1"/>
    <w:next w:val="1"/>
    <w:qFormat/>
    <w:uiPriority w:val="0"/>
    <w:pPr>
      <w:autoSpaceDE w:val="0"/>
      <w:autoSpaceDN w:val="0"/>
      <w:adjustRightInd w:val="0"/>
      <w:jc w:val="center"/>
      <w:textAlignment w:val="center"/>
    </w:pPr>
    <w:rPr>
      <w:kern w:val="0"/>
      <w:szCs w:val="21"/>
    </w:rPr>
  </w:style>
  <w:style w:type="paragraph" w:customStyle="1" w:styleId="20">
    <w:name w:val="报告表正文"/>
    <w:basedOn w:val="1"/>
    <w:qFormat/>
    <w:uiPriority w:val="0"/>
    <w:pPr>
      <w:spacing w:line="360" w:lineRule="auto"/>
      <w:ind w:firstLine="200" w:firstLineChars="200"/>
    </w:pPr>
    <w:rPr>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glossaryDocument" Target="glossary/document.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4.png"/><Relationship Id="rId11" Type="http://schemas.openxmlformats.org/officeDocument/2006/relationships/image" Target="media/image3.jpeg"/><Relationship Id="rId10" Type="http://schemas.openxmlformats.org/officeDocument/2006/relationships/image" Target="media/image2.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1c542154-268e-4167-bff1-8334e5c90131}"/>
        <w:style w:val=""/>
        <w:category>
          <w:name w:val="常规"/>
          <w:gallery w:val="placeholder"/>
        </w:category>
        <w:types>
          <w:type w:val="bbPlcHdr"/>
        </w:types>
        <w:behaviors>
          <w:behavior w:val="content"/>
        </w:behaviors>
        <w:description w:val=""/>
        <w:guid w:val="{1c542154-268e-4167-bff1-8334e5c90131}"/>
      </w:docPartPr>
      <w:docPartBody>
        <w:p>
          <w:r>
            <w:rPr>
              <w:color w:val="808080"/>
            </w:rPr>
            <w:t>单击此处输入文字。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compat>
    <w:useFELayout/>
    <w:splitPgBreakAndParaMark/>
    <w:compatSetting w:name="compatibilityMode" w:uri="http://schemas.microsoft.com/office/word" w:val="14"/>
  </w:compat>
  <w:rsids>
    <w:rsidRoot w:val="0000000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atentStyles>
  <w:style w:type="paragraph" w:default="1" w:styleId="1">
    <w:name w:val="Normal"/>
    <w:qFormat/>
    <w:uiPriority w:val="0"/>
    <w:pPr>
      <w:widowControl w:val="0"/>
      <w:jc w:val="both"/>
    </w:pPr>
    <w:rPr>
      <w:rFonts w:asciiTheme="minorHAnsi" w:hAnsiTheme="minorHAnsi" w:eastAsiaTheme="minorEastAsia" w:cstheme="minorBidi"/>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Office_11.1.0.9198_F1E327BC-269C-435d-A152-05C5408002CA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2019-06-21T01:59:00Z</dcterms:created>
  <dc:creator>Administrator</dc:creator>
  <cp:lastModifiedBy>Administrator</cp:lastModifiedBy>
  <cp:lastPrinted>2019-07-08T07:31:00Z</cp:lastPrinted>
  <dcterms:modified xsi:type="dcterms:W3CDTF">2019-12-09T06:39:50Z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2052-11.1.0.9198</vt:lpwstr>
  </property>
</Properties>
</file>