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default" w:ascii="Times New Roman" w:cs="Times New Roman" w:eastAsiaTheme="minorEastAsia"/>
          <w:b/>
          <w:sz w:val="28"/>
          <w:szCs w:val="28"/>
          <w:lang w:val="en-US" w:eastAsia="zh-CN"/>
        </w:rPr>
      </w:pPr>
      <w:r>
        <w:rPr>
          <w:rFonts w:hint="eastAsia" w:ascii="Times New Roman" w:cs="Times New Roman"/>
          <w:b/>
          <w:sz w:val="28"/>
          <w:szCs w:val="28"/>
          <w:lang w:val="en-US" w:eastAsia="zh-CN"/>
        </w:rPr>
        <w:t>沧县德丰注塑加工厂</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eastAsia" w:ascii="Times New Roman" w:hAnsi="Times New Roman" w:cs="Times New Roman"/>
                <w:sz w:val="24"/>
                <w:szCs w:val="24"/>
                <w:lang w:eastAsia="zh-CN"/>
              </w:rPr>
            </w:pPr>
            <w:r>
              <w:rPr>
                <w:bCs/>
                <w:color w:val="auto"/>
                <w:kern w:val="2"/>
                <w:sz w:val="24"/>
                <w:szCs w:val="24"/>
              </w:rPr>
              <w:t>集气罩+光氧催化装置+活性炭吸附装置</w:t>
            </w:r>
          </w:p>
        </w:tc>
        <w:tc>
          <w:tcPr>
            <w:tcW w:w="2126" w:type="dxa"/>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黄振德</w:t>
            </w:r>
            <w:bookmarkStart w:id="0" w:name="_GoBack"/>
            <w:bookmarkEnd w:id="0"/>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74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2020-04-13T00:27:11Z</dcterms:created>
  <dc:creator>Administrator</dc:creator>
  <cp:lastModifiedBy>Administrator</cp:lastModifiedBy>
  <dcterms:modified xsi:type="dcterms:W3CDTF">2020-04-13T00:31:40Z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