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eastAsia" w:ascii="Times New Roman" w:hAnsi="Times New Roman" w:cs="Times New Roman"/>
          <w:sz w:val="36"/>
          <w:szCs w:val="36"/>
          <w:lang w:eastAsia="zh-CN"/>
        </w:rPr>
      </w:pPr>
      <w:bookmarkStart w:id="1" w:name="_Hlk496950128"/>
      <w:r>
        <w:rPr>
          <w:rFonts w:hint="eastAsia" w:ascii="Times New Roman" w:hAnsi="Times New Roman" w:cs="Times New Roman"/>
          <w:sz w:val="36"/>
          <w:szCs w:val="36"/>
          <w:lang w:eastAsia="zh-CN"/>
        </w:rPr>
        <w:t>沧县峰盛塑料制品厂</w:t>
      </w:r>
    </w:p>
    <w:p>
      <w:pPr>
        <w:jc w:val="center"/>
        <w:rPr>
          <w:rFonts w:hint="eastAsia" w:ascii="Times New Roman" w:hAnsi="Times New Roman" w:eastAsia="宋体" w:cs="Times New Roman"/>
          <w:sz w:val="36"/>
          <w:szCs w:val="36"/>
          <w:lang w:eastAsia="zh-CN"/>
        </w:rPr>
      </w:pPr>
      <w:r>
        <w:rPr>
          <w:rFonts w:hint="eastAsia" w:ascii="Times New Roman" w:hAnsi="Times New Roman" w:cs="Times New Roman"/>
          <w:sz w:val="36"/>
          <w:szCs w:val="36"/>
          <w:lang w:eastAsia="zh-CN"/>
        </w:rPr>
        <w:t>塑料制品加工项目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eastAsia="zh-CN"/>
        </w:rPr>
        <w:t>沧县峰盛塑料制品厂</w:t>
      </w: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eastAsia="zh-CN"/>
        </w:rPr>
        <w:t>沧县峰盛塑料制品厂</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sz w:val="32"/>
          <w:szCs w:val="32"/>
          <w:lang w:val="en-US" w:eastAsia="zh-CN"/>
        </w:rPr>
        <w:t>2020</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4</w:t>
      </w:r>
      <w:r>
        <w:rPr>
          <w:rFonts w:hint="default" w:ascii="Times New Roman" w:hAnsi="Times New Roman" w:eastAsia="宋体" w:cs="Times New Roman"/>
          <w:sz w:val="32"/>
          <w:szCs w:val="32"/>
        </w:rPr>
        <w:t>月</w:t>
      </w:r>
    </w:p>
    <w:p>
      <w:pPr>
        <w:pStyle w:val="25"/>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12</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18</w:t>
      </w:r>
      <w:r>
        <w:rPr>
          <w:rFonts w:hint="default"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20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21</w:t>
      </w:r>
      <w:r>
        <w:rPr>
          <w:rFonts w:hint="default"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28</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29</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31</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31</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32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rPr>
        <w:t>项目卫生防护距离包络线图</w:t>
      </w:r>
    </w:p>
    <w:p>
      <w:pPr>
        <w:pStyle w:val="18"/>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2"/>
        <w:jc w:val="center"/>
        <w:rPr>
          <w:rFonts w:hint="default" w:ascii="Times New Roman" w:hAnsi="Times New Roman" w:eastAsia="宋体" w:cs="Times New Roman"/>
        </w:rPr>
      </w:pPr>
      <w:bookmarkStart w:id="2" w:name="_Toc10004"/>
      <w:bookmarkStart w:id="3" w:name="_Toc20373"/>
      <w:bookmarkStart w:id="4" w:name="_Toc13375"/>
      <w:bookmarkStart w:id="5" w:name="_Toc9675"/>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沧县峰盛塑料制品厂位于河北省沧州市沧县薛官屯乡东秀女村，企业投资450万元建设沧县峰盛塑料制品厂塑料制品加工项目，沧县峰盛塑料制品厂于2019年12月委托河北荣超环保科技有限公司编制完成了《沧县峰盛塑料制品厂塑料制品加工项目环境影响报告表》，于2019年12月27日取得了沧州市生态环境保护局沧县分局的批复，审批文号为沧县环评[2019]917号。</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2020年3月，沧县峰盛塑料制品厂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沧县峰盛塑料制品厂委托河河北中寰检测服务有限公司于</w:t>
      </w:r>
      <w:bookmarkStart w:id="6" w:name="_Hlk496985984"/>
      <w:r>
        <w:rPr>
          <w:rFonts w:hint="eastAsia" w:ascii="Times New Roman" w:hAnsi="Times New Roman" w:cs="Times New Roman"/>
          <w:sz w:val="24"/>
          <w:szCs w:val="24"/>
          <w:highlight w:val="none"/>
          <w:lang w:val="en-US" w:eastAsia="zh-CN"/>
        </w:rPr>
        <w:t>2020年3月31日至4月1日</w:t>
      </w:r>
      <w:bookmarkEnd w:id="6"/>
      <w:r>
        <w:rPr>
          <w:rFonts w:hint="eastAsia" w:ascii="Times New Roman" w:hAnsi="Times New Roman" w:cs="Times New Roman"/>
          <w:sz w:val="24"/>
          <w:szCs w:val="24"/>
          <w:highlight w:val="none"/>
          <w:lang w:val="en-US" w:eastAsia="zh-CN"/>
        </w:rPr>
        <w:t>进行了竣工验收检测并出具检测报告，报告编号为：HBZH-Y-20200022</w:t>
      </w:r>
      <w:r>
        <w:rPr>
          <w:rFonts w:hint="eastAsia" w:ascii="Times New Roman" w:hAnsi="Times New Roman" w:cs="Times New Roman"/>
          <w:sz w:val="24"/>
          <w:szCs w:val="24"/>
          <w:lang w:val="en-US" w:eastAsia="zh-CN"/>
        </w:rPr>
        <w:t>。沧县峰盛塑料制品厂根据现场调查情况和检测报告按照《建设项目竣工环境保护验收技术指南污染影响类》编制完成竣工环境保护验收报告，为竣工验收提供科学依据。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2"/>
        <w:rPr>
          <w:rFonts w:hint="default" w:ascii="Times New Roman" w:hAnsi="Times New Roman" w:eastAsia="宋体" w:cs="Times New Roman"/>
        </w:rPr>
      </w:pPr>
      <w:bookmarkStart w:id="7" w:name="_Toc25774"/>
      <w:bookmarkStart w:id="8" w:name="_Toc14085"/>
      <w:bookmarkStart w:id="9" w:name="_Toc23777"/>
      <w:bookmarkStart w:id="10" w:name="_Toc17755"/>
      <w:r>
        <w:rPr>
          <w:rFonts w:hint="default" w:ascii="Times New Roman" w:hAnsi="Times New Roman" w:eastAsia="宋体" w:cs="Times New Roman"/>
        </w:rPr>
        <w:t>1验收编制依据</w:t>
      </w:r>
      <w:bookmarkEnd w:id="7"/>
      <w:bookmarkEnd w:id="8"/>
      <w:bookmarkEnd w:id="9"/>
      <w:bookmarkEnd w:id="10"/>
    </w:p>
    <w:p>
      <w:pPr>
        <w:pStyle w:val="3"/>
        <w:rPr>
          <w:rFonts w:hint="default" w:ascii="Times New Roman" w:hAnsi="Times New Roman" w:eastAsia="宋体" w:cs="Times New Roman"/>
        </w:rPr>
      </w:pPr>
      <w:bookmarkStart w:id="11" w:name="_Toc12399"/>
      <w:bookmarkStart w:id="12" w:name="_Toc30258"/>
      <w:bookmarkStart w:id="13" w:name="_Toc32325"/>
      <w:bookmarkStart w:id="14" w:name="_Toc5229"/>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3"/>
        <w:rPr>
          <w:rFonts w:hint="default" w:ascii="Times New Roman" w:hAnsi="Times New Roman" w:eastAsia="宋体" w:cs="Times New Roman"/>
        </w:rPr>
      </w:pPr>
      <w:bookmarkStart w:id="15" w:name="_Toc17067"/>
      <w:bookmarkStart w:id="16" w:name="_Toc19837"/>
      <w:bookmarkStart w:id="17" w:name="_Toc11240"/>
      <w:bookmarkStart w:id="18" w:name="_Toc19988"/>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w:t>
      </w:r>
      <w:r>
        <w:rPr>
          <w:rFonts w:hint="eastAsia" w:ascii="Times New Roman" w:hAnsi="Times New Roman" w:cs="Times New Roman"/>
          <w:sz w:val="24"/>
          <w:szCs w:val="24"/>
          <w:lang w:val="en-US" w:eastAsia="zh-CN"/>
        </w:rPr>
        <w:t>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w:t>
      </w:r>
      <w:r>
        <w:rPr>
          <w:rFonts w:hint="eastAsia" w:ascii="Times New Roman" w:hAnsi="Times New Roman" w:cs="Times New Roman"/>
          <w:sz w:val="24"/>
          <w:szCs w:val="24"/>
          <w:lang w:val="en-US" w:eastAsia="zh-CN"/>
        </w:rPr>
        <w:t>表</w:t>
      </w:r>
      <w:r>
        <w:rPr>
          <w:rFonts w:hint="default" w:ascii="Times New Roman" w:hAnsi="Times New Roman" w:eastAsia="宋体" w:cs="Times New Roman"/>
          <w:sz w:val="24"/>
          <w:szCs w:val="24"/>
        </w:rPr>
        <w:t>水环境》（HJ/T2.3-</w:t>
      </w:r>
      <w:r>
        <w:rPr>
          <w:rFonts w:hint="eastAsia" w:ascii="Times New Roman" w:hAnsi="Times New Roman" w:cs="Times New Roman"/>
          <w:sz w:val="24"/>
          <w:szCs w:val="24"/>
          <w:lang w:val="en-US" w:eastAsia="zh-CN"/>
        </w:rPr>
        <w:t>2018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《烧碱、聚氯乙烯工业污染物排放标准》（GB15581-2016）</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10</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《工业企业挥发性有机物排放控制标准》（DB13/2322-2016）</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11</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《挥发性有机物无组织排放控制标准》（GB37822-2019）</w:t>
      </w:r>
      <w:r>
        <w:rPr>
          <w:rFonts w:hint="eastAsia" w:ascii="Times New Roman" w:hAnsi="Times New Roman" w:cs="Times New Roman"/>
          <w:sz w:val="24"/>
          <w:szCs w:val="24"/>
          <w:lang w:eastAsia="zh-CN"/>
        </w:rPr>
        <w:t>；</w:t>
      </w:r>
    </w:p>
    <w:p>
      <w:pPr>
        <w:pStyle w:val="5"/>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13</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14</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15</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16</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17</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3"/>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31818"/>
      <w:bookmarkStart w:id="20" w:name="_Toc26393"/>
      <w:bookmarkStart w:id="21" w:name="_Toc25083"/>
      <w:bookmarkStart w:id="22" w:name="_Toc25756"/>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olor w:val="auto"/>
          <w:sz w:val="24"/>
          <w:lang w:val="en-US" w:eastAsia="zh-CN"/>
        </w:rPr>
        <w:t>河北荣超环保科技有限公司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沧县峰盛塑料制品厂塑料制品加工项目</w:t>
      </w:r>
      <w:r>
        <w:rPr>
          <w:rFonts w:hint="eastAsia" w:ascii="Times New Roman" w:hAnsi="Times New Roman" w:cs="Times New Roman"/>
          <w:kern w:val="0"/>
          <w:sz w:val="24"/>
          <w:szCs w:val="24"/>
          <w:lang w:val="en-US" w:eastAsia="zh-CN"/>
        </w:rPr>
        <w:t>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12</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沧州市生态保护局沧县分局</w:t>
      </w:r>
      <w:r>
        <w:rPr>
          <w:rFonts w:hint="eastAsia" w:ascii="Times New Roman" w:hAnsi="Times New Roman" w:eastAsia="宋体" w:cs="Times New Roman"/>
          <w:sz w:val="24"/>
          <w:szCs w:val="24"/>
          <w:lang w:eastAsia="zh-CN"/>
        </w:rPr>
        <w:t>，</w:t>
      </w:r>
      <w:r>
        <w:rPr>
          <w:rFonts w:hint="eastAsia" w:ascii="Times New Roman" w:hAnsi="Times New Roman" w:cs="Times New Roman"/>
          <w:spacing w:val="0"/>
          <w:kern w:val="0"/>
          <w:sz w:val="24"/>
          <w:szCs w:val="24"/>
          <w:lang w:val="en-US" w:eastAsia="zh-CN"/>
        </w:rPr>
        <w:t>沧县环评[2019]917号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沧县峰盛塑料制品厂塑料制品加工项目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2019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27</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沧县峰盛塑料制品厂</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HBZH-Y-20200022</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沧县峰盛塑料制品厂</w:t>
      </w:r>
      <w:r>
        <w:rPr>
          <w:rFonts w:hint="default" w:ascii="Times New Roman" w:hAnsi="Times New Roman" w:eastAsia="宋体" w:cs="Times New Roman"/>
          <w:sz w:val="24"/>
          <w:szCs w:val="24"/>
        </w:rPr>
        <w:t>提供的其它相关资料。</w:t>
      </w:r>
    </w:p>
    <w:p>
      <w:pPr>
        <w:pStyle w:val="2"/>
        <w:rPr>
          <w:rFonts w:hint="default" w:ascii="Times New Roman" w:hAnsi="Times New Roman" w:eastAsia="宋体" w:cs="Times New Roman"/>
        </w:rPr>
      </w:pPr>
      <w:bookmarkStart w:id="23" w:name="_Toc13007"/>
      <w:bookmarkStart w:id="24" w:name="_Toc5367"/>
      <w:bookmarkStart w:id="25" w:name="_Toc20655"/>
      <w:bookmarkStart w:id="26" w:name="_Toc26991"/>
      <w:r>
        <w:rPr>
          <w:rFonts w:hint="default" w:ascii="Times New Roman" w:hAnsi="Times New Roman" w:eastAsia="宋体" w:cs="Times New Roman"/>
        </w:rPr>
        <w:t>2工程概况</w:t>
      </w:r>
      <w:bookmarkEnd w:id="23"/>
      <w:bookmarkEnd w:id="24"/>
      <w:bookmarkEnd w:id="25"/>
      <w:bookmarkEnd w:id="26"/>
    </w:p>
    <w:p>
      <w:pPr>
        <w:pStyle w:val="3"/>
        <w:rPr>
          <w:rFonts w:hint="default" w:ascii="Times New Roman" w:hAnsi="Times New Roman" w:eastAsia="宋体" w:cs="Times New Roman"/>
        </w:rPr>
      </w:pPr>
      <w:bookmarkStart w:id="27" w:name="_Toc29334"/>
      <w:bookmarkStart w:id="28" w:name="_Toc22753"/>
      <w:bookmarkStart w:id="29" w:name="_Toc11367"/>
      <w:bookmarkStart w:id="30" w:name="_Toc4417"/>
      <w:r>
        <w:rPr>
          <w:rFonts w:hint="default" w:ascii="Times New Roman" w:hAnsi="Times New Roman" w:eastAsia="宋体" w:cs="Times New Roman"/>
        </w:rPr>
        <w:t>2.1项目基本情况</w:t>
      </w:r>
      <w:bookmarkEnd w:id="27"/>
      <w:bookmarkEnd w:id="28"/>
      <w:bookmarkEnd w:id="29"/>
      <w:bookmarkEnd w:id="30"/>
    </w:p>
    <w:p>
      <w:pPr>
        <w:pStyle w:val="4"/>
        <w:rPr>
          <w:rFonts w:hint="default" w:ascii="Times New Roman" w:hAnsi="Times New Roman" w:eastAsia="宋体" w:cs="Times New Roman"/>
        </w:rPr>
      </w:pPr>
      <w:bookmarkStart w:id="31" w:name="_Toc1249"/>
      <w:bookmarkStart w:id="32" w:name="_Toc19257"/>
      <w:bookmarkStart w:id="33" w:name="_Toc20380"/>
      <w:bookmarkStart w:id="34" w:name="_Toc497001436"/>
      <w:bookmarkStart w:id="35" w:name="_Toc496979000"/>
      <w:bookmarkStart w:id="36" w:name="_Toc1800"/>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19"/>
        <w:tblW w:w="90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塑料制品加工项目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沧县峰盛塑料制品厂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唐岭</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唐岭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default" w:ascii="Times New Roman" w:hAnsi="Times New Roman" w:eastAsia="宋体" w:cs="Times New Roman"/>
                <w:spacing w:val="0"/>
                <w:kern w:val="0"/>
                <w:sz w:val="24"/>
                <w:szCs w:val="24"/>
                <w:lang w:val="en-US" w:eastAsia="zh-CN"/>
              </w:rPr>
              <w:t>河北省沧州市沧县薛官屯乡东秀女村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15100769324</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C2929</w:t>
            </w:r>
          </w:p>
          <w:p>
            <w:pPr>
              <w:spacing w:line="260" w:lineRule="exact"/>
              <w:jc w:val="center"/>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塑料零件及其他塑料制品制造业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450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10</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spacing w:val="0"/>
                <w:kern w:val="0"/>
                <w:sz w:val="24"/>
                <w:szCs w:val="24"/>
                <w:lang w:val="en-US" w:eastAsia="zh-CN"/>
              </w:rPr>
              <w:t>河北省沧州市沧县薛官屯乡东秀女村</w:t>
            </w:r>
          </w:p>
        </w:tc>
      </w:tr>
    </w:tbl>
    <w:p>
      <w:pPr>
        <w:pStyle w:val="4"/>
        <w:rPr>
          <w:rFonts w:hint="default" w:ascii="Times New Roman" w:hAnsi="Times New Roman" w:eastAsia="宋体" w:cs="Times New Roman"/>
        </w:rPr>
      </w:pPr>
      <w:bookmarkStart w:id="38" w:name="_Toc497001437"/>
      <w:bookmarkStart w:id="39" w:name="_Toc17116"/>
      <w:bookmarkStart w:id="40" w:name="_Toc20144"/>
      <w:bookmarkStart w:id="41" w:name="_Toc496979001"/>
      <w:bookmarkStart w:id="42" w:name="_Toc27686"/>
      <w:bookmarkStart w:id="43" w:name="_Toc5505"/>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位于河北省沧州市沧县薛官屯乡东秀女村，项目厂址中心地理坐标为东经116°58'59.53"，北纬38°27'1.21"。项目北侧为空地，东侧为住户，南侧、西侧均为空地。项目周围环境敏感点为北侧1822m的南桃杏村，西侧748m的西秀女村，东侧50m的东秀女村</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项目地理位置示意图见附图1，项目周边关系示意图见附图2。</w:t>
      </w:r>
    </w:p>
    <w:p>
      <w:pPr>
        <w:pStyle w:val="4"/>
        <w:rPr>
          <w:rFonts w:hint="default" w:ascii="Times New Roman" w:hAnsi="Times New Roman" w:eastAsia="宋体" w:cs="Times New Roman"/>
        </w:rPr>
      </w:pPr>
      <w:bookmarkStart w:id="44" w:name="_Toc497001438"/>
      <w:bookmarkStart w:id="45" w:name="_Toc8614"/>
      <w:bookmarkStart w:id="46" w:name="_Toc32226"/>
      <w:bookmarkStart w:id="47" w:name="_Toc20079"/>
      <w:bookmarkStart w:id="48" w:name="_Toc496979002"/>
      <w:bookmarkStart w:id="49" w:name="_Toc29219"/>
      <w:r>
        <w:rPr>
          <w:rFonts w:hint="default" w:ascii="Times New Roman" w:hAnsi="Times New Roman" w:eastAsia="宋体" w:cs="Times New Roman"/>
        </w:rPr>
        <w:t>2.1.3厂区平面布置</w:t>
      </w:r>
      <w:bookmarkEnd w:id="44"/>
      <w:bookmarkEnd w:id="45"/>
      <w:bookmarkEnd w:id="46"/>
      <w:bookmarkEnd w:id="47"/>
      <w:bookmarkEnd w:id="48"/>
      <w:bookmarkEnd w:id="49"/>
    </w:p>
    <w:p>
      <w:pPr>
        <w:spacing w:line="440" w:lineRule="atLeast"/>
        <w:ind w:firstLine="480" w:firstLineChars="200"/>
        <w:jc w:val="left"/>
        <w:rPr>
          <w:rFonts w:hint="default" w:ascii="Times New Roman" w:hAnsi="Times New Roman" w:eastAsia="宋体" w:cs="Times New Roman"/>
          <w:sz w:val="24"/>
          <w:szCs w:val="24"/>
        </w:rPr>
      </w:pPr>
      <w:r>
        <w:rPr>
          <w:rFonts w:hint="eastAsia" w:ascii="Times New Roman" w:hAnsi="Times New Roman" w:eastAsia="宋体" w:cs="Times New Roman"/>
          <w:sz w:val="24"/>
          <w:lang w:eastAsia="zh-CN"/>
        </w:rPr>
        <w:t>厂区两个大门位于厂区东侧；整个车间地面硬化。</w:t>
      </w:r>
      <w:r>
        <w:rPr>
          <w:rFonts w:hint="default" w:ascii="Times New Roman" w:hAnsi="Times New Roman" w:eastAsia="宋体" w:cs="Times New Roman"/>
          <w:sz w:val="24"/>
          <w:szCs w:val="24"/>
        </w:rPr>
        <w:t>项目平面布置图见附图</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w:t>
      </w:r>
    </w:p>
    <w:p>
      <w:pPr>
        <w:pStyle w:val="3"/>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23208"/>
      <w:bookmarkStart w:id="51" w:name="_Toc27136"/>
      <w:bookmarkStart w:id="52" w:name="_Toc23037"/>
      <w:bookmarkStart w:id="53" w:name="_Toc32048"/>
      <w:r>
        <w:rPr>
          <w:rFonts w:hint="default" w:ascii="Times New Roman" w:hAnsi="Times New Roman" w:eastAsia="宋体" w:cs="Times New Roman"/>
        </w:rPr>
        <w:t>2.2建设内容</w:t>
      </w:r>
      <w:bookmarkEnd w:id="50"/>
      <w:bookmarkEnd w:id="51"/>
      <w:bookmarkEnd w:id="52"/>
      <w:bookmarkEnd w:id="53"/>
    </w:p>
    <w:p>
      <w:pPr>
        <w:pStyle w:val="4"/>
        <w:spacing w:line="440" w:lineRule="atLeast"/>
        <w:rPr>
          <w:rFonts w:hint="default" w:ascii="Times New Roman" w:hAnsi="Times New Roman" w:eastAsia="宋体" w:cs="Times New Roman"/>
        </w:rPr>
      </w:pPr>
      <w:bookmarkStart w:id="54" w:name="_Toc26634"/>
      <w:bookmarkStart w:id="55" w:name="_Toc10787"/>
      <w:bookmarkStart w:id="56" w:name="_Toc30677"/>
      <w:bookmarkStart w:id="57" w:name="_Toc496979004"/>
      <w:bookmarkStart w:id="58" w:name="_Toc497001440"/>
      <w:bookmarkStart w:id="59" w:name="_Toc27539"/>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4"/>
        <w:spacing w:beforeLines="50" w:line="360" w:lineRule="auto"/>
        <w:ind w:firstLine="480" w:firstLineChars="200"/>
        <w:rPr>
          <w:rFonts w:hint="default" w:ascii="Times New Roman" w:hAnsi="Times New Roman" w:eastAsia="宋体" w:cs="Times New Roman"/>
        </w:rPr>
      </w:pPr>
      <w:bookmarkStart w:id="60" w:name="_Toc25732"/>
      <w:bookmarkStart w:id="61" w:name="_Toc26546"/>
      <w:bookmarkStart w:id="62" w:name="_Toc26138"/>
      <w:bookmarkStart w:id="63" w:name="_Toc9009"/>
      <w:bookmarkStart w:id="64" w:name="_Toc30045"/>
      <w:bookmarkStart w:id="65" w:name="_Toc496979005"/>
      <w:bookmarkStart w:id="66" w:name="_Toc497001441"/>
      <w:r>
        <w:rPr>
          <w:rFonts w:hint="default" w:ascii="Times New Roman" w:hAnsi="Times New Roman" w:eastAsia="宋体" w:cs="Times New Roman"/>
        </w:rPr>
        <w:t>年产1000万件自行车把套、自行车反射器</w:t>
      </w:r>
      <w:r>
        <w:rPr>
          <w:rFonts w:hint="eastAsia" w:ascii="Times New Roman" w:hAnsi="Times New Roman" w:cs="Times New Roman"/>
          <w:lang w:val="en-US" w:eastAsia="zh-CN"/>
        </w:rPr>
        <w:t>。</w:t>
      </w:r>
      <w:bookmarkEnd w:id="60"/>
      <w:bookmarkEnd w:id="61"/>
      <w:bookmarkEnd w:id="62"/>
      <w:bookmarkEnd w:id="63"/>
      <w:bookmarkEnd w:id="64"/>
    </w:p>
    <w:p>
      <w:pPr>
        <w:pStyle w:val="4"/>
        <w:spacing w:line="440" w:lineRule="atLeast"/>
        <w:rPr>
          <w:rFonts w:hint="eastAsia" w:ascii="Times New Roman" w:hAnsi="Times New Roman" w:eastAsia="宋体" w:cs="Times New Roman"/>
          <w:sz w:val="24"/>
          <w:szCs w:val="24"/>
          <w:lang w:eastAsia="zh-CN"/>
        </w:rPr>
      </w:pPr>
      <w:bookmarkStart w:id="67" w:name="_Toc20908"/>
      <w:bookmarkStart w:id="68" w:name="_Toc13472"/>
      <w:bookmarkStart w:id="69" w:name="_Toc23799"/>
      <w:bookmarkStart w:id="70" w:name="_Toc21731"/>
      <w:r>
        <w:rPr>
          <w:rFonts w:hint="default" w:ascii="Times New Roman" w:hAnsi="Times New Roman" w:eastAsia="宋体" w:cs="Times New Roman"/>
        </w:rPr>
        <w:t>2.2.2主要原辅材料</w:t>
      </w:r>
      <w:bookmarkEnd w:id="65"/>
      <w:bookmarkEnd w:id="66"/>
      <w:bookmarkEnd w:id="67"/>
      <w:bookmarkEnd w:id="68"/>
      <w:bookmarkEnd w:id="69"/>
      <w:bookmarkEnd w:id="70"/>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19"/>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71" w:name="_Toc26045"/>
            <w:bookmarkStart w:id="72" w:name="_Toc496979006"/>
            <w:bookmarkStart w:id="73" w:name="_Toc5968"/>
            <w:bookmarkStart w:id="74" w:name="_Toc2160"/>
            <w:bookmarkStart w:id="75" w:name="_Toc4853"/>
            <w:bookmarkStart w:id="76" w:name="_Toc497001442"/>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spacing w:line="240" w:lineRule="auto"/>
              <w:jc w:val="center"/>
              <w:rPr>
                <w:rFonts w:hint="eastAsia" w:ascii="Times New Roman" w:hAnsi="Times New Roman" w:eastAsia="宋体" w:cs="Times New Roman"/>
                <w:color w:val="auto"/>
                <w:kern w:val="0"/>
                <w:sz w:val="21"/>
                <w:szCs w:val="21"/>
                <w:lang w:val="en-US" w:eastAsia="zh-CN"/>
              </w:rPr>
            </w:pPr>
            <w:r>
              <w:rPr>
                <w:rFonts w:hint="eastAsia"/>
                <w:color w:val="auto"/>
                <w:szCs w:val="21"/>
              </w:rPr>
              <w:t>TPR、TPE</w:t>
            </w:r>
          </w:p>
        </w:tc>
        <w:tc>
          <w:tcPr>
            <w:tcW w:w="1238"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eastAsia="zh-CN"/>
              </w:rPr>
            </w:pPr>
            <w:r>
              <w:rPr>
                <w:color w:val="auto"/>
                <w:szCs w:val="21"/>
              </w:rPr>
              <w:t>t/a</w:t>
            </w:r>
          </w:p>
        </w:tc>
        <w:tc>
          <w:tcPr>
            <w:tcW w:w="1881"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val="en-US" w:eastAsia="zh-CN"/>
              </w:rPr>
            </w:pPr>
            <w:r>
              <w:rPr>
                <w:rFonts w:hint="eastAsia"/>
                <w:color w:val="auto"/>
                <w:szCs w:val="21"/>
              </w:rPr>
              <w:t>100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spacing w:line="240" w:lineRule="auto"/>
              <w:jc w:val="center"/>
              <w:rPr>
                <w:rFonts w:hint="eastAsia" w:ascii="Times New Roman" w:hAnsi="Times New Roman" w:eastAsia="宋体" w:cs="Times New Roman"/>
                <w:color w:val="auto"/>
                <w:kern w:val="0"/>
                <w:sz w:val="21"/>
                <w:szCs w:val="21"/>
                <w:lang w:val="en-US" w:eastAsia="zh-CN"/>
              </w:rPr>
            </w:pPr>
            <w:r>
              <w:rPr>
                <w:rFonts w:hint="eastAsia"/>
                <w:color w:val="auto"/>
                <w:szCs w:val="21"/>
              </w:rPr>
              <w:t>环保PVC</w:t>
            </w:r>
          </w:p>
        </w:tc>
        <w:tc>
          <w:tcPr>
            <w:tcW w:w="1238"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eastAsia="zh-CN"/>
              </w:rPr>
            </w:pPr>
            <w:r>
              <w:rPr>
                <w:color w:val="auto"/>
                <w:szCs w:val="21"/>
              </w:rPr>
              <w:t>t/a</w:t>
            </w:r>
          </w:p>
        </w:tc>
        <w:tc>
          <w:tcPr>
            <w:tcW w:w="1881"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val="en-US" w:eastAsia="zh-CN"/>
              </w:rPr>
            </w:pPr>
            <w:r>
              <w:rPr>
                <w:rFonts w:hint="eastAsia"/>
                <w:color w:val="auto"/>
                <w:szCs w:val="21"/>
              </w:rPr>
              <w:t>30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rPr>
              <w:t>3</w:t>
            </w:r>
          </w:p>
        </w:tc>
        <w:tc>
          <w:tcPr>
            <w:tcW w:w="2448" w:type="dxa"/>
            <w:tcBorders>
              <w:tl2br w:val="nil"/>
              <w:tr2bl w:val="nil"/>
            </w:tcBorders>
            <w:vAlign w:val="center"/>
          </w:tcPr>
          <w:p>
            <w:pPr>
              <w:spacing w:line="240" w:lineRule="auto"/>
              <w:jc w:val="center"/>
              <w:rPr>
                <w:rFonts w:hint="eastAsia" w:ascii="Times New Roman" w:hAnsi="Times New Roman" w:eastAsia="宋体" w:cs="Times New Roman"/>
                <w:color w:val="auto"/>
                <w:kern w:val="0"/>
                <w:sz w:val="21"/>
                <w:szCs w:val="21"/>
                <w:lang w:val="en-US" w:eastAsia="zh-CN"/>
              </w:rPr>
            </w:pPr>
            <w:r>
              <w:rPr>
                <w:rFonts w:hint="eastAsia"/>
                <w:color w:val="auto"/>
                <w:szCs w:val="21"/>
              </w:rPr>
              <w:t>GPPS</w:t>
            </w:r>
          </w:p>
        </w:tc>
        <w:tc>
          <w:tcPr>
            <w:tcW w:w="1238"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eastAsia="zh-CN"/>
              </w:rPr>
            </w:pPr>
            <w:r>
              <w:rPr>
                <w:color w:val="auto"/>
                <w:szCs w:val="21"/>
              </w:rPr>
              <w:t>t/a</w:t>
            </w:r>
          </w:p>
        </w:tc>
        <w:tc>
          <w:tcPr>
            <w:tcW w:w="1881"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val="en-US" w:eastAsia="zh-CN"/>
              </w:rPr>
            </w:pPr>
            <w:r>
              <w:rPr>
                <w:color w:val="auto"/>
                <w:szCs w:val="21"/>
              </w:rPr>
              <w:t>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4</w:t>
            </w:r>
          </w:p>
        </w:tc>
        <w:tc>
          <w:tcPr>
            <w:tcW w:w="2448" w:type="dxa"/>
            <w:tcBorders>
              <w:tl2br w:val="nil"/>
              <w:tr2bl w:val="nil"/>
            </w:tcBorders>
            <w:vAlign w:val="center"/>
          </w:tcPr>
          <w:p>
            <w:pPr>
              <w:spacing w:line="240" w:lineRule="auto"/>
              <w:jc w:val="center"/>
              <w:rPr>
                <w:rFonts w:hint="eastAsia" w:ascii="Times New Roman" w:hAnsi="Times New Roman" w:cs="Times New Roman"/>
                <w:color w:val="auto"/>
                <w:kern w:val="0"/>
                <w:sz w:val="21"/>
                <w:szCs w:val="21"/>
                <w:lang w:val="en-US" w:eastAsia="zh-CN"/>
              </w:rPr>
            </w:pPr>
            <w:r>
              <w:rPr>
                <w:rFonts w:hint="eastAsia"/>
                <w:color w:val="auto"/>
                <w:szCs w:val="21"/>
              </w:rPr>
              <w:t>聚丙烯</w:t>
            </w:r>
          </w:p>
        </w:tc>
        <w:tc>
          <w:tcPr>
            <w:tcW w:w="1238" w:type="dxa"/>
            <w:tcBorders>
              <w:tl2br w:val="nil"/>
              <w:tr2bl w:val="nil"/>
            </w:tcBorders>
            <w:vAlign w:val="center"/>
          </w:tcPr>
          <w:p>
            <w:pPr>
              <w:spacing w:line="240" w:lineRule="auto"/>
              <w:jc w:val="center"/>
              <w:rPr>
                <w:rFonts w:hint="eastAsia" w:ascii="Times New Roman" w:hAnsi="Times New Roman" w:cs="Times New Roman"/>
                <w:b w:val="0"/>
                <w:bCs w:val="0"/>
                <w:color w:val="auto"/>
                <w:kern w:val="0"/>
                <w:sz w:val="21"/>
                <w:szCs w:val="21"/>
                <w:lang w:eastAsia="zh-CN"/>
              </w:rPr>
            </w:pPr>
            <w:r>
              <w:rPr>
                <w:color w:val="auto"/>
                <w:szCs w:val="21"/>
              </w:rPr>
              <w:t>t/a</w:t>
            </w:r>
          </w:p>
        </w:tc>
        <w:tc>
          <w:tcPr>
            <w:tcW w:w="1881" w:type="dxa"/>
            <w:tcBorders>
              <w:tl2br w:val="nil"/>
              <w:tr2bl w:val="nil"/>
            </w:tcBorders>
            <w:vAlign w:val="center"/>
          </w:tcPr>
          <w:p>
            <w:pPr>
              <w:spacing w:line="240" w:lineRule="auto"/>
              <w:jc w:val="center"/>
              <w:rPr>
                <w:rFonts w:hint="eastAsia" w:ascii="Times New Roman" w:hAnsi="Times New Roman" w:cs="Times New Roman"/>
                <w:color w:val="auto"/>
                <w:kern w:val="0"/>
                <w:sz w:val="21"/>
                <w:szCs w:val="21"/>
                <w:lang w:val="en-US" w:eastAsia="zh-CN"/>
              </w:rPr>
            </w:pPr>
            <w:r>
              <w:rPr>
                <w:rFonts w:hint="eastAsia"/>
                <w:color w:val="auto"/>
                <w:szCs w:val="21"/>
              </w:rPr>
              <w:t>30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5</w:t>
            </w:r>
          </w:p>
        </w:tc>
        <w:tc>
          <w:tcPr>
            <w:tcW w:w="2448" w:type="dxa"/>
            <w:tcBorders>
              <w:tl2br w:val="nil"/>
              <w:tr2bl w:val="nil"/>
            </w:tcBorders>
            <w:vAlign w:val="center"/>
          </w:tcPr>
          <w:p>
            <w:pPr>
              <w:spacing w:line="240" w:lineRule="auto"/>
              <w:jc w:val="center"/>
              <w:rPr>
                <w:rFonts w:hint="eastAsia" w:ascii="Times New Roman" w:hAnsi="Times New Roman" w:cs="Times New Roman"/>
                <w:color w:val="auto"/>
                <w:kern w:val="0"/>
                <w:sz w:val="21"/>
                <w:szCs w:val="21"/>
                <w:lang w:val="en-US" w:eastAsia="zh-CN"/>
              </w:rPr>
            </w:pPr>
            <w:r>
              <w:rPr>
                <w:rFonts w:hint="eastAsia"/>
                <w:color w:val="auto"/>
                <w:szCs w:val="21"/>
              </w:rPr>
              <w:t>ABS</w:t>
            </w:r>
          </w:p>
        </w:tc>
        <w:tc>
          <w:tcPr>
            <w:tcW w:w="1238" w:type="dxa"/>
            <w:tcBorders>
              <w:tl2br w:val="nil"/>
              <w:tr2bl w:val="nil"/>
            </w:tcBorders>
            <w:vAlign w:val="center"/>
          </w:tcPr>
          <w:p>
            <w:pPr>
              <w:spacing w:line="240" w:lineRule="auto"/>
              <w:jc w:val="center"/>
              <w:rPr>
                <w:rFonts w:hint="eastAsia" w:ascii="Times New Roman" w:hAnsi="Times New Roman" w:cs="Times New Roman"/>
                <w:b w:val="0"/>
                <w:bCs w:val="0"/>
                <w:color w:val="auto"/>
                <w:kern w:val="0"/>
                <w:sz w:val="21"/>
                <w:szCs w:val="21"/>
                <w:lang w:eastAsia="zh-CN"/>
              </w:rPr>
            </w:pPr>
            <w:r>
              <w:rPr>
                <w:color w:val="auto"/>
                <w:szCs w:val="21"/>
              </w:rPr>
              <w:t>t/a</w:t>
            </w:r>
          </w:p>
        </w:tc>
        <w:tc>
          <w:tcPr>
            <w:tcW w:w="1881" w:type="dxa"/>
            <w:tcBorders>
              <w:tl2br w:val="nil"/>
              <w:tr2bl w:val="nil"/>
            </w:tcBorders>
            <w:vAlign w:val="center"/>
          </w:tcPr>
          <w:p>
            <w:pPr>
              <w:spacing w:line="240" w:lineRule="auto"/>
              <w:jc w:val="center"/>
              <w:rPr>
                <w:rFonts w:hint="eastAsia" w:ascii="Times New Roman" w:hAnsi="Times New Roman" w:cs="Times New Roman"/>
                <w:color w:val="auto"/>
                <w:kern w:val="0"/>
                <w:sz w:val="21"/>
                <w:szCs w:val="21"/>
                <w:lang w:val="en-US" w:eastAsia="zh-CN"/>
              </w:rPr>
            </w:pPr>
            <w:r>
              <w:rPr>
                <w:rFonts w:hint="eastAsia"/>
                <w:color w:val="auto"/>
                <w:szCs w:val="21"/>
              </w:rPr>
              <w:t>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6</w:t>
            </w:r>
          </w:p>
        </w:tc>
        <w:tc>
          <w:tcPr>
            <w:tcW w:w="2448" w:type="dxa"/>
            <w:tcBorders>
              <w:tl2br w:val="nil"/>
              <w:tr2bl w:val="nil"/>
            </w:tcBorders>
            <w:vAlign w:val="center"/>
          </w:tcPr>
          <w:p>
            <w:pPr>
              <w:spacing w:line="240" w:lineRule="auto"/>
              <w:jc w:val="center"/>
              <w:rPr>
                <w:rFonts w:hint="eastAsia" w:ascii="Times New Roman" w:hAnsi="Times New Roman" w:cs="Times New Roman"/>
                <w:color w:val="auto"/>
                <w:kern w:val="0"/>
                <w:sz w:val="21"/>
                <w:szCs w:val="21"/>
                <w:lang w:val="en-US" w:eastAsia="zh-CN"/>
              </w:rPr>
            </w:pPr>
            <w:r>
              <w:rPr>
                <w:color w:val="auto"/>
                <w:szCs w:val="21"/>
              </w:rPr>
              <w:t>水</w:t>
            </w:r>
          </w:p>
        </w:tc>
        <w:tc>
          <w:tcPr>
            <w:tcW w:w="1238" w:type="dxa"/>
            <w:tcBorders>
              <w:tl2br w:val="nil"/>
              <w:tr2bl w:val="nil"/>
            </w:tcBorders>
            <w:vAlign w:val="center"/>
          </w:tcPr>
          <w:p>
            <w:pPr>
              <w:spacing w:line="240" w:lineRule="auto"/>
              <w:jc w:val="center"/>
              <w:rPr>
                <w:rFonts w:hint="eastAsia" w:ascii="Times New Roman" w:hAnsi="Times New Roman" w:cs="Times New Roman"/>
                <w:b w:val="0"/>
                <w:bCs w:val="0"/>
                <w:color w:val="auto"/>
                <w:kern w:val="0"/>
                <w:sz w:val="21"/>
                <w:szCs w:val="21"/>
                <w:lang w:eastAsia="zh-CN"/>
              </w:rPr>
            </w:pPr>
            <w:r>
              <w:rPr>
                <w:color w:val="auto"/>
                <w:szCs w:val="21"/>
              </w:rPr>
              <w:t>m</w:t>
            </w:r>
            <w:r>
              <w:rPr>
                <w:color w:val="auto"/>
                <w:szCs w:val="21"/>
                <w:vertAlign w:val="superscript"/>
              </w:rPr>
              <w:t>3</w:t>
            </w:r>
            <w:r>
              <w:rPr>
                <w:color w:val="auto"/>
                <w:szCs w:val="21"/>
              </w:rPr>
              <w:t>/a</w:t>
            </w:r>
          </w:p>
        </w:tc>
        <w:tc>
          <w:tcPr>
            <w:tcW w:w="1881" w:type="dxa"/>
            <w:tcBorders>
              <w:tl2br w:val="nil"/>
              <w:tr2bl w:val="nil"/>
            </w:tcBorders>
            <w:vAlign w:val="center"/>
          </w:tcPr>
          <w:p>
            <w:pPr>
              <w:spacing w:line="240" w:lineRule="auto"/>
              <w:jc w:val="center"/>
              <w:rPr>
                <w:rFonts w:hint="eastAsia" w:ascii="Times New Roman" w:hAnsi="Times New Roman" w:cs="Times New Roman"/>
                <w:color w:val="auto"/>
                <w:kern w:val="0"/>
                <w:sz w:val="21"/>
                <w:szCs w:val="21"/>
                <w:lang w:val="en-US" w:eastAsia="zh-CN"/>
              </w:rPr>
            </w:pPr>
            <w:r>
              <w:rPr>
                <w:rFonts w:hint="eastAsia"/>
                <w:color w:val="auto"/>
                <w:szCs w:val="21"/>
              </w:rPr>
              <w:t>258</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7</w:t>
            </w:r>
          </w:p>
        </w:tc>
        <w:tc>
          <w:tcPr>
            <w:tcW w:w="2448" w:type="dxa"/>
            <w:tcBorders>
              <w:tl2br w:val="nil"/>
              <w:tr2bl w:val="nil"/>
            </w:tcBorders>
            <w:vAlign w:val="center"/>
          </w:tcPr>
          <w:p>
            <w:pPr>
              <w:spacing w:line="240" w:lineRule="auto"/>
              <w:jc w:val="center"/>
              <w:rPr>
                <w:color w:val="auto"/>
                <w:szCs w:val="21"/>
              </w:rPr>
            </w:pPr>
            <w:r>
              <w:rPr>
                <w:color w:val="auto"/>
                <w:szCs w:val="21"/>
              </w:rPr>
              <w:t>电</w:t>
            </w:r>
          </w:p>
        </w:tc>
        <w:tc>
          <w:tcPr>
            <w:tcW w:w="1238" w:type="dxa"/>
            <w:tcBorders>
              <w:tl2br w:val="nil"/>
              <w:tr2bl w:val="nil"/>
            </w:tcBorders>
            <w:vAlign w:val="center"/>
          </w:tcPr>
          <w:p>
            <w:pPr>
              <w:spacing w:line="240" w:lineRule="auto"/>
              <w:jc w:val="center"/>
              <w:rPr>
                <w:color w:val="000000"/>
                <w:szCs w:val="21"/>
              </w:rPr>
            </w:pPr>
            <w:r>
              <w:rPr>
                <w:color w:val="auto"/>
              </w:rPr>
              <w:t>万kW·h</w:t>
            </w:r>
            <w:r>
              <w:rPr>
                <w:color w:val="auto"/>
                <w:sz w:val="24"/>
              </w:rPr>
              <w:t>/a</w:t>
            </w:r>
          </w:p>
        </w:tc>
        <w:tc>
          <w:tcPr>
            <w:tcW w:w="1881" w:type="dxa"/>
            <w:tcBorders>
              <w:tl2br w:val="nil"/>
              <w:tr2bl w:val="nil"/>
            </w:tcBorders>
            <w:vAlign w:val="center"/>
          </w:tcPr>
          <w:p>
            <w:pPr>
              <w:spacing w:line="240" w:lineRule="auto"/>
              <w:jc w:val="center"/>
              <w:rPr>
                <w:color w:val="000000"/>
                <w:szCs w:val="21"/>
              </w:rPr>
            </w:pPr>
            <w:r>
              <w:rPr>
                <w:rFonts w:hint="eastAsia"/>
                <w:color w:val="auto"/>
                <w:szCs w:val="21"/>
              </w:rPr>
              <w:t>36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4"/>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71"/>
      <w:bookmarkEnd w:id="72"/>
      <w:bookmarkEnd w:id="73"/>
      <w:bookmarkEnd w:id="74"/>
      <w:bookmarkEnd w:id="75"/>
      <w:bookmarkEnd w:id="76"/>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项目主体工程为新建车间、仓库共计1500平方米；公用工程为供电、供水、供热等设施；环保工程为废气、降噪、固废措施等。年产1000万件自行车把套、自行车反射器。</w:t>
      </w:r>
      <w:r>
        <w:rPr>
          <w:rFonts w:hint="eastAsia" w:ascii="Times New Roman" w:hAnsi="Times New Roman" w:eastAsia="宋体" w:cs="AIAUJG+ËÎÌå"/>
          <w:color w:val="000000"/>
          <w:spacing w:val="-4"/>
          <w:sz w:val="24"/>
          <w:lang w:eastAsia="zh-CN"/>
        </w:rPr>
        <w:t>本项目由主体工程、</w:t>
      </w:r>
      <w:r>
        <w:rPr>
          <w:rFonts w:hint="eastAsia" w:ascii="Times New Roman" w:hAnsi="Times New Roman" w:eastAsia="宋体" w:cs="Times New Roman"/>
          <w:sz w:val="24"/>
          <w:szCs w:val="24"/>
          <w:lang w:val="en-US" w:eastAsia="zh-CN"/>
        </w:rPr>
        <w:t>辅助工程、环保工程和公用工程组成</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19"/>
        <w:tblW w:w="8522" w:type="dxa"/>
        <w:jc w:val="center"/>
        <w:tblInd w:w="4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801"/>
        <w:gridCol w:w="5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val="en-US" w:eastAsia="zh-CN"/>
              </w:rPr>
              <w:t>类别</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项目</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环评</w:t>
            </w:r>
            <w:r>
              <w:rPr>
                <w:rFonts w:hint="default" w:ascii="Times New Roman" w:hAnsi="Times New Roman" w:eastAsia="宋体" w:cs="Times New Roman"/>
                <w:b/>
                <w:bCs/>
                <w:kern w:val="0"/>
                <w:sz w:val="21"/>
                <w:szCs w:val="21"/>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主体工程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color w:val="auto"/>
                <w:sz w:val="21"/>
                <w:szCs w:val="21"/>
                <w:lang w:val="en-US" w:eastAsia="zh-CN"/>
              </w:rPr>
              <w:t>车间</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建设面积1000m</w:t>
            </w:r>
            <w:r>
              <w:rPr>
                <w:rFonts w:hint="eastAsia" w:ascii="Times New Roman" w:hAnsi="Times New Roman" w:eastAsia="宋体" w:cs="Times New Roman"/>
                <w:kern w:val="0"/>
                <w:sz w:val="21"/>
                <w:szCs w:val="21"/>
                <w:vertAlign w:val="superscript"/>
                <w:lang w:val="en-US" w:eastAsia="zh-CN"/>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辅助</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仓库</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建设面积500m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公用工程</w:t>
            </w:r>
          </w:p>
        </w:tc>
        <w:tc>
          <w:tcPr>
            <w:tcW w:w="801"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供电</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由薛官屯乡供电系统提供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供水</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bCs/>
                <w:color w:val="auto"/>
                <w:kern w:val="2"/>
                <w:szCs w:val="21"/>
              </w:rPr>
              <w:t>项目用水为生活用水和生产用水，由</w:t>
            </w:r>
            <w:r>
              <w:rPr>
                <w:color w:val="auto"/>
                <w:szCs w:val="21"/>
              </w:rPr>
              <w:t>薛官屯乡</w:t>
            </w:r>
            <w:r>
              <w:rPr>
                <w:bCs/>
                <w:color w:val="auto"/>
                <w:kern w:val="2"/>
                <w:szCs w:val="21"/>
              </w:rPr>
              <w:t>供水系统提供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排水</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bCs/>
                <w:color w:val="auto"/>
                <w:kern w:val="2"/>
                <w:szCs w:val="21"/>
              </w:rPr>
              <w:t>项目生产用水循环使用，生活用水排入防渗旱厕，定期清掏</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spacing w:line="240" w:lineRule="auto"/>
              <w:jc w:val="center"/>
              <w:rPr>
                <w:rFonts w:hint="eastAsia"/>
                <w:color w:val="000000"/>
                <w:szCs w:val="21"/>
              </w:rPr>
            </w:pPr>
            <w:r>
              <w:rPr>
                <w:color w:val="auto"/>
                <w:szCs w:val="21"/>
              </w:rPr>
              <w:t>供热</w:t>
            </w:r>
          </w:p>
        </w:tc>
        <w:tc>
          <w:tcPr>
            <w:tcW w:w="5464" w:type="dxa"/>
            <w:tcBorders>
              <w:tl2br w:val="nil"/>
              <w:tr2bl w:val="nil"/>
            </w:tcBorders>
            <w:tcMar>
              <w:top w:w="0" w:type="dxa"/>
              <w:left w:w="0" w:type="dxa"/>
              <w:bottom w:w="0" w:type="dxa"/>
              <w:right w:w="0" w:type="dxa"/>
            </w:tcMar>
            <w:vAlign w:val="center"/>
          </w:tcPr>
          <w:p>
            <w:pPr>
              <w:spacing w:line="240" w:lineRule="auto"/>
              <w:jc w:val="center"/>
              <w:rPr>
                <w:rFonts w:hint="eastAsia"/>
                <w:color w:val="000000"/>
                <w:szCs w:val="21"/>
              </w:rPr>
            </w:pPr>
            <w:r>
              <w:rPr>
                <w:color w:val="auto"/>
                <w:szCs w:val="21"/>
              </w:rPr>
              <w:t>冬季办公室取暖采用空调，生产采用电加热。</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环保工程</w:t>
            </w:r>
          </w:p>
        </w:tc>
        <w:tc>
          <w:tcPr>
            <w:tcW w:w="801" w:type="dxa"/>
            <w:tcBorders>
              <w:tl2br w:val="nil"/>
              <w:tr2bl w:val="nil"/>
            </w:tcBorders>
            <w:tcMar>
              <w:top w:w="0" w:type="dxa"/>
              <w:left w:w="0" w:type="dxa"/>
              <w:bottom w:w="0" w:type="dxa"/>
              <w:right w:w="0" w:type="dxa"/>
            </w:tcMar>
            <w:vAlign w:val="center"/>
          </w:tcPr>
          <w:p>
            <w:pPr>
              <w:pStyle w:val="17"/>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废气</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rFonts w:hint="eastAsia" w:eastAsiaTheme="minorEastAsia"/>
                <w:bCs/>
                <w:color w:val="auto"/>
                <w:kern w:val="2"/>
                <w:szCs w:val="21"/>
              </w:rPr>
              <w:t>注塑成型（焊接、烫金）</w:t>
            </w:r>
            <w:r>
              <w:rPr>
                <w:rFonts w:eastAsiaTheme="minorEastAsia"/>
                <w:bCs/>
                <w:color w:val="auto"/>
                <w:kern w:val="2"/>
                <w:szCs w:val="21"/>
              </w:rPr>
              <w:t>工序废气经集气罩+</w:t>
            </w:r>
            <w:r>
              <w:rPr>
                <w:rFonts w:hint="eastAsia" w:eastAsiaTheme="minorEastAsia"/>
                <w:bCs/>
                <w:color w:val="auto"/>
                <w:kern w:val="2"/>
                <w:szCs w:val="21"/>
              </w:rPr>
              <w:t>UV</w:t>
            </w:r>
            <w:r>
              <w:rPr>
                <w:rFonts w:eastAsiaTheme="minorEastAsia"/>
                <w:bCs/>
                <w:color w:val="auto"/>
                <w:kern w:val="2"/>
                <w:szCs w:val="21"/>
              </w:rPr>
              <w:t>光氧</w:t>
            </w:r>
            <w:r>
              <w:rPr>
                <w:rFonts w:hint="eastAsia" w:eastAsiaTheme="minorEastAsia"/>
                <w:bCs/>
                <w:color w:val="auto"/>
                <w:kern w:val="2"/>
                <w:szCs w:val="21"/>
              </w:rPr>
              <w:t>等离子设备一体机</w:t>
            </w:r>
            <w:r>
              <w:rPr>
                <w:rFonts w:eastAsiaTheme="minorEastAsia"/>
                <w:bCs/>
                <w:color w:val="auto"/>
                <w:kern w:val="2"/>
                <w:szCs w:val="21"/>
              </w:rPr>
              <w:t>+1根15m高排气筒排放，未收集无组织排放</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b w:val="0"/>
                <w:bCs w:val="0"/>
                <w:color w:val="auto"/>
                <w:kern w:val="2"/>
                <w:sz w:val="21"/>
                <w:szCs w:val="21"/>
                <w:lang w:val="en-US" w:eastAsia="zh-CN" w:bidi="ar-SA"/>
              </w:rPr>
              <w:t>焊接、烫金工序未建设，其余一致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7"/>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废水</w:t>
            </w:r>
          </w:p>
        </w:tc>
        <w:tc>
          <w:tcPr>
            <w:tcW w:w="5464" w:type="dxa"/>
            <w:tcBorders>
              <w:tl2br w:val="nil"/>
              <w:tr2bl w:val="nil"/>
            </w:tcBorders>
            <w:tcMar>
              <w:top w:w="0" w:type="dxa"/>
              <w:left w:w="0" w:type="dxa"/>
              <w:bottom w:w="0" w:type="dxa"/>
              <w:right w:w="0" w:type="dxa"/>
            </w:tcMar>
            <w:vAlign w:val="center"/>
          </w:tcPr>
          <w:p>
            <w:pPr>
              <w:spacing w:line="240" w:lineRule="auto"/>
              <w:jc w:val="center"/>
              <w:rPr>
                <w:rFonts w:hint="default" w:ascii="Times New Roman" w:hAnsi="Times New Roman" w:eastAsia="宋体" w:cs="Times New Roman"/>
                <w:kern w:val="0"/>
                <w:sz w:val="21"/>
                <w:szCs w:val="21"/>
                <w:lang w:val="en-US" w:eastAsia="zh-CN"/>
              </w:rPr>
            </w:pPr>
            <w:r>
              <w:rPr>
                <w:szCs w:val="21"/>
              </w:rPr>
              <w:t>设备冷却水循环利用不外排；厂区设防渗旱厕，定期清掏</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7"/>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噪声</w:t>
            </w:r>
          </w:p>
        </w:tc>
        <w:tc>
          <w:tcPr>
            <w:tcW w:w="5464" w:type="dxa"/>
            <w:tcBorders>
              <w:tl2br w:val="nil"/>
              <w:tr2bl w:val="nil"/>
            </w:tcBorders>
            <w:tcMar>
              <w:top w:w="0" w:type="dxa"/>
              <w:left w:w="0" w:type="dxa"/>
              <w:bottom w:w="0" w:type="dxa"/>
              <w:right w:w="0" w:type="dxa"/>
            </w:tcMar>
            <w:vAlign w:val="center"/>
          </w:tcPr>
          <w:p>
            <w:pPr>
              <w:pStyle w:val="5"/>
              <w:spacing w:line="240" w:lineRule="auto"/>
              <w:ind w:firstLine="420" w:firstLineChars="200"/>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选用低噪声设备，设备加减振装置等措施，布局合理，高噪声设备远离厂界</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7"/>
              <w:spacing w:after="0" w:line="360" w:lineRule="exact"/>
              <w:ind w:firstLine="0" w:firstLineChars="0"/>
              <w:jc w:val="center"/>
              <w:rPr>
                <w:rFonts w:hint="eastAsia"/>
                <w:color w:val="000000"/>
                <w:szCs w:val="21"/>
              </w:rPr>
            </w:pPr>
            <w:r>
              <w:rPr>
                <w:rFonts w:hint="eastAsia"/>
                <w:color w:val="000000"/>
                <w:szCs w:val="21"/>
              </w:rPr>
              <w:t>固体</w:t>
            </w:r>
          </w:p>
          <w:p>
            <w:pPr>
              <w:pStyle w:val="17"/>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废物</w:t>
            </w:r>
          </w:p>
        </w:tc>
        <w:tc>
          <w:tcPr>
            <w:tcW w:w="5464" w:type="dxa"/>
            <w:tcBorders>
              <w:tl2br w:val="nil"/>
              <w:tr2bl w:val="nil"/>
            </w:tcBorders>
            <w:tcMar>
              <w:top w:w="0" w:type="dxa"/>
              <w:left w:w="0" w:type="dxa"/>
              <w:bottom w:w="0" w:type="dxa"/>
              <w:right w:w="0" w:type="dxa"/>
            </w:tcMar>
            <w:vAlign w:val="center"/>
          </w:tcPr>
          <w:p>
            <w:pPr>
              <w:spacing w:line="240" w:lineRule="auto"/>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注塑、成型工序产生的下脚料收集后外售；</w:t>
            </w:r>
          </w:p>
          <w:p>
            <w:pPr>
              <w:spacing w:line="240" w:lineRule="auto"/>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生活垃圾由环卫人员运至垃圾处理厂处理。</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bl>
    <w:p>
      <w:pPr>
        <w:pStyle w:val="4"/>
        <w:rPr>
          <w:rFonts w:hint="default" w:ascii="Times New Roman" w:hAnsi="Times New Roman" w:eastAsia="宋体" w:cs="Times New Roman"/>
        </w:rPr>
      </w:pPr>
      <w:bookmarkStart w:id="77" w:name="_Toc1691"/>
      <w:bookmarkStart w:id="78" w:name="_Toc27810"/>
      <w:bookmarkStart w:id="79" w:name="_Toc496979007"/>
      <w:bookmarkStart w:id="80" w:name="_Toc17854"/>
      <w:bookmarkStart w:id="81" w:name="_Toc30584"/>
      <w:bookmarkStart w:id="82" w:name="_Toc497001443"/>
      <w:r>
        <w:rPr>
          <w:rFonts w:hint="default" w:ascii="Times New Roman" w:hAnsi="Times New Roman" w:eastAsia="宋体" w:cs="Times New Roman"/>
        </w:rPr>
        <w:t>2.2.4生产设备</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19"/>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83" w:name="_Toc9178"/>
            <w:bookmarkStart w:id="84" w:name="_Toc376"/>
            <w:bookmarkStart w:id="85" w:name="_Toc25900"/>
            <w:bookmarkStart w:id="86" w:name="_Toc23184"/>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1</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eastAsia="zh-CN"/>
              </w:rPr>
            </w:pPr>
            <w:r>
              <w:rPr>
                <w:rFonts w:hint="eastAsia"/>
              </w:rPr>
              <w:t>注塑机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台</w:t>
            </w:r>
          </w:p>
        </w:tc>
        <w:tc>
          <w:tcPr>
            <w:tcW w:w="1785"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2</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eastAsia="zh-CN"/>
              </w:rPr>
            </w:pPr>
            <w:r>
              <w:rPr>
                <w:rFonts w:hint="eastAsia"/>
              </w:rPr>
              <w:t>注塑机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台</w:t>
            </w:r>
          </w:p>
        </w:tc>
        <w:tc>
          <w:tcPr>
            <w:tcW w:w="1785"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4</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3</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kern w:val="0"/>
                <w:sz w:val="21"/>
                <w:szCs w:val="21"/>
              </w:rPr>
            </w:pPr>
            <w:r>
              <w:rPr>
                <w:rFonts w:hint="eastAsia"/>
              </w:rPr>
              <w:t>注塑机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4</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kern w:val="0"/>
                <w:sz w:val="21"/>
                <w:szCs w:val="21"/>
              </w:rPr>
            </w:pPr>
            <w:r>
              <w:rPr>
                <w:rFonts w:hint="eastAsia"/>
              </w:rPr>
              <w:t>注塑机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5</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kern w:val="0"/>
                <w:sz w:val="21"/>
                <w:szCs w:val="21"/>
              </w:rPr>
            </w:pPr>
            <w:r>
              <w:rPr>
                <w:rFonts w:hint="eastAsia"/>
              </w:rPr>
              <w:t>注塑机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6</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kern w:val="0"/>
                <w:sz w:val="21"/>
                <w:szCs w:val="21"/>
              </w:rPr>
            </w:pPr>
            <w:r>
              <w:rPr>
                <w:rFonts w:hint="eastAsia"/>
              </w:rPr>
              <w:t>注塑机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7</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kern w:val="0"/>
                <w:sz w:val="21"/>
                <w:szCs w:val="21"/>
              </w:rPr>
            </w:pPr>
            <w:r>
              <w:rPr>
                <w:rFonts w:hint="eastAsia"/>
              </w:rPr>
              <w:t>注塑机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8</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kern w:val="0"/>
                <w:sz w:val="21"/>
                <w:szCs w:val="21"/>
              </w:rPr>
            </w:pPr>
            <w:r>
              <w:rPr>
                <w:rFonts w:hint="eastAsia"/>
              </w:rPr>
              <w:t>注塑机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9</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kern w:val="0"/>
                <w:sz w:val="21"/>
                <w:szCs w:val="21"/>
              </w:rPr>
            </w:pPr>
            <w:r>
              <w:rPr>
                <w:rFonts w:hint="eastAsia"/>
              </w:rPr>
              <w:t>注塑机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4</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10</w:t>
            </w:r>
          </w:p>
        </w:tc>
        <w:tc>
          <w:tcPr>
            <w:tcW w:w="2277"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kern w:val="0"/>
                <w:sz w:val="21"/>
                <w:szCs w:val="21"/>
              </w:rPr>
            </w:pPr>
            <w:r>
              <w:rPr>
                <w:rFonts w:hint="eastAsia"/>
                <w:kern w:val="2"/>
              </w:rPr>
              <w:t>空压机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2277"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kern w:val="0"/>
                <w:sz w:val="21"/>
                <w:szCs w:val="21"/>
              </w:rPr>
            </w:pPr>
            <w:r>
              <w:rPr>
                <w:rFonts w:hint="eastAsia"/>
                <w:kern w:val="2"/>
              </w:rPr>
              <w:t>拌料机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12</w:t>
            </w:r>
          </w:p>
        </w:tc>
        <w:tc>
          <w:tcPr>
            <w:tcW w:w="2277"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kern w:val="0"/>
                <w:sz w:val="21"/>
                <w:szCs w:val="21"/>
              </w:rPr>
            </w:pPr>
            <w:r>
              <w:rPr>
                <w:rFonts w:hint="eastAsia"/>
                <w:kern w:val="2"/>
              </w:rPr>
              <w:t>干燥机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4</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13</w:t>
            </w:r>
          </w:p>
        </w:tc>
        <w:tc>
          <w:tcPr>
            <w:tcW w:w="2277"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kern w:val="0"/>
                <w:sz w:val="21"/>
                <w:szCs w:val="21"/>
              </w:rPr>
            </w:pPr>
            <w:r>
              <w:rPr>
                <w:kern w:val="2"/>
              </w:rPr>
              <w:t>干燥机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11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14</w:t>
            </w:r>
          </w:p>
        </w:tc>
        <w:tc>
          <w:tcPr>
            <w:tcW w:w="2277" w:type="dxa"/>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kern w:val="0"/>
                <w:sz w:val="21"/>
                <w:szCs w:val="21"/>
              </w:rPr>
            </w:pPr>
            <w:r>
              <w:rPr>
                <w:rFonts w:hint="eastAsia"/>
                <w:kern w:val="2"/>
              </w:rPr>
              <w:t>塑料焊接机</w:t>
            </w:r>
          </w:p>
        </w:tc>
        <w:tc>
          <w:tcPr>
            <w:tcW w:w="1617" w:type="dxa"/>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4</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15</w:t>
            </w:r>
          </w:p>
        </w:tc>
        <w:tc>
          <w:tcPr>
            <w:tcW w:w="2277" w:type="dxa"/>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kern w:val="0"/>
                <w:sz w:val="21"/>
                <w:szCs w:val="21"/>
              </w:rPr>
            </w:pPr>
            <w:r>
              <w:rPr>
                <w:rFonts w:hint="eastAsia"/>
                <w:kern w:val="2"/>
              </w:rPr>
              <w:t>烫金机</w:t>
            </w:r>
          </w:p>
        </w:tc>
        <w:tc>
          <w:tcPr>
            <w:tcW w:w="1617" w:type="dxa"/>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eastAsia" w:ascii="Times New Roman" w:hAnsi="Times New Roman" w:cs="Times New Roman"/>
                <w:kern w:val="0"/>
                <w:szCs w:val="21"/>
                <w:lang w:val="en-US" w:eastAsia="zh-CN"/>
              </w:rPr>
            </w:pPr>
            <w:r>
              <w:rPr>
                <w:rFonts w:hint="eastAsia"/>
                <w:kern w:val="2"/>
              </w:rPr>
              <w:t>3</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0</w:t>
            </w:r>
          </w:p>
        </w:tc>
      </w:tr>
    </w:tbl>
    <w:p>
      <w:pPr>
        <w:pStyle w:val="3"/>
        <w:rPr>
          <w:rFonts w:hint="default" w:ascii="Times New Roman" w:hAnsi="Times New Roman" w:eastAsia="宋体" w:cs="Times New Roman"/>
          <w:color w:val="000000"/>
        </w:rPr>
      </w:pPr>
    </w:p>
    <w:p>
      <w:pPr>
        <w:pStyle w:val="3"/>
        <w:rPr>
          <w:rFonts w:hint="default" w:ascii="Times New Roman" w:hAnsi="Times New Roman" w:eastAsia="宋体" w:cs="Times New Roman"/>
          <w:color w:val="000000"/>
        </w:rPr>
      </w:pPr>
    </w:p>
    <w:p>
      <w:pPr>
        <w:pStyle w:val="3"/>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83"/>
      <w:bookmarkEnd w:id="84"/>
      <w:bookmarkEnd w:id="85"/>
      <w:bookmarkEnd w:id="86"/>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left="0" w:leftChars="0" w:right="0" w:rightChars="0" w:firstLine="0" w:firstLineChars="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object>
          <v:shape id="_x0000_i1025" o:spt="75" type="#_x0000_t75" style="height:139.75pt;width:391.8pt;" o:ole="t" filled="f" o:preferrelative="t" stroked="f" coordsize="21600,21600">
            <v:path/>
            <v:fill on="f" focussize="0,0"/>
            <v:stroke on="f"/>
            <v:imagedata r:id="rId13" o:title=""/>
            <o:lock v:ext="edit" aspectratio="t"/>
            <w10:wrap type="none"/>
            <w10:anchorlock/>
          </v:shape>
          <o:OLEObject Type="Embed" ProgID="Visio.Drawing.11" ShapeID="_x0000_i1025" DrawAspect="Content" ObjectID="_1468075725" r:id="rId12">
            <o:LockedField>false</o:LockedField>
          </o:OLEObject>
        </w:object>
      </w:r>
    </w:p>
    <w:p>
      <w:pPr>
        <w:pStyle w:val="5"/>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7" w:name="_Toc29955"/>
      <w:bookmarkStart w:id="88" w:name="_Toc12629"/>
      <w:bookmarkStart w:id="89" w:name="_Toc2746"/>
      <w:bookmarkStart w:id="90" w:name="_Toc12284"/>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5"/>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cs="Times New Roman"/>
          <w:sz w:val="24"/>
          <w:szCs w:val="24"/>
          <w:lang w:val="en-US" w:eastAsia="zh-CN"/>
        </w:rPr>
        <w:t>工艺流</w:t>
      </w:r>
      <w:r>
        <w:rPr>
          <w:rFonts w:hint="eastAsia" w:ascii="Times New Roman" w:hAnsi="Times New Roman" w:eastAsia="宋体" w:cs="Times New Roman"/>
          <w:kern w:val="28"/>
          <w:sz w:val="24"/>
          <w:szCs w:val="22"/>
          <w:lang w:val="en-US" w:eastAsia="zh-CN" w:bidi="ar-SA"/>
        </w:rPr>
        <w:t>程</w:t>
      </w:r>
      <w:r>
        <w:rPr>
          <w:rFonts w:hint="eastAsia" w:ascii="Times New Roman" w:hAnsi="Times New Roman" w:eastAsia="宋体" w:cs="Times New Roman"/>
          <w:color w:val="auto"/>
          <w:kern w:val="2"/>
          <w:sz w:val="24"/>
          <w:szCs w:val="22"/>
          <w:lang w:val="en-US" w:eastAsia="zh-CN" w:bidi="ar-SA"/>
        </w:rPr>
        <w:t>简述：</w:t>
      </w:r>
    </w:p>
    <w:p>
      <w:pPr>
        <w:pStyle w:val="5"/>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拌料：将聚丙烯、环保PVC、TPE等原料用先用拌料机进行拌料（颗粒状原料，无粉尘产生）干燥机烘干</w:t>
      </w:r>
    </w:p>
    <w:p>
      <w:pPr>
        <w:pStyle w:val="5"/>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注塑：拌好原料用注塑机进行注塑，即得到半成品。</w:t>
      </w:r>
    </w:p>
    <w:p>
      <w:pPr>
        <w:pStyle w:val="5"/>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成型：注塑完成后，</w:t>
      </w:r>
      <w:r>
        <w:rPr>
          <w:rFonts w:hint="eastAsia" w:ascii="Times New Roman" w:hAnsi="Times New Roman" w:cs="Times New Roman"/>
          <w:color w:val="auto"/>
          <w:kern w:val="2"/>
          <w:sz w:val="24"/>
          <w:szCs w:val="22"/>
          <w:lang w:val="en-US" w:eastAsia="zh-CN" w:bidi="ar-SA"/>
        </w:rPr>
        <w:t>冷却成型</w:t>
      </w:r>
      <w:r>
        <w:rPr>
          <w:rFonts w:hint="eastAsia" w:ascii="Times New Roman" w:hAnsi="Times New Roman" w:eastAsia="宋体" w:cs="Times New Roman"/>
          <w:color w:val="auto"/>
          <w:kern w:val="2"/>
          <w:sz w:val="24"/>
          <w:szCs w:val="22"/>
          <w:lang w:val="en-US" w:eastAsia="zh-CN" w:bidi="ar-SA"/>
        </w:rPr>
        <w:t>。废气经集气罩收集通过集气罩+1套UV光氧等离子设备一体机处理后经1根15米排气筒排放。</w:t>
      </w:r>
    </w:p>
    <w:p>
      <w:pPr>
        <w:pStyle w:val="3"/>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7"/>
      <w:bookmarkEnd w:id="88"/>
      <w:bookmarkEnd w:id="89"/>
      <w:bookmarkEnd w:id="90"/>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本项目劳动定员为</w:t>
      </w:r>
      <w:r>
        <w:rPr>
          <w:rFonts w:hint="eastAsia" w:ascii="Times New Roman" w:hAnsi="Times New Roman" w:cs="Times New Roman"/>
          <w:sz w:val="24"/>
          <w:szCs w:val="24"/>
          <w:lang w:val="en-US" w:eastAsia="zh-CN"/>
        </w:rPr>
        <w:t>23</w:t>
      </w:r>
      <w:r>
        <w:rPr>
          <w:rFonts w:hint="default" w:ascii="Times New Roman" w:hAnsi="Times New Roman" w:eastAsia="宋体" w:cs="Times New Roman"/>
          <w:sz w:val="24"/>
          <w:szCs w:val="24"/>
        </w:rPr>
        <w:t>人，实行白班工作制，每天8小时，年工作日为300天。</w:t>
      </w:r>
    </w:p>
    <w:p>
      <w:pPr>
        <w:pStyle w:val="3"/>
        <w:rPr>
          <w:rFonts w:hint="default" w:ascii="Times New Roman" w:hAnsi="Times New Roman" w:eastAsia="宋体" w:cs="Times New Roman"/>
        </w:rPr>
      </w:pPr>
      <w:bookmarkStart w:id="91" w:name="_Toc172"/>
      <w:bookmarkStart w:id="92" w:name="_Toc23560"/>
      <w:bookmarkStart w:id="93" w:name="_Toc4180"/>
      <w:bookmarkStart w:id="94" w:name="_Toc18609"/>
      <w:r>
        <w:rPr>
          <w:rFonts w:hint="default" w:ascii="Times New Roman" w:hAnsi="Times New Roman" w:eastAsia="宋体" w:cs="Times New Roman"/>
        </w:rPr>
        <w:t>2.5公用工程</w:t>
      </w:r>
      <w:bookmarkEnd w:id="91"/>
      <w:bookmarkEnd w:id="92"/>
      <w:bookmarkEnd w:id="93"/>
      <w:bookmarkEnd w:id="94"/>
    </w:p>
    <w:p>
      <w:pPr>
        <w:pStyle w:val="4"/>
        <w:spacing w:line="440" w:lineRule="atLeast"/>
        <w:rPr>
          <w:rFonts w:hint="default" w:ascii="Times New Roman" w:hAnsi="Times New Roman" w:eastAsia="宋体" w:cs="Times New Roman"/>
          <w:color w:val="auto"/>
        </w:rPr>
      </w:pPr>
      <w:bookmarkStart w:id="95" w:name="_Toc11895"/>
      <w:bookmarkStart w:id="96" w:name="_Toc496979011"/>
      <w:bookmarkStart w:id="97" w:name="_Toc497001447"/>
      <w:bookmarkStart w:id="98" w:name="_Toc30587"/>
      <w:bookmarkStart w:id="99" w:name="_Toc30661"/>
      <w:bookmarkStart w:id="100" w:name="_Toc23987"/>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5"/>
      <w:bookmarkEnd w:id="96"/>
      <w:bookmarkEnd w:id="97"/>
      <w:bookmarkEnd w:id="98"/>
      <w:bookmarkEnd w:id="99"/>
      <w:bookmarkEnd w:id="100"/>
    </w:p>
    <w:p>
      <w:pPr>
        <w:pStyle w:val="4"/>
        <w:spacing w:line="440" w:lineRule="atLeast"/>
        <w:ind w:firstLine="480" w:firstLineChars="200"/>
        <w:rPr>
          <w:rFonts w:hint="eastAsia" w:ascii="Times New Roman" w:hAnsi="Times New Roman" w:eastAsia="宋体" w:cs="Times New Roman"/>
          <w:color w:val="auto"/>
          <w:lang w:eastAsia="zh-CN"/>
        </w:rPr>
      </w:pPr>
      <w:bookmarkStart w:id="101" w:name="_Toc922"/>
      <w:bookmarkStart w:id="102" w:name="_Toc496979012"/>
      <w:bookmarkStart w:id="103" w:name="_Toc497001448"/>
      <w:r>
        <w:rPr>
          <w:rFonts w:hint="default" w:ascii="Times New Roman" w:hAnsi="Times New Roman" w:eastAsia="宋体" w:cs="Times New Roman"/>
          <w:color w:val="auto"/>
        </w:rPr>
        <w:t>1）给水：项目用水由薛官屯供水系统提供。</w:t>
      </w:r>
    </w:p>
    <w:p>
      <w:pPr>
        <w:pStyle w:val="4"/>
        <w:spacing w:line="440" w:lineRule="atLeast"/>
        <w:ind w:firstLine="480" w:firstLineChars="200"/>
        <w:rPr>
          <w:rFonts w:ascii="Times New Roman" w:hAnsi="Times New Roman" w:eastAsia="宋体"/>
          <w:color w:val="auto"/>
          <w:kern w:val="28"/>
          <w:sz w:val="24"/>
        </w:rPr>
      </w:pPr>
      <w:bookmarkStart w:id="104"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104"/>
      <w:r>
        <w:rPr>
          <w:rFonts w:hint="eastAsia" w:ascii="Times New Roman" w:hAnsi="Times New Roman" w:eastAsia="宋体"/>
          <w:color w:val="auto"/>
          <w:kern w:val="28"/>
          <w:sz w:val="24"/>
          <w:lang w:eastAsia="zh-CN"/>
        </w:rPr>
        <w:t>本项目无生产废水产生，冷却水循环使用，定期补充不外排。产生的废水主要为职工生活污水。厂区设置防渗旱厕，产生的生活污水排入旱厕，定期清掏，不外排。</w:t>
      </w:r>
    </w:p>
    <w:p>
      <w:pPr>
        <w:pStyle w:val="4"/>
        <w:spacing w:line="440" w:lineRule="atLeast"/>
        <w:rPr>
          <w:rFonts w:hint="default" w:ascii="Times New Roman" w:hAnsi="Times New Roman" w:eastAsia="宋体" w:cs="Times New Roman"/>
          <w:color w:val="auto"/>
        </w:rPr>
      </w:pPr>
      <w:bookmarkStart w:id="105" w:name="_Toc24223"/>
      <w:bookmarkStart w:id="106" w:name="_Toc26592"/>
      <w:bookmarkStart w:id="107" w:name="_Toc21823"/>
      <w:r>
        <w:rPr>
          <w:rFonts w:hint="default" w:ascii="Times New Roman" w:hAnsi="Times New Roman" w:eastAsia="宋体" w:cs="Times New Roman"/>
          <w:color w:val="auto"/>
        </w:rPr>
        <w:t>2.5.2供电</w:t>
      </w:r>
      <w:bookmarkEnd w:id="101"/>
      <w:bookmarkEnd w:id="102"/>
      <w:bookmarkEnd w:id="103"/>
      <w:bookmarkEnd w:id="105"/>
      <w:bookmarkEnd w:id="106"/>
      <w:bookmarkEnd w:id="107"/>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项目电源引薛官屯乡供电系统提供</w:t>
      </w:r>
      <w:r>
        <w:rPr>
          <w:rFonts w:hint="eastAsia" w:ascii="Times New Roman" w:hAnsi="Times New Roman" w:cs="Times New Roman"/>
          <w:color w:val="auto"/>
          <w:sz w:val="24"/>
          <w:szCs w:val="24"/>
          <w:lang w:eastAsia="zh-CN"/>
        </w:rPr>
        <w:t>。</w:t>
      </w:r>
    </w:p>
    <w:p>
      <w:pPr>
        <w:pStyle w:val="4"/>
        <w:rPr>
          <w:rFonts w:hint="default" w:ascii="Times New Roman" w:hAnsi="Times New Roman" w:eastAsia="宋体" w:cs="Times New Roman"/>
          <w:color w:val="auto"/>
        </w:rPr>
      </w:pPr>
      <w:bookmarkStart w:id="108" w:name="_Toc138"/>
      <w:bookmarkStart w:id="109" w:name="_Toc11980"/>
      <w:bookmarkStart w:id="110" w:name="_Toc27473"/>
      <w:bookmarkStart w:id="111" w:name="_Toc2253"/>
      <w:r>
        <w:rPr>
          <w:rFonts w:hint="default" w:ascii="Times New Roman" w:hAnsi="Times New Roman" w:eastAsia="宋体" w:cs="Times New Roman"/>
          <w:color w:val="auto"/>
        </w:rPr>
        <w:t>2.5.3供暖</w:t>
      </w:r>
      <w:bookmarkEnd w:id="108"/>
      <w:bookmarkEnd w:id="109"/>
      <w:bookmarkEnd w:id="110"/>
      <w:bookmarkEnd w:id="111"/>
    </w:p>
    <w:p>
      <w:pPr>
        <w:spacing w:line="360" w:lineRule="auto"/>
        <w:ind w:firstLine="480" w:firstLineChars="200"/>
        <w:rPr>
          <w:rFonts w:hint="eastAsia" w:ascii="Times New Roman" w:hAnsi="Times New Roman" w:eastAsia="宋体" w:cs="Times New Roman"/>
          <w:lang w:eastAsia="zh-CN"/>
        </w:rPr>
      </w:pPr>
      <w:bookmarkStart w:id="112" w:name="_Toc21958"/>
      <w:bookmarkStart w:id="113" w:name="_Toc12064"/>
      <w:bookmarkStart w:id="114" w:name="_Toc14595"/>
      <w:bookmarkStart w:id="115" w:name="_Toc23930"/>
      <w:r>
        <w:rPr>
          <w:rFonts w:hint="default" w:ascii="Times New Roman" w:hAnsi="Times New Roman" w:eastAsia="宋体" w:cs="Times New Roman"/>
          <w:color w:val="auto"/>
          <w:sz w:val="24"/>
          <w:szCs w:val="24"/>
        </w:rPr>
        <w:t>项目生产过程中生产用热由电源提供。</w:t>
      </w:r>
    </w:p>
    <w:p>
      <w:pPr>
        <w:pStyle w:val="3"/>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12"/>
      <w:bookmarkEnd w:id="113"/>
      <w:bookmarkEnd w:id="114"/>
      <w:bookmarkEnd w:id="11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河北荣超环保科技有限公司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12</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沧县峰盛塑料制品厂塑料制品加工项目</w:t>
      </w:r>
      <w:r>
        <w:rPr>
          <w:rFonts w:hint="eastAsia" w:ascii="Times New Roman" w:hAnsi="Times New Roman" w:cs="Times New Roman"/>
          <w:kern w:val="0"/>
          <w:sz w:val="24"/>
          <w:szCs w:val="24"/>
          <w:lang w:val="en-US" w:eastAsia="zh-CN"/>
        </w:rPr>
        <w:t>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default" w:ascii="Times New Roman" w:hAnsi="Times New Roman" w:eastAsia="宋体" w:cs="Times New Roman"/>
          <w:sz w:val="24"/>
          <w:szCs w:val="24"/>
        </w:rPr>
        <w:t>20</w:t>
      </w:r>
      <w:r>
        <w:rPr>
          <w:rFonts w:hint="eastAsia" w:ascii="Times New Roman" w:hAnsi="Times New Roman" w:eastAsia="宋体" w:cs="Times New Roman"/>
          <w:sz w:val="24"/>
          <w:szCs w:val="24"/>
          <w:lang w:val="en-US" w:eastAsia="zh-CN"/>
        </w:rPr>
        <w:t>1</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27</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沧州市生态环境保护局沧县分局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沧县峰盛塑料制品厂塑料制品加工项目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pacing w:val="0"/>
          <w:kern w:val="0"/>
          <w:sz w:val="24"/>
          <w:szCs w:val="24"/>
          <w:lang w:val="en-US" w:eastAsia="zh-CN"/>
        </w:rPr>
        <w:t>沧县环评[2019]917号</w:t>
      </w:r>
      <w:r>
        <w:rPr>
          <w:rFonts w:hint="eastAsia" w:ascii="Times New Roman" w:hAnsi="Times New Roman" w:eastAsia="宋体" w:cs="Times New Roman"/>
          <w:sz w:val="24"/>
          <w:szCs w:val="24"/>
          <w:lang w:eastAsia="zh-CN"/>
        </w:rPr>
        <w:t>。</w:t>
      </w:r>
    </w:p>
    <w:p>
      <w:pPr>
        <w:pStyle w:val="3"/>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6" w:name="_Toc31951"/>
      <w:bookmarkStart w:id="117" w:name="_Toc27205"/>
      <w:bookmarkStart w:id="118" w:name="_Toc6019"/>
      <w:bookmarkStart w:id="119" w:name="_Toc29987"/>
      <w:r>
        <w:rPr>
          <w:rFonts w:hint="default" w:ascii="Times New Roman" w:hAnsi="Times New Roman" w:eastAsia="宋体" w:cs="Times New Roman"/>
          <w:szCs w:val="22"/>
        </w:rPr>
        <w:t>2.7项目投资</w:t>
      </w:r>
      <w:bookmarkEnd w:id="116"/>
      <w:bookmarkEnd w:id="117"/>
      <w:bookmarkEnd w:id="118"/>
      <w:bookmarkEnd w:id="119"/>
    </w:p>
    <w:p>
      <w:pPr>
        <w:pStyle w:val="3"/>
        <w:ind w:firstLine="480" w:firstLineChars="200"/>
        <w:rPr>
          <w:rFonts w:hint="default" w:ascii="Times New Roman" w:hAnsi="Times New Roman" w:eastAsia="宋体" w:cs="Times New Roman"/>
          <w:b w:val="0"/>
          <w:bCs/>
          <w:color w:val="auto"/>
          <w:kern w:val="2"/>
          <w:sz w:val="24"/>
          <w:szCs w:val="24"/>
          <w:lang w:val="en-US" w:eastAsia="zh-CN" w:bidi="ar-SA"/>
        </w:rPr>
      </w:pPr>
      <w:bookmarkStart w:id="120" w:name="_Toc21008"/>
      <w:bookmarkStart w:id="121" w:name="_Toc3229"/>
      <w:bookmarkStart w:id="122" w:name="_Toc15687"/>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450</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10</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2.22</w:t>
      </w:r>
      <w:r>
        <w:rPr>
          <w:rFonts w:hint="default" w:ascii="Times New Roman" w:hAnsi="Times New Roman" w:eastAsia="宋体" w:cs="Times New Roman"/>
          <w:b w:val="0"/>
          <w:bCs/>
          <w:color w:val="auto"/>
          <w:kern w:val="2"/>
          <w:sz w:val="24"/>
          <w:szCs w:val="24"/>
          <w:lang w:val="en-US" w:eastAsia="zh-CN" w:bidi="ar-SA"/>
        </w:rPr>
        <w:t>%。</w:t>
      </w:r>
      <w:bookmarkStart w:id="123"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450</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10</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0.5</w:t>
      </w:r>
      <w:r>
        <w:rPr>
          <w:rFonts w:hint="eastAsia" w:ascii="Times New Roman" w:hAnsi="Times New Roman" w:eastAsia="宋体" w:cs="Times New Roman"/>
          <w:b w:val="0"/>
          <w:bCs/>
          <w:i w:val="0"/>
          <w:iCs w:val="0"/>
          <w:color w:val="auto"/>
          <w:kern w:val="2"/>
          <w:sz w:val="24"/>
          <w:szCs w:val="24"/>
          <w:lang w:val="en-US" w:eastAsia="zh-CN" w:bidi="ar-SA"/>
        </w:rPr>
        <w:t>%。</w:t>
      </w:r>
      <w:bookmarkEnd w:id="120"/>
      <w:bookmarkEnd w:id="121"/>
      <w:bookmarkEnd w:id="122"/>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4" w:name="_Toc22160"/>
      <w:bookmarkStart w:id="125" w:name="_Toc2981"/>
      <w:bookmarkStart w:id="126" w:name="_Toc3625"/>
      <w:r>
        <w:rPr>
          <w:rFonts w:hint="default" w:ascii="Times New Roman" w:hAnsi="Times New Roman" w:eastAsia="宋体" w:cs="Times New Roman"/>
        </w:rPr>
        <w:t>2.8项目变更情况说明</w:t>
      </w:r>
      <w:bookmarkEnd w:id="123"/>
      <w:bookmarkEnd w:id="124"/>
      <w:bookmarkEnd w:id="125"/>
      <w:bookmarkEnd w:id="12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rPr>
      </w:pPr>
      <w:bookmarkStart w:id="127" w:name="_Toc30604"/>
      <w:bookmarkStart w:id="128" w:name="_Toc3130"/>
      <w:bookmarkStart w:id="129" w:name="_Toc7013"/>
      <w:bookmarkStart w:id="130" w:name="_Toc18868"/>
      <w:r>
        <w:rPr>
          <w:rFonts w:hint="default" w:ascii="Times New Roman" w:hAnsi="Times New Roman" w:eastAsia="宋体" w:cs="Times New Roman"/>
          <w:b w:val="0"/>
          <w:bCs/>
          <w:color w:val="auto"/>
          <w:kern w:val="2"/>
          <w:sz w:val="24"/>
          <w:szCs w:val="24"/>
          <w:lang w:val="en-US" w:eastAsia="zh-CN" w:bidi="ar-SA"/>
        </w:rPr>
        <w:t>环评文件建设内容中有焊接、烫金工艺，现场实际未建设，企业承诺不再建设，其他建设内容与环评及批复文件要求基本一致。</w:t>
      </w:r>
      <w:r>
        <w:rPr>
          <w:rFonts w:hint="default" w:ascii="Times New Roman" w:hAnsi="Times New Roman" w:eastAsia="宋体" w:cs="Times New Roman"/>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7"/>
      <w:bookmarkEnd w:id="128"/>
      <w:bookmarkEnd w:id="129"/>
      <w:bookmarkEnd w:id="130"/>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bookmarkStart w:id="131" w:name="_Hlk496992852"/>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bookmarkEnd w:id="131"/>
    </w:p>
    <w:tbl>
      <w:tblPr>
        <w:tblStyle w:val="19"/>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405"/>
        <w:gridCol w:w="697"/>
        <w:gridCol w:w="573"/>
        <w:gridCol w:w="1050"/>
        <w:gridCol w:w="1439"/>
        <w:gridCol w:w="3705"/>
        <w:gridCol w:w="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338"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项目</w:t>
            </w:r>
          </w:p>
        </w:tc>
        <w:tc>
          <w:tcPr>
            <w:tcW w:w="69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污染源</w:t>
            </w:r>
          </w:p>
        </w:tc>
        <w:tc>
          <w:tcPr>
            <w:tcW w:w="57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污染物</w:t>
            </w:r>
          </w:p>
        </w:tc>
        <w:tc>
          <w:tcPr>
            <w:tcW w:w="1050"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环保设施名称</w:t>
            </w:r>
          </w:p>
        </w:tc>
        <w:tc>
          <w:tcPr>
            <w:tcW w:w="1439"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验收指标</w:t>
            </w:r>
          </w:p>
        </w:tc>
        <w:tc>
          <w:tcPr>
            <w:tcW w:w="37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验收标准</w:t>
            </w:r>
          </w:p>
        </w:tc>
        <w:tc>
          <w:tcPr>
            <w:tcW w:w="653" w:type="dxa"/>
            <w:vAlign w:val="center"/>
          </w:tcPr>
          <w:p>
            <w:pPr>
              <w:widowControl w:val="0"/>
              <w:adjustRightInd w:val="0"/>
              <w:spacing w:line="240" w:lineRule="auto"/>
              <w:jc w:val="center"/>
              <w:textAlignment w:val="auto"/>
              <w:rPr>
                <w:rFonts w:hint="default"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958" w:hRule="atLeast"/>
          <w:jc w:val="center"/>
        </w:trPr>
        <w:tc>
          <w:tcPr>
            <w:tcW w:w="405" w:type="dxa"/>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废气</w:t>
            </w:r>
          </w:p>
        </w:tc>
        <w:tc>
          <w:tcPr>
            <w:tcW w:w="697" w:type="dxa"/>
            <w:vMerge w:val="restart"/>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rPr>
              <w:t>注塑成型</w:t>
            </w:r>
            <w:r>
              <w:rPr>
                <w:rFonts w:ascii="Times New Roman" w:hAnsi="Times New Roman" w:eastAsia="宋体" w:cs="Times New Roman"/>
                <w:color w:val="000000"/>
                <w:kern w:val="0"/>
                <w:szCs w:val="21"/>
                <w:u w:color="000000"/>
              </w:rPr>
              <w:t>工序</w:t>
            </w:r>
          </w:p>
        </w:tc>
        <w:tc>
          <w:tcPr>
            <w:tcW w:w="573" w:type="dxa"/>
            <w:vMerge w:val="restart"/>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非甲烷总烃</w:t>
            </w:r>
          </w:p>
        </w:tc>
        <w:tc>
          <w:tcPr>
            <w:tcW w:w="1050" w:type="dxa"/>
            <w:vMerge w:val="restart"/>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集气罩+1套</w:t>
            </w:r>
            <w:r>
              <w:rPr>
                <w:rFonts w:hint="eastAsia" w:ascii="Times New Roman" w:hAnsi="Times New Roman" w:eastAsia="宋体" w:cs="Times New Roman"/>
                <w:color w:val="000000"/>
                <w:kern w:val="0"/>
                <w:szCs w:val="21"/>
                <w:u w:color="000000"/>
              </w:rPr>
              <w:t>UV</w:t>
            </w:r>
            <w:r>
              <w:rPr>
                <w:rFonts w:ascii="Times New Roman" w:hAnsi="Times New Roman" w:eastAsia="宋体" w:cs="Times New Roman"/>
                <w:color w:val="000000"/>
                <w:kern w:val="0"/>
                <w:szCs w:val="21"/>
                <w:u w:color="000000"/>
              </w:rPr>
              <w:t>光氧</w:t>
            </w:r>
            <w:r>
              <w:rPr>
                <w:rFonts w:hint="eastAsia" w:ascii="Times New Roman" w:hAnsi="Times New Roman" w:eastAsia="宋体" w:cs="Times New Roman"/>
                <w:color w:val="000000"/>
                <w:kern w:val="0"/>
                <w:szCs w:val="21"/>
                <w:u w:color="000000"/>
              </w:rPr>
              <w:t>等离子设备一体机</w:t>
            </w:r>
            <w:r>
              <w:rPr>
                <w:rFonts w:ascii="Times New Roman" w:hAnsi="Times New Roman" w:eastAsia="宋体" w:cs="Times New Roman"/>
                <w:color w:val="000000"/>
                <w:kern w:val="0"/>
                <w:szCs w:val="21"/>
                <w:u w:color="000000"/>
              </w:rPr>
              <w:t>+1根15m高排气筒</w:t>
            </w:r>
          </w:p>
        </w:tc>
        <w:tc>
          <w:tcPr>
            <w:tcW w:w="1439"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最高允许排放浓度：20mg/m</w:t>
            </w:r>
            <w:r>
              <w:rPr>
                <w:rFonts w:ascii="Times New Roman" w:hAnsi="Times New Roman" w:eastAsia="宋体" w:cs="Times New Roman"/>
                <w:color w:val="000000"/>
                <w:kern w:val="0"/>
                <w:szCs w:val="21"/>
                <w:u w:color="000000"/>
                <w:vertAlign w:val="superscript"/>
              </w:rPr>
              <w:t>3</w:t>
            </w:r>
          </w:p>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最低去除效率90%</w:t>
            </w:r>
          </w:p>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排气筒高度：15m</w:t>
            </w:r>
          </w:p>
        </w:tc>
        <w:tc>
          <w:tcPr>
            <w:tcW w:w="3705"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《烧碱、聚氯乙烯工业污染物排放标准》（GB15581-2016）表4大气污染物特别排放浓度限值和4.2.8要求及《工业企业挥发性有机物排放控制标准》（DB13/2322-2016）表1有机化工业最低去除率要求</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692"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573"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1050"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1439"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边界浓度限值：2.0mg/m</w:t>
            </w:r>
            <w:r>
              <w:rPr>
                <w:rFonts w:ascii="Times New Roman" w:hAnsi="Times New Roman" w:eastAsia="宋体" w:cs="Times New Roman"/>
                <w:color w:val="000000"/>
                <w:kern w:val="0"/>
                <w:szCs w:val="21"/>
                <w:u w:color="000000"/>
                <w:vertAlign w:val="superscript"/>
              </w:rPr>
              <w:t>3</w:t>
            </w:r>
          </w:p>
        </w:tc>
        <w:tc>
          <w:tcPr>
            <w:tcW w:w="3705"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《工业企业挥发性有机物排放标准》（DB13/2322-2016）表2中排放标准限值</w:t>
            </w:r>
            <w:r>
              <w:rPr>
                <w:rFonts w:hint="eastAsia" w:ascii="Times New Roman" w:hAnsi="Times New Roman" w:eastAsia="宋体" w:cs="Times New Roman"/>
                <w:color w:val="000000"/>
                <w:kern w:val="0"/>
                <w:szCs w:val="21"/>
                <w:u w:color="000000"/>
              </w:rPr>
              <w:t>及《挥发性有机物无组织排放控制标准》（GB37822-2019）附录A厂区内VOCs无组织特别排放限值要求</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692"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573" w:type="dxa"/>
            <w:vMerge w:val="restart"/>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氯化氢</w:t>
            </w:r>
          </w:p>
        </w:tc>
        <w:tc>
          <w:tcPr>
            <w:tcW w:w="1050" w:type="dxa"/>
            <w:vMerge w:val="continue"/>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p>
        </w:tc>
        <w:tc>
          <w:tcPr>
            <w:tcW w:w="1439"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最高允许排放浓度：20mg/m</w:t>
            </w:r>
            <w:r>
              <w:rPr>
                <w:rFonts w:ascii="Times New Roman" w:hAnsi="Times New Roman" w:eastAsia="宋体" w:cs="Times New Roman"/>
                <w:color w:val="000000"/>
                <w:kern w:val="0"/>
                <w:szCs w:val="21"/>
                <w:u w:color="000000"/>
                <w:vertAlign w:val="superscript"/>
              </w:rPr>
              <w:t>3</w:t>
            </w:r>
          </w:p>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排气筒高度：15m</w:t>
            </w:r>
          </w:p>
        </w:tc>
        <w:tc>
          <w:tcPr>
            <w:tcW w:w="3705"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《烧碱、聚氯乙烯工业污染物排放标准》（GB15581-2016）表4大气污染物特别排放浓度限值和4.2.8要求</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692"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573"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1050"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1439"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企业边界浓度限值：0.2mg/m</w:t>
            </w:r>
            <w:r>
              <w:rPr>
                <w:rFonts w:ascii="Times New Roman" w:hAnsi="Times New Roman" w:eastAsia="宋体" w:cs="Times New Roman"/>
                <w:color w:val="000000"/>
                <w:kern w:val="0"/>
                <w:szCs w:val="21"/>
                <w:u w:color="000000"/>
                <w:vertAlign w:val="superscript"/>
              </w:rPr>
              <w:t>3</w:t>
            </w:r>
          </w:p>
        </w:tc>
        <w:tc>
          <w:tcPr>
            <w:tcW w:w="3705"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《烧碱、聚氯乙烯工业污染物排放标准》（GB15581-2016）表5企业边界大气污染物浓度限值</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692"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573" w:type="dxa"/>
            <w:vMerge w:val="restart"/>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氯乙烯</w:t>
            </w:r>
          </w:p>
        </w:tc>
        <w:tc>
          <w:tcPr>
            <w:tcW w:w="1050"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1439"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最高允许排放浓度：10mg/m</w:t>
            </w:r>
            <w:r>
              <w:rPr>
                <w:rFonts w:ascii="Times New Roman" w:hAnsi="Times New Roman" w:eastAsia="宋体" w:cs="Times New Roman"/>
                <w:color w:val="000000"/>
                <w:kern w:val="0"/>
                <w:szCs w:val="21"/>
                <w:u w:color="000000"/>
                <w:vertAlign w:val="superscript"/>
              </w:rPr>
              <w:t>3</w:t>
            </w:r>
          </w:p>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排气筒高度：15m</w:t>
            </w:r>
          </w:p>
        </w:tc>
        <w:tc>
          <w:tcPr>
            <w:tcW w:w="3705"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《烧碱、聚氯乙烯工业污染物排放标准》（GB15581-2016）表4大气污染物特别排放浓度限值和4.2.8要求</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692"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573"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1050" w:type="dxa"/>
            <w:vMerge w:val="continue"/>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p>
        </w:tc>
        <w:tc>
          <w:tcPr>
            <w:tcW w:w="1439"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企业边界浓度限值：0.15mg/m</w:t>
            </w:r>
            <w:r>
              <w:rPr>
                <w:rFonts w:ascii="Times New Roman" w:hAnsi="Times New Roman" w:eastAsia="宋体" w:cs="Times New Roman"/>
                <w:color w:val="000000"/>
                <w:kern w:val="0"/>
                <w:szCs w:val="21"/>
                <w:u w:color="000000"/>
                <w:vertAlign w:val="superscript"/>
              </w:rPr>
              <w:t>3</w:t>
            </w:r>
          </w:p>
        </w:tc>
        <w:tc>
          <w:tcPr>
            <w:tcW w:w="3705"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《烧碱、聚氯乙烯工业污染物排放标准》（GB15581-2016）表5企业边界大气污染物浓度限值</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379" w:hRule="atLeast"/>
          <w:jc w:val="center"/>
        </w:trPr>
        <w:tc>
          <w:tcPr>
            <w:tcW w:w="405" w:type="dxa"/>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废水</w:t>
            </w:r>
          </w:p>
        </w:tc>
        <w:tc>
          <w:tcPr>
            <w:tcW w:w="69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冷却</w:t>
            </w:r>
          </w:p>
        </w:tc>
        <w:tc>
          <w:tcPr>
            <w:tcW w:w="57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设备冷却水</w:t>
            </w:r>
          </w:p>
        </w:tc>
        <w:tc>
          <w:tcPr>
            <w:tcW w:w="1050"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w:t>
            </w:r>
          </w:p>
        </w:tc>
        <w:tc>
          <w:tcPr>
            <w:tcW w:w="1439" w:type="dxa"/>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设1个循环水池，循环使用，不外排</w:t>
            </w:r>
          </w:p>
        </w:tc>
        <w:tc>
          <w:tcPr>
            <w:tcW w:w="3705" w:type="dxa"/>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w:t>
            </w:r>
          </w:p>
        </w:tc>
        <w:tc>
          <w:tcPr>
            <w:tcW w:w="653" w:type="dxa"/>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379"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厂区职工生活污水</w:t>
            </w:r>
          </w:p>
        </w:tc>
        <w:tc>
          <w:tcPr>
            <w:tcW w:w="57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COD</w:t>
            </w:r>
          </w:p>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氨氮</w:t>
            </w:r>
          </w:p>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SS</w:t>
            </w:r>
          </w:p>
        </w:tc>
        <w:tc>
          <w:tcPr>
            <w:tcW w:w="1050"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设防渗旱厕，定期清掏</w:t>
            </w:r>
          </w:p>
        </w:tc>
        <w:tc>
          <w:tcPr>
            <w:tcW w:w="1439"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不外排</w:t>
            </w:r>
          </w:p>
        </w:tc>
        <w:tc>
          <w:tcPr>
            <w:tcW w:w="3705" w:type="dxa"/>
            <w:vAlign w:val="center"/>
          </w:tcPr>
          <w:p>
            <w:pPr>
              <w:widowControl w:val="0"/>
              <w:snapToGrid w:val="0"/>
              <w:spacing w:line="240" w:lineRule="auto"/>
              <w:ind w:left="-107" w:leftChars="-51" w:right="-61" w:rightChars="-29"/>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w:t>
            </w:r>
          </w:p>
        </w:tc>
        <w:tc>
          <w:tcPr>
            <w:tcW w:w="653" w:type="dxa"/>
            <w:vAlign w:val="center"/>
          </w:tcPr>
          <w:p>
            <w:pPr>
              <w:widowControl w:val="0"/>
              <w:snapToGrid w:val="0"/>
              <w:spacing w:line="240" w:lineRule="auto"/>
              <w:ind w:left="-107" w:leftChars="-51" w:right="-61" w:rightChars="-29"/>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1009"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噪声</w:t>
            </w:r>
          </w:p>
        </w:tc>
        <w:tc>
          <w:tcPr>
            <w:tcW w:w="1270" w:type="dxa"/>
            <w:gridSpan w:val="2"/>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生产设备运行噪声</w:t>
            </w:r>
          </w:p>
        </w:tc>
        <w:tc>
          <w:tcPr>
            <w:tcW w:w="1050" w:type="dxa"/>
            <w:vAlign w:val="center"/>
          </w:tcPr>
          <w:p>
            <w:pPr>
              <w:widowControl w:val="0"/>
              <w:adjustRightInd w:val="0"/>
              <w:spacing w:line="240" w:lineRule="auto"/>
              <w:jc w:val="center"/>
              <w:textAlignment w:val="auto"/>
              <w:rPr>
                <w:rFonts w:ascii="Times New Roman" w:hAnsi="Times New Roman" w:eastAsia="宋体" w:cs="Times New Roman"/>
                <w:color w:val="000000"/>
                <w:kern w:val="0"/>
                <w:sz w:val="21"/>
                <w:szCs w:val="21"/>
                <w:u w:color="000000"/>
                <w:lang w:val="en-US" w:eastAsia="zh-CN" w:bidi="ar-SA"/>
              </w:rPr>
            </w:pPr>
            <w:r>
              <w:rPr>
                <w:rFonts w:ascii="Times New Roman" w:hAnsi="Times New Roman" w:eastAsia="宋体" w:cs="Times New Roman"/>
                <w:color w:val="000000"/>
                <w:kern w:val="0"/>
                <w:sz w:val="21"/>
                <w:szCs w:val="21"/>
                <w:u w:color="000000"/>
                <w:lang w:val="en-US" w:eastAsia="zh-CN" w:bidi="ar-SA"/>
              </w:rPr>
              <w:t>选用低噪声设备，产噪设备加装减振垫、厂房内合理布设</w:t>
            </w:r>
          </w:p>
        </w:tc>
        <w:tc>
          <w:tcPr>
            <w:tcW w:w="1439"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昼间60dB（A）</w:t>
            </w:r>
          </w:p>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夜间50dB（A）</w:t>
            </w:r>
          </w:p>
        </w:tc>
        <w:tc>
          <w:tcPr>
            <w:tcW w:w="3705"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《工业企业厂界环境噪声排放标准》（GB12348-2008）</w:t>
            </w:r>
          </w:p>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中2类标准</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347" w:hRule="atLeast"/>
          <w:jc w:val="center"/>
        </w:trPr>
        <w:tc>
          <w:tcPr>
            <w:tcW w:w="405" w:type="dxa"/>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固废</w:t>
            </w:r>
          </w:p>
        </w:tc>
        <w:tc>
          <w:tcPr>
            <w:tcW w:w="69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注塑、成型</w:t>
            </w:r>
            <w:r>
              <w:rPr>
                <w:rFonts w:ascii="Times New Roman" w:hAnsi="Times New Roman" w:eastAsia="宋体" w:cs="Times New Roman"/>
                <w:color w:val="000000"/>
                <w:kern w:val="2"/>
                <w:sz w:val="21"/>
                <w:szCs w:val="21"/>
                <w:u w:color="000000"/>
                <w:lang w:val="en-US" w:eastAsia="zh-CN" w:bidi="ar-SA"/>
              </w:rPr>
              <w:t>工序</w:t>
            </w:r>
          </w:p>
        </w:tc>
        <w:tc>
          <w:tcPr>
            <w:tcW w:w="57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下脚料</w:t>
            </w:r>
          </w:p>
        </w:tc>
        <w:tc>
          <w:tcPr>
            <w:tcW w:w="1050" w:type="dxa"/>
            <w:vAlign w:val="center"/>
          </w:tcPr>
          <w:p>
            <w:pPr>
              <w:widowControl w:val="0"/>
              <w:adjustRightInd w:val="0"/>
              <w:spacing w:line="240" w:lineRule="auto"/>
              <w:jc w:val="center"/>
              <w:textAlignment w:val="auto"/>
              <w:rPr>
                <w:rFonts w:ascii="Times New Roman" w:hAnsi="Times New Roman" w:eastAsia="宋体" w:cs="Times New Roman"/>
                <w:color w:val="000000"/>
                <w:kern w:val="0"/>
                <w:sz w:val="21"/>
                <w:szCs w:val="21"/>
                <w:u w:color="000000"/>
                <w:lang w:val="en-US" w:eastAsia="zh-CN" w:bidi="ar-SA"/>
              </w:rPr>
            </w:pPr>
            <w:r>
              <w:rPr>
                <w:rFonts w:ascii="Times New Roman" w:hAnsi="Times New Roman" w:eastAsia="宋体" w:cs="Times New Roman"/>
                <w:color w:val="000000"/>
                <w:kern w:val="0"/>
                <w:sz w:val="21"/>
                <w:szCs w:val="21"/>
                <w:u w:color="000000"/>
                <w:lang w:val="en-US" w:eastAsia="zh-CN" w:bidi="ar-SA"/>
              </w:rPr>
              <w:t>收集后</w:t>
            </w:r>
            <w:r>
              <w:rPr>
                <w:rFonts w:hint="eastAsia" w:ascii="Times New Roman" w:hAnsi="Times New Roman" w:eastAsia="宋体" w:cs="Times New Roman"/>
                <w:color w:val="000000"/>
                <w:kern w:val="0"/>
                <w:sz w:val="21"/>
                <w:szCs w:val="21"/>
                <w:u w:color="000000"/>
                <w:lang w:val="en-US" w:eastAsia="zh-CN" w:bidi="ar-SA"/>
              </w:rPr>
              <w:t>外售</w:t>
            </w:r>
          </w:p>
        </w:tc>
        <w:tc>
          <w:tcPr>
            <w:tcW w:w="1439"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w:t>
            </w:r>
          </w:p>
        </w:tc>
        <w:tc>
          <w:tcPr>
            <w:tcW w:w="3705"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347"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厂区职工</w:t>
            </w:r>
          </w:p>
        </w:tc>
        <w:tc>
          <w:tcPr>
            <w:tcW w:w="57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生活垃圾</w:t>
            </w:r>
          </w:p>
        </w:tc>
        <w:tc>
          <w:tcPr>
            <w:tcW w:w="1050" w:type="dxa"/>
            <w:vAlign w:val="center"/>
          </w:tcPr>
          <w:p>
            <w:pPr>
              <w:widowControl w:val="0"/>
              <w:adjustRightInd w:val="0"/>
              <w:spacing w:line="240" w:lineRule="auto"/>
              <w:jc w:val="center"/>
              <w:textAlignment w:val="auto"/>
              <w:rPr>
                <w:rFonts w:ascii="Times New Roman" w:hAnsi="Times New Roman" w:eastAsia="宋体" w:cs="Times New Roman"/>
                <w:color w:val="000000"/>
                <w:kern w:val="0"/>
                <w:sz w:val="21"/>
                <w:szCs w:val="21"/>
                <w:u w:color="000000"/>
                <w:lang w:val="en-US" w:eastAsia="zh-CN" w:bidi="ar-SA"/>
              </w:rPr>
            </w:pPr>
            <w:r>
              <w:rPr>
                <w:rFonts w:ascii="Times New Roman" w:hAnsi="Times New Roman" w:eastAsia="宋体" w:cs="Times New Roman"/>
                <w:color w:val="000000"/>
                <w:kern w:val="0"/>
                <w:sz w:val="21"/>
                <w:szCs w:val="21"/>
                <w:u w:color="000000"/>
                <w:lang w:val="en-US" w:eastAsia="zh-CN" w:bidi="ar-SA"/>
              </w:rPr>
              <w:t>收集后由环卫人员运至垃圾处理厂处理</w:t>
            </w:r>
          </w:p>
        </w:tc>
        <w:tc>
          <w:tcPr>
            <w:tcW w:w="1439"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w:t>
            </w:r>
          </w:p>
        </w:tc>
        <w:tc>
          <w:tcPr>
            <w:tcW w:w="37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w:t>
            </w:r>
          </w:p>
        </w:tc>
        <w:tc>
          <w:tcPr>
            <w:tcW w:w="65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347" w:hRule="atLeast"/>
          <w:jc w:val="center"/>
        </w:trPr>
        <w:tc>
          <w:tcPr>
            <w:tcW w:w="405"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分表计电</w:t>
            </w:r>
          </w:p>
        </w:tc>
        <w:tc>
          <w:tcPr>
            <w:tcW w:w="7464" w:type="dxa"/>
            <w:gridSpan w:val="5"/>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为避免治污设备不按规定开启、治污设备低效运行、企业擅自偷换监控设备等情况，项目变更后，将电路进行改造，即环保设备、生产设备单独引用一条电路，并安装智能电表，建议分表计电方式，确保环保设备能够正常运行。</w:t>
            </w:r>
          </w:p>
        </w:tc>
        <w:tc>
          <w:tcPr>
            <w:tcW w:w="653"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Ex>
        <w:trPr>
          <w:trHeight w:val="347" w:hRule="atLeast"/>
          <w:jc w:val="center"/>
        </w:trPr>
        <w:tc>
          <w:tcPr>
            <w:tcW w:w="405"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lang w:val="zh-CN"/>
              </w:rPr>
            </w:pPr>
            <w:r>
              <w:rPr>
                <w:rFonts w:ascii="Times New Roman" w:hAnsi="Times New Roman" w:eastAsia="宋体" w:cs="Times New Roman"/>
                <w:color w:val="000000"/>
                <w:kern w:val="0"/>
                <w:szCs w:val="21"/>
                <w:u w:color="000000"/>
              </w:rPr>
              <w:t>其他</w:t>
            </w:r>
          </w:p>
        </w:tc>
        <w:tc>
          <w:tcPr>
            <w:tcW w:w="7464" w:type="dxa"/>
            <w:gridSpan w:val="5"/>
            <w:vAlign w:val="center"/>
          </w:tcPr>
          <w:p>
            <w:pPr>
              <w:widowControl/>
              <w:adjustRightInd w:val="0"/>
              <w:snapToGrid w:val="0"/>
              <w:spacing w:line="240" w:lineRule="auto"/>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①循环水池采取防渗处理，并采取内外防水处理，使防渗层渗透系数≤1×10</w:t>
            </w:r>
            <w:r>
              <w:rPr>
                <w:rFonts w:ascii="Times New Roman" w:hAnsi="Times New Roman" w:eastAsia="宋体" w:cs="Times New Roman"/>
                <w:color w:val="000000"/>
                <w:kern w:val="0"/>
                <w:szCs w:val="21"/>
                <w:u w:color="000000"/>
                <w:vertAlign w:val="superscript"/>
              </w:rPr>
              <w:t>-7</w:t>
            </w:r>
            <w:r>
              <w:rPr>
                <w:rFonts w:ascii="Times New Roman" w:hAnsi="Times New Roman" w:eastAsia="宋体" w:cs="Times New Roman"/>
                <w:color w:val="000000"/>
                <w:kern w:val="0"/>
                <w:szCs w:val="21"/>
                <w:u w:color="000000"/>
              </w:rPr>
              <w:t>cm/s；</w:t>
            </w:r>
          </w:p>
          <w:p>
            <w:pPr>
              <w:widowControl/>
              <w:adjustRightInd w:val="0"/>
              <w:snapToGrid w:val="0"/>
              <w:spacing w:line="240" w:lineRule="auto"/>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②生产车间和库房地面采取粘土铺底，再在上层用水泥进行硬化。</w:t>
            </w:r>
          </w:p>
        </w:tc>
        <w:tc>
          <w:tcPr>
            <w:tcW w:w="653" w:type="dxa"/>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bl>
    <w:p>
      <w:pPr>
        <w:pStyle w:val="3"/>
        <w:rPr>
          <w:rFonts w:hint="default" w:ascii="Times New Roman" w:hAnsi="Times New Roman" w:eastAsia="宋体" w:cs="Times New Roman"/>
        </w:rPr>
      </w:pPr>
      <w:bookmarkStart w:id="132" w:name="_Toc5108"/>
      <w:bookmarkStart w:id="133" w:name="_Toc1554"/>
      <w:bookmarkStart w:id="134" w:name="_Toc1887"/>
      <w:bookmarkStart w:id="135" w:name="_Toc24447"/>
      <w:r>
        <w:rPr>
          <w:rFonts w:hint="default" w:ascii="Times New Roman" w:hAnsi="Times New Roman" w:eastAsia="宋体" w:cs="Times New Roman"/>
        </w:rPr>
        <w:t>2.10验收范围及内容</w:t>
      </w:r>
      <w:bookmarkEnd w:id="132"/>
      <w:bookmarkEnd w:id="133"/>
      <w:bookmarkEnd w:id="134"/>
      <w:bookmarkEnd w:id="135"/>
    </w:p>
    <w:p>
      <w:pPr>
        <w:adjustRightInd w:val="0"/>
        <w:snapToGrid w:val="0"/>
        <w:spacing w:line="480" w:lineRule="atLeast"/>
        <w:ind w:firstLine="480" w:firstLineChars="200"/>
        <w:rPr>
          <w:rFonts w:hint="default" w:ascii="Times New Roman" w:hAnsi="Times New Roman" w:eastAsia="宋体"/>
        </w:rPr>
      </w:pPr>
      <w:r>
        <w:rPr>
          <w:rFonts w:hint="default" w:ascii="Times New Roman" w:hAnsi="Times New Roman" w:eastAsia="宋体" w:cs="Times New Roman"/>
          <w:sz w:val="24"/>
          <w:szCs w:val="24"/>
        </w:rPr>
        <w:t>项目河北省沧州市沧县薛官屯乡东秀女村</w:t>
      </w:r>
      <w:r>
        <w:rPr>
          <w:rFonts w:hint="eastAsia" w:ascii="Times New Roman" w:hAnsi="Times New Roman" w:cs="Times New Roman"/>
          <w:spacing w:val="0"/>
          <w:kern w:val="0"/>
          <w:sz w:val="24"/>
          <w:szCs w:val="24"/>
          <w:lang w:val="en-US" w:eastAsia="zh-CN"/>
        </w:rPr>
        <w:t>，</w:t>
      </w:r>
      <w:r>
        <w:rPr>
          <w:rFonts w:hint="eastAsia" w:ascii="Times New Roman" w:hAnsi="Times New Roman" w:eastAsia="宋体" w:cs="Times New Roman"/>
          <w:sz w:val="24"/>
          <w:szCs w:val="24"/>
          <w:lang w:eastAsia="zh-CN"/>
        </w:rPr>
        <w:t>总投资</w:t>
      </w:r>
      <w:r>
        <w:rPr>
          <w:rFonts w:hint="eastAsia" w:ascii="Times New Roman" w:hAnsi="Times New Roman" w:cs="Times New Roman"/>
          <w:sz w:val="24"/>
          <w:szCs w:val="24"/>
          <w:lang w:val="en-US" w:eastAsia="zh-CN"/>
        </w:rPr>
        <w:t>450</w:t>
      </w:r>
      <w:r>
        <w:rPr>
          <w:rFonts w:hint="eastAsia" w:ascii="Times New Roman" w:hAnsi="Times New Roman" w:eastAsia="宋体" w:cs="Times New Roman"/>
          <w:sz w:val="24"/>
          <w:szCs w:val="24"/>
          <w:lang w:val="en-US" w:eastAsia="zh-CN"/>
        </w:rPr>
        <w:t>万元</w:t>
      </w:r>
      <w:r>
        <w:rPr>
          <w:rFonts w:hint="eastAsia" w:ascii="Times New Roman" w:hAnsi="Times New Roman" w:cs="Times New Roman"/>
          <w:sz w:val="24"/>
          <w:szCs w:val="24"/>
          <w:lang w:val="en-US" w:eastAsia="zh-CN"/>
        </w:rPr>
        <w:t>，新建车间、仓库共计1500平方米，年产1000万件自行车把套、自行车反射器</w:t>
      </w:r>
      <w:r>
        <w:rPr>
          <w:rFonts w:hint="eastAsia" w:ascii="Times New Roman" w:hAnsi="Times New Roman" w:eastAsia="宋体" w:cs="Times New Roman"/>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本项目废气主要为注塑、成型工序产生的废气。废气经集气罩收集后经UV光氧等离子设备一体机装置处理后，经1根15m高排气筒排放。</w:t>
      </w:r>
      <w:r>
        <w:rPr>
          <w:rFonts w:hint="default" w:ascii="Times New Roman" w:hAnsi="Times New Roman" w:eastAsia="宋体" w:cs="Times New Roman"/>
          <w:color w:val="auto"/>
          <w:sz w:val="24"/>
          <w:szCs w:val="24"/>
        </w:rPr>
        <w:t>为具体检测内容。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eastAsia="宋体" w:cs="Times New Roman"/>
          <w:color w:val="auto"/>
          <w:sz w:val="24"/>
          <w:szCs w:val="24"/>
          <w:lang w:val="zh-CN" w:eastAsia="zh-CN"/>
        </w:rPr>
        <w:t>本项目无生产废水产生，冷却水循环使用，定期补充不外排。产生的废水主要为职工生活污水。厂区设置防渗旱厕，产生的生活污水排入旱厕，定期清掏，不外排。</w:t>
      </w:r>
      <w:r>
        <w:rPr>
          <w:rFonts w:hint="default" w:ascii="Times New Roman" w:hAnsi="Times New Roman" w:eastAsia="宋体" w:cs="Times New Roman"/>
          <w:sz w:val="24"/>
          <w:szCs w:val="24"/>
          <w:lang w:eastAsia="zh-CN"/>
        </w:rPr>
        <w:t>为检查内容。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eastAsia" w:ascii="Times New Roman" w:hAnsi="Times New Roman" w:eastAsia="宋体"/>
          <w:sz w:val="24"/>
          <w:szCs w:val="24"/>
          <w:lang w:val="zh-CN"/>
        </w:rPr>
      </w:pPr>
      <w:r>
        <w:rPr>
          <w:rFonts w:hint="default" w:ascii="Times New Roman" w:hAnsi="Times New Roman" w:eastAsia="宋体" w:cs="Times New Roman"/>
          <w:sz w:val="24"/>
          <w:szCs w:val="24"/>
          <w:lang w:eastAsia="zh-CN"/>
        </w:rPr>
        <w:t>④固体废物—</w:t>
      </w:r>
      <w:r>
        <w:rPr>
          <w:rFonts w:hint="eastAsia" w:ascii="Times New Roman" w:hAnsi="Times New Roman" w:eastAsia="宋体"/>
          <w:sz w:val="24"/>
          <w:szCs w:val="24"/>
          <w:lang w:val="zh-CN"/>
        </w:rPr>
        <w:t>项本项目产生的固体废物主要为生产过程产生的下脚料和职工生活垃圾。下脚料收集后回用于生产；职</w:t>
      </w:r>
    </w:p>
    <w:p>
      <w:pPr>
        <w:spacing w:line="440" w:lineRule="atLeast"/>
        <w:ind w:firstLine="480" w:firstLineChars="200"/>
        <w:rPr>
          <w:rFonts w:hint="default" w:ascii="Times New Roman" w:hAnsi="Times New Roman" w:eastAsia="宋体" w:cs="Times New Roman"/>
          <w:sz w:val="24"/>
          <w:szCs w:val="24"/>
        </w:rPr>
      </w:pPr>
      <w:r>
        <w:rPr>
          <w:rFonts w:hint="eastAsia" w:ascii="Times New Roman" w:hAnsi="Times New Roman" w:eastAsia="宋体"/>
          <w:sz w:val="24"/>
          <w:szCs w:val="24"/>
          <w:lang w:val="zh-CN"/>
        </w:rPr>
        <w:t>工生活垃圾收集后由环卫人员运至垃圾处理厂处理</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2"/>
        <w:rPr>
          <w:rFonts w:hint="default" w:ascii="Times New Roman" w:hAnsi="Times New Roman" w:eastAsia="宋体" w:cs="Times New Roman"/>
        </w:rPr>
      </w:pPr>
      <w:bookmarkStart w:id="136" w:name="_Toc21809"/>
      <w:r>
        <w:rPr>
          <w:rFonts w:hint="default" w:ascii="Times New Roman" w:hAnsi="Times New Roman" w:eastAsia="宋体" w:cs="Times New Roman"/>
        </w:rPr>
        <w:br w:type="page"/>
      </w:r>
    </w:p>
    <w:p>
      <w:pPr>
        <w:pStyle w:val="2"/>
        <w:rPr>
          <w:rFonts w:hint="default" w:ascii="Times New Roman" w:hAnsi="Times New Roman" w:eastAsia="宋体" w:cs="Times New Roman"/>
        </w:rPr>
      </w:pPr>
      <w:bookmarkStart w:id="137" w:name="_Toc8056"/>
      <w:bookmarkStart w:id="138" w:name="_Toc2185"/>
      <w:bookmarkStart w:id="139" w:name="_Toc12475"/>
      <w:r>
        <w:rPr>
          <w:rFonts w:hint="default" w:ascii="Times New Roman" w:hAnsi="Times New Roman" w:eastAsia="宋体" w:cs="Times New Roman"/>
        </w:rPr>
        <w:t>3主要污染源及治理措施</w:t>
      </w:r>
      <w:bookmarkEnd w:id="136"/>
      <w:bookmarkEnd w:id="137"/>
      <w:bookmarkEnd w:id="138"/>
      <w:bookmarkEnd w:id="139"/>
    </w:p>
    <w:p>
      <w:pPr>
        <w:pStyle w:val="3"/>
        <w:rPr>
          <w:rFonts w:hint="default" w:ascii="Times New Roman" w:hAnsi="Times New Roman" w:eastAsia="宋体" w:cs="Times New Roman"/>
        </w:rPr>
      </w:pPr>
      <w:bookmarkStart w:id="140" w:name="_Toc381"/>
      <w:bookmarkStart w:id="141" w:name="_Toc10538"/>
      <w:bookmarkStart w:id="142" w:name="_Toc12186"/>
      <w:bookmarkStart w:id="143" w:name="_Toc31233"/>
      <w:r>
        <w:rPr>
          <w:rFonts w:hint="default" w:ascii="Times New Roman" w:hAnsi="Times New Roman" w:eastAsia="宋体" w:cs="Times New Roman"/>
        </w:rPr>
        <w:t>3.1施工期主要污染源及治理措施</w:t>
      </w:r>
      <w:bookmarkEnd w:id="140"/>
      <w:bookmarkEnd w:id="141"/>
      <w:bookmarkEnd w:id="142"/>
      <w:bookmarkEnd w:id="14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color w:val="auto"/>
          <w:sz w:val="24"/>
          <w:szCs w:val="24"/>
          <w:lang w:eastAsia="zh-CN"/>
        </w:rPr>
        <w:t>目前项目已经建成，</w:t>
      </w:r>
      <w:r>
        <w:rPr>
          <w:rFonts w:hint="default" w:ascii="Times New Roman" w:hAnsi="Times New Roman" w:eastAsia="宋体" w:cs="Times New Roman"/>
          <w:color w:val="auto"/>
          <w:sz w:val="24"/>
          <w:szCs w:val="24"/>
        </w:rPr>
        <w:t>施工期环境污染已经不存在</w:t>
      </w:r>
      <w:r>
        <w:rPr>
          <w:rFonts w:hint="eastAsia" w:ascii="Times New Roman" w:hAnsi="Times New Roman" w:eastAsia="宋体" w:cs="Times New Roman"/>
          <w:kern w:val="2"/>
          <w:sz w:val="24"/>
          <w:szCs w:val="24"/>
          <w:lang w:val="en-US" w:eastAsia="zh-CN" w:bidi="ar-SA"/>
        </w:rPr>
        <w:t>。</w:t>
      </w:r>
    </w:p>
    <w:p>
      <w:pPr>
        <w:pStyle w:val="3"/>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44" w:name="_Toc28537"/>
      <w:bookmarkStart w:id="145" w:name="_Toc22056"/>
      <w:bookmarkStart w:id="146" w:name="_Toc25292"/>
      <w:bookmarkStart w:id="147" w:name="_Toc23781"/>
      <w:r>
        <w:rPr>
          <w:rFonts w:hint="default" w:ascii="Times New Roman" w:hAnsi="Times New Roman" w:eastAsia="宋体" w:cs="Times New Roman"/>
        </w:rPr>
        <w:t>3.2运行期主要污染源及治理措施</w:t>
      </w:r>
      <w:bookmarkEnd w:id="144"/>
      <w:bookmarkEnd w:id="145"/>
      <w:bookmarkEnd w:id="146"/>
      <w:bookmarkEnd w:id="147"/>
    </w:p>
    <w:p>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8" w:name="_Toc497001461"/>
      <w:bookmarkStart w:id="149" w:name="_Toc496979024"/>
      <w:bookmarkStart w:id="150" w:name="_Toc3932"/>
      <w:bookmarkStart w:id="151" w:name="_Toc3760"/>
      <w:bookmarkStart w:id="152" w:name="_Toc8524"/>
      <w:bookmarkStart w:id="153" w:name="_Toc8094"/>
      <w:r>
        <w:rPr>
          <w:rFonts w:hint="default" w:ascii="Times New Roman" w:hAnsi="Times New Roman" w:eastAsia="宋体" w:cs="Times New Roman"/>
        </w:rPr>
        <w:t>3.2.1废</w:t>
      </w:r>
      <w:bookmarkEnd w:id="148"/>
      <w:bookmarkEnd w:id="149"/>
      <w:r>
        <w:rPr>
          <w:rFonts w:hint="default" w:ascii="Times New Roman" w:hAnsi="Times New Roman" w:eastAsia="宋体" w:cs="Times New Roman"/>
        </w:rPr>
        <w:t>气</w:t>
      </w:r>
      <w:bookmarkEnd w:id="150"/>
      <w:bookmarkEnd w:id="151"/>
      <w:bookmarkEnd w:id="152"/>
      <w:bookmarkEnd w:id="153"/>
    </w:p>
    <w:p>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rPr>
      </w:pPr>
      <w:r>
        <w:rPr>
          <w:rFonts w:hint="eastAsia" w:ascii="Times New Roman" w:hAnsi="Times New Roman" w:eastAsia="宋体"/>
          <w:color w:val="auto"/>
          <w:spacing w:val="-6"/>
          <w:sz w:val="24"/>
          <w:szCs w:val="24"/>
          <w:lang w:val="zh-CN" w:eastAsia="zh-CN"/>
        </w:rPr>
        <w:t>本项目废气主要为注塑、成型工序产生的废气。废气经集气罩收集后经UV光氧等离子设备一体机装置处理后，经1根15m高排气筒排放</w:t>
      </w:r>
      <w:r>
        <w:rPr>
          <w:rFonts w:hint="eastAsia" w:ascii="Times New Roman" w:hAnsi="Times New Roman"/>
          <w:color w:val="auto"/>
          <w:spacing w:val="-6"/>
          <w:sz w:val="24"/>
          <w:szCs w:val="24"/>
          <w:lang w:val="zh-CN" w:eastAsia="zh-CN"/>
        </w:rPr>
        <w:t>。</w:t>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4" w:name="_Toc22928"/>
      <w:bookmarkStart w:id="155" w:name="_Toc6473"/>
      <w:bookmarkStart w:id="156" w:name="_Toc6853"/>
      <w:bookmarkStart w:id="157" w:name="_Toc18379"/>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4"/>
      <w:bookmarkEnd w:id="155"/>
      <w:bookmarkEnd w:id="156"/>
      <w:bookmarkEnd w:id="157"/>
    </w:p>
    <w:p>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auto"/>
          <w:sz w:val="24"/>
          <w:szCs w:val="24"/>
          <w:lang w:val="zh-CN" w:eastAsia="zh-CN"/>
        </w:rPr>
      </w:pPr>
      <w:bookmarkStart w:id="158" w:name="_Toc30198"/>
      <w:bookmarkStart w:id="159" w:name="_Toc18436"/>
      <w:bookmarkStart w:id="160" w:name="_Toc32691"/>
      <w:bookmarkStart w:id="161" w:name="_Toc571"/>
      <w:bookmarkStart w:id="162" w:name="_Toc497001462"/>
      <w:bookmarkStart w:id="163" w:name="_Toc496979025"/>
      <w:r>
        <w:rPr>
          <w:rFonts w:hint="eastAsia" w:ascii="Times New Roman" w:hAnsi="Times New Roman" w:eastAsia="宋体" w:cs="Times New Roman"/>
          <w:color w:val="auto"/>
          <w:sz w:val="24"/>
          <w:szCs w:val="24"/>
          <w:lang w:val="zh-CN" w:eastAsia="zh-CN"/>
        </w:rPr>
        <w:t>本项目无生产废水产生，冷却水循环使用，定期补充不外排。产生的废水主要为职工生活污水。厂区设置防渗旱厕，产生的生活污水排入旱厕，定期清掏，不外排。</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58"/>
      <w:bookmarkEnd w:id="159"/>
      <w:bookmarkEnd w:id="160"/>
      <w:bookmarkEnd w:id="161"/>
    </w:p>
    <w:p>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本项目运营期噪声主要为注塑机、搅拌机、干燥机等设备运行时产生的噪声。采取生产设备合理布局，设置减震垫，厂房隔声等措施减少噪声值。</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4" w:name="_Toc1473"/>
      <w:bookmarkStart w:id="165" w:name="_Toc5318"/>
      <w:bookmarkStart w:id="166" w:name="_Toc16750"/>
      <w:bookmarkStart w:id="167" w:name="_Toc2397"/>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4"/>
      <w:bookmarkEnd w:id="165"/>
      <w:bookmarkEnd w:id="166"/>
      <w:bookmarkEnd w:id="167"/>
    </w:p>
    <w:p>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68" w:name="_Toc9823"/>
      <w:bookmarkStart w:id="169" w:name="_Toc4008"/>
      <w:r>
        <w:rPr>
          <w:rFonts w:hint="eastAsia" w:ascii="Times New Roman" w:hAnsi="Times New Roman" w:eastAsia="宋体"/>
          <w:sz w:val="24"/>
          <w:szCs w:val="24"/>
          <w:lang w:val="zh-CN"/>
        </w:rPr>
        <w:t>本项目产生的固体废物主要为生产过程产生的下脚料和职工生活垃圾。下脚料收集后回用于生产；职工生活垃圾收集后由环卫人员运至垃圾处理厂处理。</w:t>
      </w:r>
    </w:p>
    <w:bookmarkEnd w:id="162"/>
    <w:bookmarkEnd w:id="163"/>
    <w:bookmarkEnd w:id="168"/>
    <w:bookmarkEnd w:id="169"/>
    <w:p>
      <w:pPr>
        <w:pStyle w:val="2"/>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0" w:name="_Toc19788"/>
      <w:bookmarkStart w:id="171" w:name="_Toc14411"/>
      <w:r>
        <w:rPr>
          <w:rFonts w:hint="default" w:ascii="Times New Roman" w:hAnsi="Times New Roman" w:eastAsia="宋体" w:cs="Times New Roman"/>
        </w:rPr>
        <w:br w:type="page"/>
      </w:r>
    </w:p>
    <w:p>
      <w:pPr>
        <w:pStyle w:val="2"/>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2" w:name="_Toc32061"/>
      <w:bookmarkStart w:id="173" w:name="_Toc25824"/>
      <w:r>
        <w:rPr>
          <w:rFonts w:hint="default" w:ascii="Times New Roman" w:hAnsi="Times New Roman" w:eastAsia="宋体" w:cs="Times New Roman"/>
        </w:rPr>
        <w:t>4环评主要结论及环评批复要求</w:t>
      </w:r>
      <w:bookmarkEnd w:id="170"/>
      <w:bookmarkEnd w:id="171"/>
      <w:bookmarkEnd w:id="172"/>
      <w:bookmarkEnd w:id="173"/>
    </w:p>
    <w:p>
      <w:pPr>
        <w:pStyle w:val="3"/>
        <w:rPr>
          <w:rFonts w:hint="default" w:ascii="Times New Roman" w:hAnsi="Times New Roman" w:eastAsia="宋体" w:cs="Times New Roman"/>
          <w:sz w:val="24"/>
          <w:szCs w:val="24"/>
        </w:rPr>
      </w:pPr>
      <w:bookmarkStart w:id="174" w:name="_Toc19580"/>
      <w:bookmarkStart w:id="175" w:name="_Toc25915"/>
      <w:bookmarkStart w:id="176" w:name="_Toc21108"/>
      <w:bookmarkStart w:id="177" w:name="_Toc17594"/>
      <w:r>
        <w:rPr>
          <w:rFonts w:hint="default" w:ascii="Times New Roman" w:hAnsi="Times New Roman" w:eastAsia="宋体" w:cs="Times New Roman"/>
          <w:sz w:val="24"/>
          <w:szCs w:val="24"/>
        </w:rPr>
        <w:t>4.1建设项目环评报告表的主要结论与建议</w:t>
      </w:r>
      <w:bookmarkEnd w:id="174"/>
      <w:bookmarkEnd w:id="175"/>
      <w:bookmarkEnd w:id="176"/>
      <w:bookmarkEnd w:id="177"/>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78" w:name="_Toc496979030"/>
      <w:bookmarkStart w:id="179" w:name="_Toc17583"/>
      <w:bookmarkStart w:id="180" w:name="_Toc22609"/>
      <w:bookmarkStart w:id="181" w:name="_Toc497001467"/>
      <w:bookmarkStart w:id="182" w:name="_Toc26870"/>
      <w:bookmarkStart w:id="183" w:name="_Toc29423"/>
      <w:r>
        <w:rPr>
          <w:rFonts w:hint="default" w:ascii="Times New Roman" w:hAnsi="Times New Roman" w:eastAsia="宋体" w:cs="Times New Roman"/>
          <w:b/>
          <w:bCs/>
        </w:rPr>
        <w:t>4.1.1主要结论</w:t>
      </w:r>
      <w:bookmarkEnd w:id="178"/>
      <w:bookmarkEnd w:id="179"/>
      <w:bookmarkEnd w:id="180"/>
      <w:bookmarkEnd w:id="181"/>
      <w:bookmarkEnd w:id="182"/>
      <w:bookmarkEnd w:id="183"/>
    </w:p>
    <w:p>
      <w:pPr>
        <w:widowControl/>
        <w:adjustRightInd w:val="0"/>
        <w:snapToGrid w:val="0"/>
        <w:spacing w:line="360" w:lineRule="auto"/>
        <w:ind w:firstLine="482" w:firstLineChars="200"/>
        <w:jc w:val="left"/>
        <w:textAlignment w:val="baseline"/>
        <w:rPr>
          <w:rFonts w:ascii="Times New Roman" w:hAnsi="Times New Roman" w:eastAsia="宋体" w:cs="Times New Roman"/>
          <w:b/>
          <w:color w:val="000000"/>
          <w:kern w:val="0"/>
          <w:sz w:val="24"/>
          <w:szCs w:val="20"/>
          <w:u w:color="000000"/>
        </w:rPr>
      </w:pPr>
      <w:bookmarkStart w:id="184" w:name="_Toc25204"/>
      <w:r>
        <w:rPr>
          <w:rFonts w:ascii="Times New Roman" w:hAnsi="Times New Roman" w:eastAsia="宋体" w:cs="Times New Roman"/>
          <w:b/>
          <w:color w:val="000000"/>
          <w:kern w:val="0"/>
          <w:sz w:val="24"/>
          <w:szCs w:val="20"/>
          <w:u w:color="000000"/>
        </w:rPr>
        <w:t>1、建设项目概况</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1.1项目概述</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auto"/>
          <w:kern w:val="0"/>
          <w:sz w:val="24"/>
          <w:szCs w:val="20"/>
          <w:u w:color="000000"/>
        </w:rPr>
      </w:pPr>
      <w:r>
        <w:rPr>
          <w:rFonts w:ascii="Times New Roman" w:hAnsi="Times New Roman" w:eastAsia="宋体" w:cs="Times New Roman"/>
          <w:color w:val="000000"/>
          <w:kern w:val="0"/>
          <w:sz w:val="24"/>
          <w:szCs w:val="20"/>
          <w:u w:color="000000"/>
        </w:rPr>
        <w:t>项目名称：</w:t>
      </w:r>
      <w:r>
        <w:rPr>
          <w:rFonts w:hint="eastAsia" w:ascii="Times New Roman" w:hAnsi="Times New Roman" w:eastAsia="宋体" w:cs="Times New Roman"/>
          <w:color w:val="000000"/>
          <w:kern w:val="0"/>
          <w:sz w:val="24"/>
          <w:szCs w:val="20"/>
          <w:u w:color="000000"/>
        </w:rPr>
        <w:t>塑料制品加工项目</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auto"/>
          <w:kern w:val="2"/>
          <w:sz w:val="24"/>
          <w:szCs w:val="24"/>
          <w:u w:color="000000"/>
          <w:lang w:val="en-US" w:eastAsia="zh-CN" w:bidi="ar-SA"/>
        </w:rPr>
      </w:pPr>
      <w:r>
        <w:rPr>
          <w:rFonts w:ascii="Times New Roman" w:hAnsi="Times New Roman" w:eastAsia="宋体" w:cs="Times New Roman"/>
          <w:color w:val="000000"/>
          <w:kern w:val="2"/>
          <w:sz w:val="24"/>
          <w:u w:color="000000"/>
          <w:lang w:val="en-US" w:eastAsia="zh-CN" w:bidi="ar-SA"/>
        </w:rPr>
        <w:t>建设单位：</w:t>
      </w:r>
      <w:r>
        <w:rPr>
          <w:rFonts w:hint="eastAsia" w:ascii="Times New Roman" w:hAnsi="Times New Roman" w:eastAsia="宋体" w:cs="Times New Roman"/>
          <w:color w:val="auto"/>
          <w:kern w:val="2"/>
          <w:sz w:val="24"/>
          <w:szCs w:val="24"/>
          <w:u w:color="000000"/>
          <w:lang w:val="en-US" w:eastAsia="zh-CN" w:bidi="ar-SA"/>
        </w:rPr>
        <w:t>沧县峰盛塑料制品厂</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建设性质：新建</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auto"/>
          <w:kern w:val="2"/>
          <w:sz w:val="24"/>
          <w:u w:color="000000"/>
          <w:lang w:val="en-US" w:eastAsia="zh-CN" w:bidi="ar-SA"/>
        </w:rPr>
      </w:pPr>
      <w:r>
        <w:rPr>
          <w:rFonts w:ascii="Times New Roman" w:hAnsi="Times New Roman" w:eastAsia="宋体" w:cs="Times New Roman"/>
          <w:color w:val="auto"/>
          <w:kern w:val="2"/>
          <w:sz w:val="24"/>
          <w:u w:color="000000"/>
          <w:lang w:val="en-US" w:eastAsia="zh-CN" w:bidi="ar-SA"/>
        </w:rPr>
        <w:t>建设规模：项目建设车间及辅助设施面积1500m</w:t>
      </w:r>
      <w:r>
        <w:rPr>
          <w:rFonts w:ascii="Times New Roman" w:hAnsi="Times New Roman" w:eastAsia="宋体" w:cs="Times New Roman"/>
          <w:color w:val="auto"/>
          <w:kern w:val="2"/>
          <w:sz w:val="24"/>
          <w:u w:color="000000"/>
          <w:vertAlign w:val="superscript"/>
          <w:lang w:val="en-US" w:eastAsia="zh-CN" w:bidi="ar-SA"/>
        </w:rPr>
        <w:t>2</w:t>
      </w:r>
      <w:r>
        <w:rPr>
          <w:rFonts w:ascii="Times New Roman" w:hAnsi="Times New Roman" w:eastAsia="宋体" w:cs="Times New Roman"/>
          <w:color w:val="auto"/>
          <w:kern w:val="2"/>
          <w:sz w:val="24"/>
          <w:u w:color="000000"/>
          <w:lang w:val="en-US" w:eastAsia="zh-CN" w:bidi="ar-SA"/>
        </w:rPr>
        <w:t>，年产1000万件自行车把套、自行车反射器。</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auto"/>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工程投资：项目总投资450万元，其中环保投资10万元，占总投资的2.22%。</w:t>
      </w:r>
    </w:p>
    <w:p>
      <w:pPr>
        <w:widowControl/>
        <w:adjustRightInd w:val="0"/>
        <w:snapToGrid w:val="0"/>
        <w:spacing w:line="360" w:lineRule="auto"/>
        <w:ind w:firstLine="482"/>
        <w:textAlignment w:val="baseline"/>
        <w:rPr>
          <w:rFonts w:ascii="Times New Roman" w:hAnsi="Times New Roman" w:eastAsia="宋体" w:cs="Times New Roman"/>
          <w:color w:val="auto"/>
          <w:kern w:val="0"/>
          <w:sz w:val="24"/>
          <w:szCs w:val="20"/>
          <w:u w:color="000000"/>
        </w:rPr>
      </w:pPr>
      <w:r>
        <w:rPr>
          <w:rFonts w:ascii="Times New Roman" w:hAnsi="Times New Roman" w:eastAsia="宋体" w:cs="Times New Roman"/>
          <w:color w:val="auto"/>
          <w:kern w:val="0"/>
          <w:sz w:val="24"/>
          <w:szCs w:val="24"/>
          <w:u w:color="000000"/>
        </w:rPr>
        <w:t>劳动定员及工作时制：</w:t>
      </w:r>
      <w:r>
        <w:rPr>
          <w:rFonts w:ascii="Times New Roman" w:hAnsi="Times New Roman" w:eastAsia="宋体" w:cs="Times New Roman"/>
          <w:color w:val="auto"/>
          <w:kern w:val="0"/>
          <w:sz w:val="24"/>
          <w:szCs w:val="20"/>
          <w:u w:color="000000"/>
        </w:rPr>
        <w:t>项目劳动定员23人，年工作时间300天，一班制，每班工作8小时。</w:t>
      </w:r>
    </w:p>
    <w:p>
      <w:pPr>
        <w:widowControl w:val="0"/>
        <w:adjustRightInd w:val="0"/>
        <w:snapToGrid w:val="0"/>
        <w:spacing w:line="360" w:lineRule="auto"/>
        <w:ind w:firstLine="482"/>
        <w:jc w:val="both"/>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1.2项目选址</w:t>
      </w:r>
    </w:p>
    <w:p>
      <w:pPr>
        <w:widowControl/>
        <w:adjustRightInd w:val="0"/>
        <w:snapToGrid w:val="0"/>
        <w:spacing w:line="360" w:lineRule="auto"/>
        <w:ind w:firstLine="480" w:firstLineChars="200"/>
        <w:textAlignment w:val="baseline"/>
        <w:rPr>
          <w:rFonts w:ascii="Times New Roman" w:hAnsi="Times New Roman" w:eastAsia="宋体" w:cs="Times New Roman"/>
          <w:color w:val="auto"/>
          <w:kern w:val="0"/>
          <w:sz w:val="24"/>
          <w:szCs w:val="20"/>
          <w:u w:color="000000"/>
        </w:rPr>
      </w:pPr>
      <w:r>
        <w:rPr>
          <w:rFonts w:ascii="Times New Roman" w:hAnsi="Times New Roman" w:eastAsia="宋体" w:cs="Times New Roman"/>
          <w:color w:val="auto"/>
          <w:kern w:val="0"/>
          <w:sz w:val="24"/>
          <w:szCs w:val="20"/>
          <w:u w:color="000000"/>
        </w:rPr>
        <w:t>项目位于</w:t>
      </w:r>
      <w:r>
        <w:rPr>
          <w:rFonts w:ascii="Times New Roman" w:hAnsi="Times New Roman" w:eastAsia="宋体" w:cs="Times New Roman"/>
          <w:color w:val="auto"/>
          <w:kern w:val="0"/>
          <w:sz w:val="24"/>
          <w:szCs w:val="24"/>
          <w:u w:color="000000"/>
        </w:rPr>
        <w:t>河北省沧州市沧县薛官屯乡东秀女村</w:t>
      </w:r>
      <w:r>
        <w:rPr>
          <w:rFonts w:ascii="Times New Roman" w:hAnsi="Times New Roman" w:eastAsia="宋体" w:cs="Times New Roman"/>
          <w:color w:val="auto"/>
          <w:kern w:val="0"/>
          <w:sz w:val="24"/>
          <w:szCs w:val="20"/>
          <w:u w:color="000000"/>
        </w:rPr>
        <w:t>，根据沧县薛官屯乡人民政府出具的</w:t>
      </w:r>
      <w:r>
        <w:rPr>
          <w:rFonts w:hint="eastAsia" w:ascii="Times New Roman" w:hAnsi="Times New Roman" w:eastAsia="宋体" w:cs="Times New Roman"/>
          <w:color w:val="auto"/>
          <w:kern w:val="0"/>
          <w:sz w:val="24"/>
          <w:szCs w:val="20"/>
          <w:u w:color="000000"/>
        </w:rPr>
        <w:t>沧县峰盛塑料制品厂</w:t>
      </w:r>
      <w:r>
        <w:rPr>
          <w:rFonts w:ascii="Times New Roman" w:hAnsi="Times New Roman" w:eastAsia="宋体" w:cs="Times New Roman"/>
          <w:color w:val="auto"/>
          <w:kern w:val="0"/>
          <w:sz w:val="24"/>
          <w:szCs w:val="20"/>
          <w:u w:color="000000"/>
        </w:rPr>
        <w:t>规划选址意见：</w:t>
      </w:r>
      <w:r>
        <w:rPr>
          <w:rFonts w:hint="eastAsia" w:ascii="Times New Roman" w:hAnsi="Times New Roman" w:eastAsia="宋体" w:cs="Times New Roman"/>
          <w:color w:val="auto"/>
          <w:kern w:val="0"/>
          <w:sz w:val="24"/>
          <w:szCs w:val="20"/>
          <w:u w:color="000000"/>
        </w:rPr>
        <w:t>塑料制品加工项目</w:t>
      </w:r>
      <w:r>
        <w:rPr>
          <w:rFonts w:ascii="Times New Roman" w:hAnsi="Times New Roman" w:eastAsia="宋体" w:cs="Times New Roman"/>
          <w:color w:val="auto"/>
          <w:kern w:val="0"/>
          <w:sz w:val="24"/>
          <w:szCs w:val="20"/>
          <w:u w:color="000000"/>
        </w:rPr>
        <w:t>符合薛官屯乡的规划，同意本项目在此选址建设生产。（根据河北荣超环保科技有限公司现场调查结果，确定本项目生产车间卫生防护距离为50m。根据河北荣超环保科技有限公司现场调查结果，项目卫生距离内有1户居民，企业已对该户居民进行了公众参与调查，调查结果显示卫生防护距离内居民均支持本项目建设。河北荣超环保科技有限公司分析项目可行，允许在此次建厂生产）。项目评价范围内无自然保护区、风景名胜区、文物保护单位、饮用水水源保护区等环境敏感区。本项目在正常生产条件下各种污染物能够达标排放，满足防护距离要求，从环境保护角度，项目选址可行。</w:t>
      </w:r>
    </w:p>
    <w:p>
      <w:pPr>
        <w:widowControl w:val="0"/>
        <w:adjustRightInd w:val="0"/>
        <w:snapToGrid w:val="0"/>
        <w:spacing w:line="360" w:lineRule="auto"/>
        <w:ind w:firstLine="482"/>
        <w:jc w:val="both"/>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1.3建设内容</w:t>
      </w:r>
    </w:p>
    <w:p>
      <w:pPr>
        <w:pStyle w:val="34"/>
        <w:adjustRightInd w:val="0"/>
        <w:snapToGrid w:val="0"/>
        <w:ind w:firstLine="482" w:firstLineChars="0"/>
        <w:rPr>
          <w:b/>
        </w:rPr>
      </w:pPr>
      <w:r>
        <w:rPr>
          <w:color w:val="000000" w:themeColor="text1"/>
          <w14:textFill>
            <w14:solidFill>
              <w14:schemeClr w14:val="tx1"/>
            </w14:solidFill>
          </w14:textFill>
        </w:rPr>
        <w:t>项目主体工程为新建车间、仓库、办公室共计1500平方米；公用工程为供电、供水、供热等设施；环保工程为废气、降噪、固废措施等。项目产品、工艺、设备均未列入《产业结构调整指导目录（2</w:t>
      </w:r>
      <w:r>
        <w:rPr>
          <w:rFonts w:hint="eastAsia"/>
          <w:color w:val="000000" w:themeColor="text1"/>
          <w14:textFill>
            <w14:solidFill>
              <w14:schemeClr w14:val="tx1"/>
            </w14:solidFill>
          </w14:textFill>
        </w:rPr>
        <w:t>019</w:t>
      </w:r>
      <w:r>
        <w:rPr>
          <w:color w:val="000000" w:themeColor="text1"/>
          <w14:textFill>
            <w14:solidFill>
              <w14:schemeClr w14:val="tx1"/>
            </w14:solidFill>
          </w14:textFill>
        </w:rPr>
        <w:t>年本）》淘汰类及限制类，也未列入《河北省环境敏感区支持、限制及禁止建设项目名录（2015年修订）》禁止类与限制类之列，该项目已在沧县行政审批局备案，备案编号为沧县行审[备]字[2019]</w:t>
      </w:r>
      <w:r>
        <w:rPr>
          <w:rFonts w:hint="eastAsia"/>
          <w:color w:val="000000" w:themeColor="text1"/>
          <w14:textFill>
            <w14:solidFill>
              <w14:schemeClr w14:val="tx1"/>
            </w14:solidFill>
          </w14:textFill>
        </w:rPr>
        <w:t>661</w:t>
      </w:r>
      <w:r>
        <w:rPr>
          <w:color w:val="000000" w:themeColor="text1"/>
          <w14:textFill>
            <w14:solidFill>
              <w14:schemeClr w14:val="tx1"/>
            </w14:solidFill>
          </w14:textFill>
        </w:rPr>
        <w:t>号，（项目代码：2019-130921-</w:t>
      </w:r>
      <w:r>
        <w:rPr>
          <w:rFonts w:hint="eastAsia"/>
          <w:color w:val="000000" w:themeColor="text1"/>
          <w14:textFill>
            <w14:solidFill>
              <w14:schemeClr w14:val="tx1"/>
            </w14:solidFill>
          </w14:textFill>
        </w:rPr>
        <w:t>29</w:t>
      </w:r>
      <w:r>
        <w:rPr>
          <w:color w:val="000000" w:themeColor="text1"/>
          <w14:textFill>
            <w14:solidFill>
              <w14:schemeClr w14:val="tx1"/>
            </w14:solidFill>
          </w14:textFill>
        </w:rPr>
        <w:t>-03-</w:t>
      </w:r>
      <w:r>
        <w:rPr>
          <w:rFonts w:hint="eastAsia"/>
          <w:color w:val="000000" w:themeColor="text1"/>
          <w14:textFill>
            <w14:solidFill>
              <w14:schemeClr w14:val="tx1"/>
            </w14:solidFill>
          </w14:textFill>
        </w:rPr>
        <w:t>000718</w:t>
      </w:r>
      <w:r>
        <w:rPr>
          <w:color w:val="000000" w:themeColor="text1"/>
          <w14:textFill>
            <w14:solidFill>
              <w14:schemeClr w14:val="tx1"/>
            </w14:solidFill>
          </w14:textFill>
        </w:rPr>
        <w:t>）</w:t>
      </w:r>
      <w:r>
        <w:t>符合国家产业政策。</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1.4项目衔接</w:t>
      </w:r>
    </w:p>
    <w:p>
      <w:pPr>
        <w:widowControl/>
        <w:adjustRightInd w:val="0"/>
        <w:snapToGrid w:val="0"/>
        <w:spacing w:line="360" w:lineRule="auto"/>
        <w:ind w:firstLine="480" w:firstLineChars="200"/>
        <w:textAlignment w:val="baseline"/>
        <w:rPr>
          <w:rFonts w:ascii="Times New Roman" w:hAnsi="Times New Roman" w:eastAsia="宋体" w:cs="Times New Roman"/>
          <w:color w:val="auto"/>
          <w:kern w:val="0"/>
          <w:sz w:val="24"/>
          <w:szCs w:val="20"/>
          <w:u w:color="000000"/>
        </w:rPr>
      </w:pPr>
      <w:r>
        <w:rPr>
          <w:rFonts w:ascii="Times New Roman" w:hAnsi="Times New Roman" w:eastAsia="宋体" w:cs="Times New Roman"/>
          <w:color w:val="000000"/>
          <w:kern w:val="0"/>
          <w:sz w:val="24"/>
          <w:szCs w:val="24"/>
          <w:u w:color="000000"/>
        </w:rPr>
        <w:t>项目</w:t>
      </w:r>
      <w:r>
        <w:rPr>
          <w:rFonts w:ascii="Times New Roman" w:hAnsi="Times New Roman" w:eastAsia="宋体" w:cs="Times New Roman"/>
          <w:color w:val="000000"/>
          <w:kern w:val="2"/>
          <w:sz w:val="24"/>
          <w:szCs w:val="20"/>
          <w:u w:color="000000"/>
        </w:rPr>
        <w:t>电源引</w:t>
      </w:r>
      <w:r>
        <w:rPr>
          <w:rFonts w:ascii="Times New Roman" w:hAnsi="Times New Roman" w:eastAsia="宋体" w:cs="Times New Roman"/>
          <w:color w:val="000000"/>
          <w:kern w:val="0"/>
          <w:sz w:val="24"/>
          <w:szCs w:val="24"/>
          <w:u w:color="000000"/>
        </w:rPr>
        <w:t>自薛官屯乡供电系统</w:t>
      </w:r>
      <w:r>
        <w:rPr>
          <w:rFonts w:ascii="Times New Roman" w:hAnsi="Times New Roman" w:eastAsia="宋体" w:cs="Times New Roman"/>
          <w:color w:val="000000"/>
          <w:kern w:val="2"/>
          <w:sz w:val="24"/>
          <w:szCs w:val="24"/>
          <w:u w:color="000000"/>
        </w:rPr>
        <w:t>，可满足项目供电需</w:t>
      </w:r>
      <w:r>
        <w:rPr>
          <w:rFonts w:ascii="Times New Roman" w:hAnsi="Times New Roman" w:eastAsia="宋体" w:cs="Times New Roman"/>
          <w:color w:val="000000"/>
          <w:kern w:val="2"/>
          <w:sz w:val="24"/>
          <w:szCs w:val="20"/>
          <w:u w:color="000000"/>
        </w:rPr>
        <w:t>求。项目厂区用水由薛官屯乡供水系统提供；生活污水，厂区设防渗旱厕，定期清掏，</w:t>
      </w:r>
      <w:r>
        <w:rPr>
          <w:rFonts w:ascii="Times New Roman" w:hAnsi="Times New Roman" w:eastAsia="宋体" w:cs="Times New Roman"/>
          <w:color w:val="auto"/>
          <w:kern w:val="0"/>
          <w:sz w:val="24"/>
          <w:szCs w:val="20"/>
          <w:u w:color="000000"/>
        </w:rPr>
        <w:t>冷却水循环使用不外排。项目生产过程中生产用热由电源提供，办公室冬季利用空调供暖。</w:t>
      </w:r>
    </w:p>
    <w:p>
      <w:pPr>
        <w:widowControl/>
        <w:adjustRightInd w:val="0"/>
        <w:snapToGrid w:val="0"/>
        <w:spacing w:line="360" w:lineRule="auto"/>
        <w:ind w:firstLine="482" w:firstLineChars="200"/>
        <w:textAlignment w:val="baseline"/>
        <w:rPr>
          <w:rFonts w:ascii="Times New Roman" w:hAnsi="Times New Roman" w:eastAsia="宋体" w:cs="Times New Roman"/>
          <w:b/>
          <w:color w:val="000000"/>
          <w:kern w:val="0"/>
          <w:sz w:val="24"/>
          <w:szCs w:val="20"/>
          <w:u w:color="000000"/>
        </w:rPr>
      </w:pPr>
      <w:r>
        <w:rPr>
          <w:rFonts w:ascii="Times New Roman" w:hAnsi="Times New Roman" w:eastAsia="宋体" w:cs="Times New Roman"/>
          <w:b/>
          <w:color w:val="000000"/>
          <w:kern w:val="0"/>
          <w:sz w:val="24"/>
          <w:szCs w:val="20"/>
          <w:u w:color="000000"/>
        </w:rPr>
        <w:t>2、环境质量现状</w:t>
      </w:r>
    </w:p>
    <w:p>
      <w:pPr>
        <w:widowControl/>
        <w:adjustRightInd w:val="0"/>
        <w:snapToGrid w:val="0"/>
        <w:spacing w:line="360" w:lineRule="auto"/>
        <w:ind w:firstLine="480" w:firstLineChars="200"/>
        <w:textAlignment w:val="baseline"/>
        <w:rPr>
          <w:rFonts w:ascii="Times New Roman" w:hAnsi="Times New Roman" w:eastAsia="宋体" w:cs="Times New Roman"/>
          <w:color w:val="auto"/>
          <w:spacing w:val="-4"/>
          <w:kern w:val="0"/>
          <w:sz w:val="24"/>
          <w:szCs w:val="24"/>
          <w:u w:color="000000"/>
        </w:rPr>
      </w:pPr>
      <w:r>
        <w:rPr>
          <w:rFonts w:ascii="Times New Roman" w:hAnsi="Times New Roman" w:eastAsia="宋体" w:cs="Times New Roman"/>
          <w:color w:val="auto"/>
          <w:kern w:val="0"/>
          <w:sz w:val="24"/>
          <w:szCs w:val="20"/>
          <w:u w:color="000000"/>
        </w:rPr>
        <w:t>项目所在区域大气环境</w:t>
      </w:r>
      <w:r>
        <w:rPr>
          <w:rFonts w:hint="eastAsia" w:ascii="Times New Roman" w:hAnsi="Times New Roman" w:eastAsia="宋体" w:cs="Times New Roman"/>
          <w:color w:val="auto"/>
          <w:kern w:val="0"/>
          <w:sz w:val="24"/>
          <w:szCs w:val="20"/>
          <w:u w:color="000000"/>
        </w:rPr>
        <w:t>未</w:t>
      </w:r>
      <w:r>
        <w:rPr>
          <w:rFonts w:ascii="Times New Roman" w:hAnsi="Times New Roman" w:eastAsia="宋体" w:cs="Times New Roman"/>
          <w:color w:val="auto"/>
          <w:kern w:val="0"/>
          <w:sz w:val="24"/>
          <w:szCs w:val="20"/>
          <w:u w:color="000000"/>
        </w:rPr>
        <w:t>满足《环境空气质量标准》（GB3095-2012）及修改单</w:t>
      </w:r>
      <w:r>
        <w:rPr>
          <w:rFonts w:ascii="Times New Roman" w:hAnsi="Times New Roman" w:eastAsia="宋体" w:cs="Times New Roman"/>
          <w:color w:val="000000"/>
          <w:kern w:val="0"/>
          <w:sz w:val="24"/>
          <w:szCs w:val="20"/>
          <w:u w:color="000000"/>
        </w:rPr>
        <w:t>中二级标准</w:t>
      </w:r>
      <w:r>
        <w:rPr>
          <w:rFonts w:ascii="Times New Roman" w:hAnsi="Times New Roman" w:eastAsia="宋体" w:cs="Times New Roman"/>
          <w:color w:val="auto"/>
          <w:kern w:val="0"/>
          <w:sz w:val="24"/>
          <w:szCs w:val="20"/>
          <w:u w:color="000000"/>
        </w:rPr>
        <w:t>；</w:t>
      </w:r>
      <w:r>
        <w:rPr>
          <w:rFonts w:ascii="Times New Roman" w:hAnsi="Times New Roman" w:eastAsia="宋体" w:cs="Times New Roman"/>
          <w:color w:val="auto"/>
          <w:kern w:val="0"/>
          <w:sz w:val="24"/>
          <w:szCs w:val="24"/>
          <w:u w:color="000000"/>
        </w:rPr>
        <w:t>非甲烷总烃满足《环境空气质量非甲烷总烃限值》（DB13/1577-2012）表1中二级标准限值，氯化氢满足《环境影响评价技术导则大气环境》（HJ2.2-2018）附录D表D.1中限值，氯乙烯满足《大气污染物综合排放标准详解》中限值</w:t>
      </w:r>
      <w:r>
        <w:rPr>
          <w:rFonts w:ascii="Times New Roman" w:hAnsi="Times New Roman" w:eastAsia="宋体" w:cs="Times New Roman"/>
          <w:color w:val="auto"/>
          <w:spacing w:val="-4"/>
          <w:kern w:val="0"/>
          <w:sz w:val="24"/>
          <w:szCs w:val="24"/>
          <w:u w:color="000000"/>
        </w:rPr>
        <w:t>。</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auto"/>
          <w:kern w:val="24"/>
          <w:sz w:val="24"/>
          <w:szCs w:val="20"/>
          <w:u w:color="000000"/>
        </w:rPr>
      </w:pPr>
      <w:r>
        <w:rPr>
          <w:rFonts w:ascii="Times New Roman" w:hAnsi="Times New Roman" w:eastAsia="宋体" w:cs="Times New Roman"/>
          <w:color w:val="auto"/>
          <w:kern w:val="24"/>
          <w:sz w:val="24"/>
          <w:szCs w:val="20"/>
          <w:u w:color="000000"/>
        </w:rPr>
        <w:t>项目所在区域声环境质量满足《声环境质量标准》（GB3096-2008）表1中2类标准要求。</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auto"/>
          <w:kern w:val="0"/>
          <w:sz w:val="24"/>
          <w:szCs w:val="20"/>
          <w:u w:color="000000"/>
        </w:rPr>
      </w:pPr>
      <w:r>
        <w:rPr>
          <w:rFonts w:ascii="Times New Roman" w:hAnsi="Times New Roman" w:eastAsia="宋体" w:cs="Times New Roman"/>
          <w:color w:val="auto"/>
          <w:kern w:val="0"/>
          <w:sz w:val="24"/>
          <w:szCs w:val="20"/>
          <w:u w:color="000000"/>
        </w:rPr>
        <w:t>项目所在区域地下水环境满足《地下水环境质量标准</w:t>
      </w:r>
      <w:r>
        <w:rPr>
          <w:rFonts w:ascii="Times New Roman" w:hAnsi="Times New Roman" w:eastAsia="宋体" w:cs="Times New Roman"/>
          <w:color w:val="000000"/>
          <w:kern w:val="0"/>
          <w:sz w:val="24"/>
          <w:szCs w:val="20"/>
          <w:u w:color="000000"/>
        </w:rPr>
        <w:t>》（GB/T14848-2017）III</w:t>
      </w:r>
      <w:r>
        <w:rPr>
          <w:rFonts w:ascii="Times New Roman" w:hAnsi="Times New Roman" w:eastAsia="宋体" w:cs="Times New Roman"/>
          <w:color w:val="auto"/>
          <w:kern w:val="0"/>
          <w:sz w:val="24"/>
          <w:szCs w:val="20"/>
          <w:u w:color="000000"/>
        </w:rPr>
        <w:t>类标准。</w:t>
      </w:r>
    </w:p>
    <w:p>
      <w:pPr>
        <w:widowControl/>
        <w:adjustRightInd w:val="0"/>
        <w:snapToGrid w:val="0"/>
        <w:spacing w:line="360" w:lineRule="auto"/>
        <w:ind w:firstLine="482" w:firstLineChars="200"/>
        <w:jc w:val="left"/>
        <w:textAlignment w:val="baseline"/>
        <w:rPr>
          <w:rFonts w:ascii="Times New Roman" w:hAnsi="Times New Roman" w:eastAsia="宋体" w:cs="Times New Roman"/>
          <w:b/>
          <w:color w:val="000000"/>
          <w:kern w:val="0"/>
          <w:sz w:val="24"/>
          <w:szCs w:val="20"/>
          <w:u w:color="000000"/>
        </w:rPr>
      </w:pPr>
      <w:r>
        <w:rPr>
          <w:rFonts w:ascii="Times New Roman" w:hAnsi="Times New Roman" w:eastAsia="宋体" w:cs="Times New Roman"/>
          <w:b/>
          <w:color w:val="000000"/>
          <w:kern w:val="0"/>
          <w:sz w:val="24"/>
          <w:szCs w:val="20"/>
          <w:u w:color="000000"/>
        </w:rPr>
        <w:t>3、污染防治措施可行性分析结论</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24"/>
          <w:sz w:val="24"/>
          <w:szCs w:val="20"/>
          <w:u w:color="000000"/>
        </w:rPr>
      </w:pPr>
      <w:r>
        <w:rPr>
          <w:rFonts w:ascii="Times New Roman" w:hAnsi="Times New Roman" w:eastAsia="宋体" w:cs="Times New Roman"/>
          <w:color w:val="000000"/>
          <w:kern w:val="24"/>
          <w:sz w:val="24"/>
          <w:szCs w:val="20"/>
          <w:u w:color="000000"/>
        </w:rPr>
        <w:t>3.1施工期环境影响分析结论</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hint="eastAsia" w:ascii="Times New Roman" w:hAnsi="Times New Roman" w:eastAsia="宋体" w:cs="Times New Roman"/>
          <w:color w:val="000000"/>
          <w:kern w:val="0"/>
          <w:sz w:val="24"/>
          <w:szCs w:val="24"/>
          <w:u w:color="000000"/>
        </w:rPr>
        <w:t>沧县峰盛塑料制品厂塑料制品加工项目</w:t>
      </w:r>
      <w:r>
        <w:rPr>
          <w:rFonts w:ascii="Times New Roman" w:hAnsi="Times New Roman" w:eastAsia="宋体" w:cs="Times New Roman"/>
          <w:color w:val="000000"/>
          <w:kern w:val="0"/>
          <w:sz w:val="24"/>
          <w:szCs w:val="24"/>
          <w:u w:color="000000"/>
        </w:rPr>
        <w:t>施工过程中对区域大气环境的影响主要是地面扬尘污染，污染因子为TSP，污染源主要来自以下几个方面：土地平整等施工过程产生的施工垃圾随意堆放，如遇大风天气，会造成扬尘污染；物料运输车辆在施工便道运行过程中将产生尘土；原料堆存、装卸过程产生尘土。工程施工期间扬尘会对周围居民产生影响，本评价要求建设及施工单位严格执行《关于印发河北省&lt;施工场地扬尘排放标准&gt;的通知》(DB13/2934—2019)、《防治城市扬尘污染技术规范》(HJ/T393-2007)、《河北省大气污染防治实施行动计划》(冀发[2013]23号)、《河北省大气污染防治条例》(2016年1月13日)、《关于印发&lt;关于进一步加强建筑工程施工扬尘治理的若干规定&gt;的通知》(冀建法[2013]28号)、《沧州市重污染天气应急预案》及同类施工场地采取的抑尘措施，建设单位施工过程中采取以下措施：</w:t>
      </w:r>
    </w:p>
    <w:p>
      <w:pPr>
        <w:pStyle w:val="16"/>
        <w:widowControl w:val="0"/>
        <w:spacing w:beforeAutospacing="0" w:afterAutospacing="0" w:line="360" w:lineRule="auto"/>
        <w:ind w:firstLine="480" w:firstLineChars="200"/>
        <w:jc w:val="both"/>
        <w:rPr>
          <w:rFonts w:ascii="Times New Roman" w:hAnsi="Times New Roman"/>
          <w:color w:val="000000"/>
          <w:kern w:val="2"/>
        </w:rPr>
      </w:pPr>
      <w:r>
        <w:rPr>
          <w:rFonts w:ascii="Times New Roman" w:hAnsi="Times New Roman"/>
          <w:color w:val="000000"/>
          <w:kern w:val="2"/>
        </w:rPr>
        <w:t>（1）加强管理，文明施工，轻装轻卸，并避免大风天气作业</w:t>
      </w:r>
    </w:p>
    <w:p>
      <w:pPr>
        <w:pStyle w:val="16"/>
        <w:widowControl w:val="0"/>
        <w:spacing w:beforeAutospacing="0" w:afterAutospacing="0" w:line="360" w:lineRule="auto"/>
        <w:ind w:firstLine="480" w:firstLineChars="200"/>
        <w:jc w:val="both"/>
        <w:rPr>
          <w:rFonts w:ascii="Times New Roman" w:hAnsi="Times New Roman"/>
          <w:color w:val="000000"/>
          <w:kern w:val="2"/>
        </w:rPr>
      </w:pPr>
      <w:r>
        <w:rPr>
          <w:rFonts w:ascii="Times New Roman" w:hAnsi="Times New Roman"/>
          <w:color w:val="000000"/>
          <w:kern w:val="2"/>
        </w:rPr>
        <w:t>（2）施工现场出入口、主要道路、加工区等采取硬化处理措施；</w:t>
      </w:r>
    </w:p>
    <w:p>
      <w:pPr>
        <w:pStyle w:val="16"/>
        <w:widowControl w:val="0"/>
        <w:spacing w:beforeAutospacing="0" w:afterAutospacing="0" w:line="360" w:lineRule="auto"/>
        <w:ind w:firstLine="480" w:firstLineChars="200"/>
        <w:jc w:val="both"/>
        <w:rPr>
          <w:rFonts w:ascii="Times New Roman" w:hAnsi="Times New Roman"/>
          <w:color w:val="000000"/>
          <w:kern w:val="2"/>
        </w:rPr>
      </w:pPr>
      <w:r>
        <w:rPr>
          <w:rFonts w:ascii="Times New Roman" w:hAnsi="Times New Roman"/>
          <w:color w:val="000000"/>
          <w:kern w:val="2"/>
        </w:rPr>
        <w:t>（3）施工场地内堆放水泥、砂石等易产生扬尘污染的物料，以及工地堆存的建筑垃圾、工程渣土等应采取遮盖、密闭或其它抑尘措施；</w:t>
      </w:r>
    </w:p>
    <w:p>
      <w:pPr>
        <w:pStyle w:val="16"/>
        <w:widowControl w:val="0"/>
        <w:spacing w:beforeAutospacing="0" w:afterAutospacing="0" w:line="360" w:lineRule="auto"/>
        <w:ind w:firstLine="480" w:firstLineChars="200"/>
        <w:jc w:val="both"/>
        <w:rPr>
          <w:rFonts w:ascii="Times New Roman" w:hAnsi="Times New Roman"/>
          <w:color w:val="000000"/>
          <w:kern w:val="2"/>
        </w:rPr>
      </w:pPr>
      <w:r>
        <w:rPr>
          <w:rFonts w:ascii="Times New Roman" w:hAnsi="Times New Roman"/>
          <w:color w:val="000000"/>
          <w:kern w:val="2"/>
        </w:rPr>
        <w:t>（4）装卸和运输渣土、砂石、建筑垃圾等物料的，应当采取完全密闭措施；</w:t>
      </w:r>
    </w:p>
    <w:p>
      <w:pPr>
        <w:pStyle w:val="16"/>
        <w:widowControl w:val="0"/>
        <w:spacing w:beforeAutospacing="0" w:afterAutospacing="0" w:line="360" w:lineRule="auto"/>
        <w:ind w:firstLine="480" w:firstLineChars="200"/>
        <w:jc w:val="both"/>
        <w:rPr>
          <w:rFonts w:ascii="Times New Roman" w:hAnsi="Times New Roman"/>
          <w:color w:val="000000"/>
          <w:kern w:val="2"/>
        </w:rPr>
      </w:pPr>
      <w:r>
        <w:rPr>
          <w:rFonts w:ascii="Times New Roman" w:hAnsi="Times New Roman"/>
          <w:color w:val="000000"/>
          <w:kern w:val="2"/>
        </w:rPr>
        <w:t>（5）施工场地扬尘排放应符合下表规定的浓度限值</w:t>
      </w:r>
    </w:p>
    <w:p>
      <w:pPr>
        <w:pStyle w:val="16"/>
        <w:widowControl w:val="0"/>
        <w:spacing w:beforeAutospacing="0" w:afterAutospacing="0" w:line="360" w:lineRule="auto"/>
        <w:ind w:firstLine="422" w:firstLineChars="200"/>
        <w:jc w:val="center"/>
        <w:rPr>
          <w:rFonts w:ascii="Times New Roman" w:hAnsi="Times New Roman"/>
          <w:color w:val="000000"/>
          <w:kern w:val="2"/>
        </w:rPr>
      </w:pPr>
      <w:r>
        <w:rPr>
          <w:rFonts w:hint="eastAsia" w:ascii="Times New Roman" w:hAnsi="Times New Roman"/>
          <w:b/>
          <w:bCs/>
          <w:color w:val="000000"/>
          <w:kern w:val="2"/>
          <w:sz w:val="21"/>
          <w:szCs w:val="21"/>
        </w:rPr>
        <w:t>表23</w:t>
      </w:r>
      <w:r>
        <w:rPr>
          <w:rFonts w:ascii="Times New Roman" w:hAnsi="Times New Roman"/>
          <w:b/>
          <w:bCs/>
          <w:color w:val="000000"/>
          <w:kern w:val="2"/>
          <w:sz w:val="21"/>
          <w:szCs w:val="21"/>
        </w:rPr>
        <w:t>扬尘排放浓度限值</w:t>
      </w:r>
    </w:p>
    <w:tbl>
      <w:tblPr>
        <w:tblStyle w:val="19"/>
        <w:tblW w:w="8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0"/>
        <w:gridCol w:w="2893"/>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3000" w:type="dxa"/>
            <w:tcBorders>
              <w:top w:val="single" w:color="auto" w:sz="4" w:space="0"/>
              <w:left w:val="single" w:color="auto" w:sz="4" w:space="0"/>
              <w:bottom w:val="single" w:color="auto" w:sz="4" w:space="0"/>
              <w:right w:val="single" w:color="auto" w:sz="4" w:space="0"/>
            </w:tcBorders>
            <w:shd w:val="clear" w:color="auto" w:fill="auto"/>
          </w:tcPr>
          <w:p>
            <w:pPr>
              <w:pStyle w:val="16"/>
              <w:widowControl w:val="0"/>
              <w:spacing w:beforeAutospacing="0" w:afterAutospacing="0" w:line="0" w:lineRule="atLeast"/>
              <w:jc w:val="center"/>
              <w:rPr>
                <w:rFonts w:ascii="Times New Roman" w:hAnsi="Times New Roman"/>
                <w:color w:val="000000"/>
                <w:kern w:val="2"/>
                <w:sz w:val="21"/>
                <w:szCs w:val="21"/>
              </w:rPr>
            </w:pPr>
            <w:r>
              <w:rPr>
                <w:rFonts w:ascii="Times New Roman" w:hAnsi="Times New Roman"/>
                <w:color w:val="000000"/>
                <w:kern w:val="2"/>
                <w:sz w:val="21"/>
                <w:szCs w:val="21"/>
              </w:rPr>
              <w:t>控制项目</w:t>
            </w:r>
          </w:p>
        </w:tc>
        <w:tc>
          <w:tcPr>
            <w:tcW w:w="2893" w:type="dxa"/>
            <w:tcBorders>
              <w:top w:val="single" w:color="auto" w:sz="4" w:space="0"/>
              <w:left w:val="nil"/>
              <w:bottom w:val="single" w:color="auto" w:sz="4" w:space="0"/>
              <w:right w:val="single" w:color="auto" w:sz="4" w:space="0"/>
            </w:tcBorders>
            <w:shd w:val="clear" w:color="auto" w:fill="auto"/>
          </w:tcPr>
          <w:p>
            <w:pPr>
              <w:pStyle w:val="16"/>
              <w:widowControl w:val="0"/>
              <w:spacing w:beforeAutospacing="0" w:afterAutospacing="0" w:line="0" w:lineRule="atLeast"/>
              <w:jc w:val="both"/>
              <w:rPr>
                <w:rFonts w:ascii="Times New Roman" w:hAnsi="Times New Roman"/>
                <w:color w:val="000000"/>
                <w:kern w:val="2"/>
                <w:sz w:val="21"/>
                <w:szCs w:val="21"/>
              </w:rPr>
            </w:pPr>
            <w:r>
              <w:rPr>
                <w:rFonts w:ascii="Times New Roman" w:hAnsi="Times New Roman"/>
                <w:color w:val="000000"/>
                <w:kern w:val="2"/>
                <w:sz w:val="21"/>
                <w:szCs w:val="21"/>
              </w:rPr>
              <w:t>监测点浓度限值（µg/m</w:t>
            </w:r>
            <w:r>
              <w:rPr>
                <w:rFonts w:ascii="Times New Roman" w:hAnsi="Times New Roman"/>
                <w:color w:val="000000"/>
                <w:kern w:val="2"/>
                <w:sz w:val="21"/>
                <w:szCs w:val="21"/>
                <w:vertAlign w:val="superscript"/>
              </w:rPr>
              <w:t>3</w:t>
            </w:r>
            <w:r>
              <w:rPr>
                <w:rFonts w:ascii="Times New Roman" w:hAnsi="Times New Roman"/>
                <w:color w:val="000000"/>
                <w:kern w:val="2"/>
                <w:sz w:val="21"/>
                <w:szCs w:val="21"/>
              </w:rPr>
              <w:t>）</w:t>
            </w:r>
          </w:p>
        </w:tc>
        <w:tc>
          <w:tcPr>
            <w:tcW w:w="2894" w:type="dxa"/>
            <w:tcBorders>
              <w:top w:val="single" w:color="auto" w:sz="4" w:space="0"/>
              <w:left w:val="nil"/>
              <w:bottom w:val="single" w:color="auto" w:sz="4" w:space="0"/>
              <w:right w:val="single" w:color="auto" w:sz="4" w:space="0"/>
            </w:tcBorders>
            <w:shd w:val="clear" w:color="auto" w:fill="auto"/>
          </w:tcPr>
          <w:p>
            <w:pPr>
              <w:pStyle w:val="16"/>
              <w:widowControl w:val="0"/>
              <w:spacing w:beforeAutospacing="0" w:afterAutospacing="0" w:line="0" w:lineRule="atLeast"/>
              <w:jc w:val="center"/>
              <w:rPr>
                <w:rFonts w:ascii="Times New Roman" w:hAnsi="Times New Roman"/>
                <w:color w:val="000000"/>
                <w:kern w:val="2"/>
                <w:sz w:val="21"/>
                <w:szCs w:val="21"/>
              </w:rPr>
            </w:pPr>
            <w:r>
              <w:rPr>
                <w:rFonts w:ascii="Times New Roman" w:hAnsi="Times New Roman"/>
                <w:color w:val="000000"/>
                <w:kern w:val="2"/>
                <w:sz w:val="21"/>
                <w:szCs w:val="21"/>
              </w:rPr>
              <w:t>达标判定依据（次/天）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000" w:type="dxa"/>
            <w:tcBorders>
              <w:top w:val="single" w:color="auto" w:sz="4" w:space="0"/>
              <w:left w:val="single" w:color="auto" w:sz="4" w:space="0"/>
              <w:bottom w:val="single" w:color="auto" w:sz="4" w:space="0"/>
              <w:right w:val="single" w:color="auto" w:sz="4" w:space="0"/>
            </w:tcBorders>
            <w:shd w:val="clear" w:color="auto" w:fill="auto"/>
          </w:tcPr>
          <w:p>
            <w:pPr>
              <w:pStyle w:val="16"/>
              <w:widowControl w:val="0"/>
              <w:spacing w:beforeAutospacing="0" w:afterAutospacing="0"/>
              <w:jc w:val="center"/>
              <w:rPr>
                <w:rFonts w:ascii="Times New Roman" w:hAnsi="Times New Roman"/>
                <w:color w:val="000000"/>
                <w:kern w:val="2"/>
                <w:sz w:val="21"/>
                <w:szCs w:val="21"/>
              </w:rPr>
            </w:pPr>
            <w:r>
              <w:rPr>
                <w:rFonts w:ascii="Times New Roman" w:hAnsi="Times New Roman"/>
                <w:color w:val="000000"/>
                <w:kern w:val="2"/>
                <w:sz w:val="21"/>
                <w:szCs w:val="21"/>
              </w:rPr>
              <w:t>PM</w:t>
            </w:r>
            <w:r>
              <w:rPr>
                <w:rFonts w:ascii="Times New Roman" w:hAnsi="Times New Roman"/>
                <w:color w:val="000000"/>
                <w:kern w:val="2"/>
                <w:sz w:val="21"/>
                <w:szCs w:val="21"/>
                <w:vertAlign w:val="subscript"/>
              </w:rPr>
              <w:t>10</w:t>
            </w:r>
          </w:p>
        </w:tc>
        <w:tc>
          <w:tcPr>
            <w:tcW w:w="2893" w:type="dxa"/>
            <w:tcBorders>
              <w:top w:val="single" w:color="auto" w:sz="4" w:space="0"/>
              <w:left w:val="nil"/>
              <w:bottom w:val="single" w:color="auto" w:sz="4" w:space="0"/>
              <w:right w:val="single" w:color="auto" w:sz="4" w:space="0"/>
            </w:tcBorders>
            <w:shd w:val="clear" w:color="auto" w:fill="auto"/>
          </w:tcPr>
          <w:p>
            <w:pPr>
              <w:pStyle w:val="16"/>
              <w:widowControl w:val="0"/>
              <w:spacing w:beforeAutospacing="0" w:afterAutospacing="0"/>
              <w:jc w:val="center"/>
              <w:rPr>
                <w:rFonts w:ascii="Times New Roman" w:hAnsi="Times New Roman"/>
                <w:color w:val="000000"/>
                <w:kern w:val="2"/>
                <w:sz w:val="21"/>
                <w:szCs w:val="21"/>
              </w:rPr>
            </w:pPr>
            <w:r>
              <w:rPr>
                <w:rFonts w:ascii="Times New Roman" w:hAnsi="Times New Roman"/>
                <w:color w:val="000000"/>
                <w:kern w:val="2"/>
                <w:sz w:val="21"/>
                <w:szCs w:val="21"/>
              </w:rPr>
              <w:t>80</w:t>
            </w:r>
          </w:p>
        </w:tc>
        <w:tc>
          <w:tcPr>
            <w:tcW w:w="2894" w:type="dxa"/>
            <w:tcBorders>
              <w:top w:val="single" w:color="auto" w:sz="4" w:space="0"/>
              <w:left w:val="nil"/>
              <w:bottom w:val="single" w:color="auto" w:sz="4" w:space="0"/>
              <w:right w:val="single" w:color="auto" w:sz="4" w:space="0"/>
            </w:tcBorders>
            <w:shd w:val="clear" w:color="auto" w:fill="auto"/>
          </w:tcPr>
          <w:p>
            <w:pPr>
              <w:pStyle w:val="16"/>
              <w:widowControl w:val="0"/>
              <w:spacing w:beforeAutospacing="0" w:afterAutospacing="0"/>
              <w:ind w:firstLine="420" w:firstLineChars="200"/>
              <w:jc w:val="center"/>
              <w:rPr>
                <w:rFonts w:ascii="Times New Roman" w:hAnsi="Times New Roman"/>
                <w:color w:val="000000"/>
                <w:kern w:val="2"/>
                <w:sz w:val="21"/>
                <w:szCs w:val="21"/>
              </w:rPr>
            </w:pPr>
            <w:r>
              <w:rPr>
                <w:rFonts w:ascii="Times New Roman" w:hAnsi="Times New Roman"/>
                <w:color w:val="000000"/>
                <w:kern w:val="2"/>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87" w:type="dxa"/>
            <w:gridSpan w:val="3"/>
            <w:tcBorders>
              <w:top w:val="single" w:color="auto" w:sz="4" w:space="0"/>
              <w:left w:val="single" w:color="auto" w:sz="4" w:space="0"/>
              <w:bottom w:val="single" w:color="auto" w:sz="4" w:space="0"/>
              <w:right w:val="single" w:color="auto" w:sz="4" w:space="0"/>
            </w:tcBorders>
            <w:shd w:val="clear" w:color="auto" w:fill="auto"/>
          </w:tcPr>
          <w:p>
            <w:pPr>
              <w:pStyle w:val="16"/>
              <w:widowControl w:val="0"/>
              <w:spacing w:beforeAutospacing="0" w:afterAutospacing="0"/>
              <w:ind w:firstLine="420" w:firstLineChars="200"/>
              <w:jc w:val="both"/>
              <w:rPr>
                <w:rFonts w:ascii="Times New Roman" w:hAnsi="Times New Roman"/>
                <w:color w:val="000000"/>
                <w:kern w:val="2"/>
                <w:sz w:val="21"/>
                <w:szCs w:val="21"/>
              </w:rPr>
            </w:pPr>
            <w:r>
              <w:rPr>
                <w:rFonts w:ascii="Times New Roman" w:hAnsi="Times New Roman"/>
                <w:color w:val="000000"/>
                <w:kern w:val="2"/>
                <w:sz w:val="21"/>
                <w:szCs w:val="21"/>
              </w:rPr>
              <w:t>指监测点PM</w:t>
            </w:r>
            <w:r>
              <w:rPr>
                <w:rFonts w:ascii="Times New Roman" w:hAnsi="Times New Roman"/>
                <w:color w:val="000000"/>
                <w:kern w:val="2"/>
                <w:sz w:val="21"/>
                <w:szCs w:val="21"/>
                <w:vertAlign w:val="subscript"/>
              </w:rPr>
              <w:t>10</w:t>
            </w:r>
            <w:r>
              <w:rPr>
                <w:rFonts w:ascii="Times New Roman" w:hAnsi="Times New Roman"/>
                <w:color w:val="000000"/>
                <w:kern w:val="2"/>
                <w:sz w:val="21"/>
                <w:szCs w:val="21"/>
              </w:rPr>
              <w:t>小时平均浓度实测值与同时段所属县（市、区）PM</w:t>
            </w:r>
            <w:r>
              <w:rPr>
                <w:rFonts w:ascii="Times New Roman" w:hAnsi="Times New Roman"/>
                <w:color w:val="000000"/>
                <w:kern w:val="2"/>
                <w:sz w:val="21"/>
                <w:szCs w:val="21"/>
                <w:vertAlign w:val="subscript"/>
              </w:rPr>
              <w:t>10</w:t>
            </w:r>
            <w:r>
              <w:rPr>
                <w:rFonts w:ascii="Times New Roman" w:hAnsi="Times New Roman"/>
                <w:color w:val="000000"/>
                <w:kern w:val="2"/>
                <w:sz w:val="21"/>
                <w:szCs w:val="21"/>
              </w:rPr>
              <w:t>小时平均浓度的差值。当县（市、区）PM</w:t>
            </w:r>
            <w:r>
              <w:rPr>
                <w:rFonts w:ascii="Times New Roman" w:hAnsi="Times New Roman"/>
                <w:color w:val="000000"/>
                <w:kern w:val="2"/>
                <w:sz w:val="21"/>
                <w:szCs w:val="21"/>
                <w:vertAlign w:val="subscript"/>
              </w:rPr>
              <w:t>10</w:t>
            </w:r>
            <w:r>
              <w:rPr>
                <w:rFonts w:ascii="Times New Roman" w:hAnsi="Times New Roman"/>
                <w:color w:val="000000"/>
                <w:kern w:val="2"/>
                <w:sz w:val="21"/>
                <w:szCs w:val="21"/>
              </w:rPr>
              <w:t>小时平均浓度值大于150µg/m</w:t>
            </w:r>
            <w:r>
              <w:rPr>
                <w:rFonts w:ascii="Times New Roman" w:hAnsi="Times New Roman"/>
                <w:color w:val="000000"/>
                <w:kern w:val="2"/>
                <w:sz w:val="21"/>
                <w:szCs w:val="21"/>
                <w:vertAlign w:val="superscript"/>
              </w:rPr>
              <w:t>3</w:t>
            </w:r>
            <w:r>
              <w:rPr>
                <w:rFonts w:ascii="Times New Roman" w:hAnsi="Times New Roman"/>
                <w:color w:val="000000"/>
                <w:kern w:val="2"/>
                <w:sz w:val="21"/>
                <w:szCs w:val="21"/>
              </w:rPr>
              <w:t>时，以150µg/m</w:t>
            </w:r>
            <w:r>
              <w:rPr>
                <w:rFonts w:ascii="Times New Roman" w:hAnsi="Times New Roman"/>
                <w:color w:val="000000"/>
                <w:kern w:val="2"/>
                <w:sz w:val="21"/>
                <w:szCs w:val="21"/>
                <w:vertAlign w:val="superscript"/>
              </w:rPr>
              <w:t>3</w:t>
            </w:r>
            <w:r>
              <w:rPr>
                <w:rFonts w:ascii="Times New Roman" w:hAnsi="Times New Roman"/>
                <w:color w:val="000000"/>
                <w:kern w:val="2"/>
                <w:sz w:val="21"/>
                <w:szCs w:val="21"/>
              </w:rPr>
              <w:t>计</w:t>
            </w:r>
          </w:p>
        </w:tc>
      </w:tr>
    </w:tbl>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在采取上述措施后，扬尘及粉尘污染程度会明显减轻，又因施工期只是短期的、暂时的，随着施工期的结束，以上污染也会随之结束，所以对周围环境影响不大。</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各类燃油动力机械在土地平整、物料运输等施工作业时，会排出各类燃油废气，排放的主要污染物为CO、NO</w:t>
      </w:r>
      <w:r>
        <w:rPr>
          <w:rFonts w:ascii="Times New Roman" w:hAnsi="Times New Roman" w:eastAsia="宋体" w:cs="Times New Roman"/>
          <w:color w:val="000000"/>
          <w:kern w:val="0"/>
          <w:sz w:val="24"/>
          <w:szCs w:val="24"/>
          <w:u w:color="000000"/>
          <w:vertAlign w:val="subscript"/>
        </w:rPr>
        <w:t>X</w:t>
      </w:r>
      <w:r>
        <w:rPr>
          <w:rFonts w:ascii="Times New Roman" w:hAnsi="Times New Roman" w:eastAsia="宋体" w:cs="Times New Roman"/>
          <w:color w:val="000000"/>
          <w:kern w:val="0"/>
          <w:sz w:val="24"/>
          <w:szCs w:val="24"/>
          <w:u w:color="000000"/>
        </w:rPr>
        <w:t>、SO</w:t>
      </w:r>
      <w:r>
        <w:rPr>
          <w:rFonts w:ascii="Times New Roman" w:hAnsi="Times New Roman" w:eastAsia="宋体" w:cs="Times New Roman"/>
          <w:color w:val="000000"/>
          <w:kern w:val="0"/>
          <w:sz w:val="24"/>
          <w:szCs w:val="24"/>
          <w:u w:color="000000"/>
          <w:vertAlign w:val="subscript"/>
        </w:rPr>
        <w:t>2</w:t>
      </w:r>
      <w:r>
        <w:rPr>
          <w:rFonts w:ascii="Times New Roman" w:hAnsi="Times New Roman" w:eastAsia="宋体" w:cs="Times New Roman"/>
          <w:color w:val="000000"/>
          <w:kern w:val="0"/>
          <w:sz w:val="24"/>
          <w:szCs w:val="24"/>
          <w:u w:color="000000"/>
        </w:rPr>
        <w:t>，项目开工后要选用性能好的先进设备及使用清洁燃料，可以减少污染物的排放，对周围环境影响较小。</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2.施工期废水影响分析</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施工机械机修及工作时跑、冒、漏产生的污油及露天机械被雨水冲刷产生的含油污水，工程施工期间采用先进设备以避免跑、冒、漏产生油污，避免机械露天放置，可避免上述含油污水的产生；施工单位不设施工驻地，施工人员产生少量生活污水，泼洒场地不外排。</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综上所述，施工期间产生的废水对周围环境影响较小。</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3.施工期噪声影响分析</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确保高噪声施工工序夜间和午休时间不施工，并在施工工地合理安排施工时间，合理布局施工现场，对高噪声作业采取控制施工时间的方法来使其对敏感点的干扰减小到最低程度；建立临时声障，采用建筑等隔声措施。通过采取以上措施，则可大大减少噪声影响。施工场界噪声可以达到《建筑施工场界环境噪声排放标准》（GB12523-2011）的要求，而且将随着施工的结束而消失。</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4.施工期固体废物影响分析</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施工期产生的固体废物主要有废建材、撒落的沙石料、废工程土以及少量生活垃圾等。施工中要加强对这些固体废物的管理，工程废弃物应及时清运，要求按规定路线运输，运输车辆必须按有关要求配装密闭装置。施工队的生活垃圾要收集到指定的垃圾箱内，及时清运至垃圾处理场。</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施工期对周围环境的影响是局部的，暂时的，随着工程的建成完工而消失。</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24"/>
          <w:sz w:val="24"/>
          <w:szCs w:val="20"/>
          <w:u w:color="000000"/>
        </w:rPr>
      </w:pPr>
      <w:r>
        <w:rPr>
          <w:rFonts w:ascii="Times New Roman" w:hAnsi="Times New Roman" w:eastAsia="宋体" w:cs="Times New Roman"/>
          <w:color w:val="000000"/>
          <w:kern w:val="24"/>
          <w:sz w:val="24"/>
          <w:szCs w:val="20"/>
          <w:u w:color="000000"/>
        </w:rPr>
        <w:t>3.2运营期环境影响分析结论</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auto"/>
          <w:kern w:val="24"/>
          <w:sz w:val="24"/>
          <w:szCs w:val="24"/>
          <w:u w:color="000000"/>
          <w:lang w:val="en-US" w:eastAsia="zh-CN" w:bidi="ar-SA"/>
        </w:rPr>
      </w:pPr>
      <w:r>
        <w:rPr>
          <w:rFonts w:ascii="Times New Roman" w:hAnsi="Times New Roman" w:eastAsia="宋体" w:cs="Times New Roman"/>
          <w:color w:val="auto"/>
          <w:kern w:val="24"/>
          <w:sz w:val="24"/>
          <w:szCs w:val="24"/>
          <w:u w:color="000000"/>
          <w:lang w:val="en-US" w:eastAsia="zh-CN" w:bidi="ar-SA"/>
        </w:rPr>
        <w:t>3.2.1大气环境影响评价结论</w:t>
      </w:r>
    </w:p>
    <w:p>
      <w:pPr>
        <w:widowControl/>
        <w:numPr>
          <w:ilvl w:val="0"/>
          <w:numId w:val="1"/>
        </w:numPr>
        <w:spacing w:line="360" w:lineRule="auto"/>
        <w:ind w:firstLine="465"/>
        <w:textAlignment w:val="baseline"/>
        <w:rPr>
          <w:rFonts w:ascii="Times New Roman" w:hAnsi="Times New Roman" w:eastAsia="宋体" w:cs="Times New Roman"/>
          <w:color w:val="000000"/>
          <w:kern w:val="0"/>
          <w:sz w:val="24"/>
          <w:szCs w:val="20"/>
          <w:u w:color="000000"/>
        </w:rPr>
      </w:pPr>
      <w:r>
        <w:rPr>
          <w:rFonts w:hint="eastAsia" w:ascii="Times New Roman" w:hAnsi="Times New Roman" w:eastAsia="宋体" w:cs="Times New Roman"/>
          <w:color w:val="000000"/>
          <w:kern w:val="0"/>
          <w:sz w:val="24"/>
          <w:szCs w:val="20"/>
          <w:u w:color="000000"/>
        </w:rPr>
        <w:t>注塑、成型（焊接、烫金）工序</w:t>
      </w:r>
    </w:p>
    <w:p>
      <w:pPr>
        <w:widowControl/>
        <w:spacing w:line="360" w:lineRule="auto"/>
        <w:ind w:firstLine="480" w:firstLineChars="200"/>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依据《中国卫生检验杂志》（2008年4月第18卷第4期）中《气相色谱-质谱法分析聚氯乙烯加热分解产物》实验结果，聚氯乙烯在90℃的加热条件下即可发生分解，在250℃以下可热解产生14种成份。本项目挤出</w:t>
      </w:r>
      <w:r>
        <w:rPr>
          <w:rFonts w:hint="eastAsia" w:ascii="Times New Roman" w:hAnsi="Times New Roman" w:eastAsia="宋体" w:cs="Times New Roman"/>
          <w:color w:val="000000"/>
          <w:kern w:val="0"/>
          <w:sz w:val="24"/>
          <w:szCs w:val="24"/>
          <w:u w:color="000000"/>
        </w:rPr>
        <w:t>成型（焊接、烫金）</w:t>
      </w:r>
      <w:r>
        <w:rPr>
          <w:rFonts w:ascii="Times New Roman" w:hAnsi="Times New Roman" w:eastAsia="宋体" w:cs="Times New Roman"/>
          <w:color w:val="000000"/>
          <w:kern w:val="0"/>
          <w:sz w:val="24"/>
          <w:szCs w:val="24"/>
          <w:u w:color="000000"/>
        </w:rPr>
        <w:t>过程中温度加热至150℃到160℃，挤出后进行水快速冷却，短链烯烃少量在加温过程中将挥发，但由于加工温度一般控制在原料允许的范围内，分解单体量较少，且一般加热在封闭的容器内进行，产生的单体仅有少量排出，其加热分解单体以HCl、氯乙烯、乙烯为主，所占比例约为20：10：70，其中乙烯以非甲烷总烃[注：非甲烷总烃（NMHC）指除甲烷以外所有可挥发的碳氢化合物（其中主要是C2~C8）]计。</w:t>
      </w:r>
    </w:p>
    <w:p>
      <w:pPr>
        <w:widowControl/>
        <w:spacing w:line="360" w:lineRule="auto"/>
        <w:ind w:firstLine="465"/>
        <w:textAlignment w:val="baseline"/>
        <w:rPr>
          <w:rFonts w:ascii="Times New Roman" w:hAnsi="Times New Roman" w:eastAsia="宋体" w:cs="Times New Roman"/>
          <w:color w:val="000000"/>
          <w:kern w:val="0"/>
          <w:sz w:val="24"/>
          <w:szCs w:val="24"/>
          <w:highlight w:val="yellow"/>
          <w:u w:color="000000"/>
        </w:rPr>
      </w:pPr>
      <w:r>
        <w:rPr>
          <w:rFonts w:ascii="Times New Roman" w:hAnsi="Times New Roman" w:eastAsia="宋体" w:cs="Times New Roman"/>
          <w:color w:val="000000"/>
          <w:kern w:val="0"/>
          <w:sz w:val="24"/>
          <w:szCs w:val="24"/>
          <w:u w:color="000000"/>
        </w:rPr>
        <w:t>污染物产生量根据《空气污染物排放和控制手册》（美国国家环保局）中的推荐公式，该手册认为在无控制措施时，有机废气产生系数为0.35kg/吨-原料，本项目聚氯乙烯用量为200t/a，则产生废气量为0.07t/a，其中氯化氢产生量为0.014t/a，氯乙烯产生量为0.007/a，非甲烷总烃产生量为0.049t/a。</w:t>
      </w:r>
    </w:p>
    <w:p>
      <w:pPr>
        <w:widowControl/>
        <w:spacing w:line="360" w:lineRule="auto"/>
        <w:ind w:firstLine="480" w:firstLineChars="200"/>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上述废气经</w:t>
      </w:r>
      <w:r>
        <w:rPr>
          <w:rFonts w:ascii="Times New Roman" w:hAnsi="Times New Roman" w:eastAsia="宋体" w:cs="Times New Roman"/>
          <w:color w:val="000000"/>
          <w:kern w:val="24"/>
          <w:sz w:val="24"/>
          <w:szCs w:val="24"/>
          <w:u w:color="000000"/>
        </w:rPr>
        <w:t>集气罩收集后经“集气罩+1套</w:t>
      </w:r>
      <w:r>
        <w:rPr>
          <w:rFonts w:hint="eastAsia" w:ascii="Times New Roman" w:hAnsi="Times New Roman" w:eastAsia="宋体" w:cs="Times New Roman"/>
          <w:color w:val="000000"/>
          <w:kern w:val="24"/>
          <w:sz w:val="24"/>
          <w:szCs w:val="24"/>
          <w:u w:color="000000"/>
        </w:rPr>
        <w:t>UV</w:t>
      </w:r>
      <w:r>
        <w:rPr>
          <w:rFonts w:ascii="Times New Roman" w:hAnsi="Times New Roman" w:eastAsia="宋体" w:cs="Times New Roman"/>
          <w:color w:val="000000"/>
          <w:kern w:val="24"/>
          <w:sz w:val="24"/>
          <w:szCs w:val="24"/>
          <w:u w:color="000000"/>
        </w:rPr>
        <w:t>光氧</w:t>
      </w:r>
      <w:r>
        <w:rPr>
          <w:rFonts w:hint="eastAsia" w:ascii="Times New Roman" w:hAnsi="Times New Roman" w:eastAsia="宋体" w:cs="Times New Roman"/>
          <w:color w:val="000000"/>
          <w:kern w:val="24"/>
          <w:sz w:val="24"/>
          <w:szCs w:val="24"/>
          <w:u w:color="000000"/>
        </w:rPr>
        <w:t>等离子设备一体机</w:t>
      </w:r>
      <w:r>
        <w:rPr>
          <w:rFonts w:ascii="Times New Roman" w:hAnsi="Times New Roman" w:eastAsia="宋体" w:cs="Times New Roman"/>
          <w:color w:val="000000"/>
          <w:kern w:val="24"/>
          <w:sz w:val="24"/>
          <w:szCs w:val="24"/>
          <w:u w:color="000000"/>
        </w:rPr>
        <w:t>”处理后经1根15m高排气筒（P</w:t>
      </w:r>
      <w:r>
        <w:rPr>
          <w:rFonts w:hint="eastAsia" w:ascii="Times New Roman" w:hAnsi="Times New Roman" w:eastAsia="宋体" w:cs="Times New Roman"/>
          <w:color w:val="000000"/>
          <w:kern w:val="24"/>
          <w:sz w:val="24"/>
          <w:szCs w:val="24"/>
          <w:u w:color="000000"/>
        </w:rPr>
        <w:t>1</w:t>
      </w:r>
      <w:r>
        <w:rPr>
          <w:rFonts w:ascii="Times New Roman" w:hAnsi="Times New Roman" w:eastAsia="宋体" w:cs="Times New Roman"/>
          <w:color w:val="000000"/>
          <w:kern w:val="24"/>
          <w:sz w:val="24"/>
          <w:szCs w:val="24"/>
          <w:u w:color="000000"/>
        </w:rPr>
        <w:t>）排放</w:t>
      </w:r>
      <w:r>
        <w:rPr>
          <w:rFonts w:ascii="Times New Roman" w:hAnsi="Times New Roman" w:eastAsia="宋体" w:cs="Times New Roman"/>
          <w:color w:val="000000"/>
          <w:kern w:val="0"/>
          <w:sz w:val="24"/>
          <w:szCs w:val="24"/>
          <w:u w:color="000000"/>
        </w:rPr>
        <w:t>，集气罩收集效率为90%，未收集部分厂房内无组织排放。集气罩收集废气非甲烷总烃0.0441t/a、氯化氢0.0126t/a、氯乙烯0.0063t/a，光氧装置+</w:t>
      </w:r>
      <w:r>
        <w:rPr>
          <w:rFonts w:hint="eastAsia" w:ascii="Times New Roman" w:hAnsi="Times New Roman" w:eastAsia="宋体" w:cs="Times New Roman"/>
          <w:color w:val="000000"/>
          <w:kern w:val="0"/>
          <w:sz w:val="24"/>
          <w:szCs w:val="24"/>
          <w:u w:color="000000"/>
        </w:rPr>
        <w:t>等离子设备</w:t>
      </w:r>
      <w:r>
        <w:rPr>
          <w:rFonts w:ascii="Times New Roman" w:hAnsi="Times New Roman" w:eastAsia="宋体" w:cs="Times New Roman"/>
          <w:color w:val="000000"/>
          <w:kern w:val="0"/>
          <w:sz w:val="24"/>
          <w:szCs w:val="24"/>
          <w:u w:color="000000"/>
        </w:rPr>
        <w:t>总处理效率为90%，风机风量为15000m</w:t>
      </w:r>
      <w:r>
        <w:rPr>
          <w:rFonts w:ascii="Times New Roman" w:hAnsi="Times New Roman" w:eastAsia="宋体" w:cs="Times New Roman"/>
          <w:color w:val="000000"/>
          <w:kern w:val="0"/>
          <w:sz w:val="24"/>
          <w:szCs w:val="24"/>
          <w:u w:color="000000"/>
          <w:vertAlign w:val="superscript"/>
        </w:rPr>
        <w:t>3</w:t>
      </w:r>
      <w:r>
        <w:rPr>
          <w:rFonts w:ascii="Times New Roman" w:hAnsi="Times New Roman" w:eastAsia="宋体" w:cs="Times New Roman"/>
          <w:color w:val="000000"/>
          <w:kern w:val="0"/>
          <w:sz w:val="24"/>
          <w:szCs w:val="24"/>
          <w:u w:color="000000"/>
        </w:rPr>
        <w:t>/h，则非甲烷总烃排放量为0.00441</w:t>
      </w:r>
      <w:r>
        <w:rPr>
          <w:rFonts w:ascii="Times New Roman" w:hAnsi="Times New Roman" w:eastAsia="宋体" w:cs="Times New Roman"/>
          <w:color w:val="000000"/>
          <w:kern w:val="24"/>
          <w:sz w:val="24"/>
          <w:szCs w:val="24"/>
          <w:u w:color="000000"/>
        </w:rPr>
        <w:t>t/a，排放速率为0.0018375kg/h，</w:t>
      </w:r>
      <w:r>
        <w:rPr>
          <w:rFonts w:ascii="Times New Roman" w:hAnsi="Times New Roman" w:eastAsia="宋体" w:cs="Times New Roman"/>
          <w:color w:val="000000"/>
          <w:kern w:val="0"/>
          <w:sz w:val="24"/>
          <w:szCs w:val="24"/>
          <w:u w:color="000000"/>
        </w:rPr>
        <w:t>排放浓度为0.1225mg/m</w:t>
      </w:r>
      <w:r>
        <w:rPr>
          <w:rFonts w:ascii="Times New Roman" w:hAnsi="Times New Roman" w:eastAsia="宋体" w:cs="Times New Roman"/>
          <w:color w:val="000000"/>
          <w:kern w:val="0"/>
          <w:sz w:val="24"/>
          <w:szCs w:val="24"/>
          <w:u w:color="000000"/>
          <w:vertAlign w:val="superscript"/>
        </w:rPr>
        <w:t>3</w:t>
      </w:r>
      <w:r>
        <w:rPr>
          <w:rFonts w:ascii="Times New Roman" w:hAnsi="Times New Roman" w:eastAsia="宋体" w:cs="Times New Roman"/>
          <w:color w:val="000000"/>
          <w:kern w:val="0"/>
          <w:sz w:val="24"/>
          <w:szCs w:val="24"/>
          <w:u w:color="000000"/>
        </w:rPr>
        <w:t>；氯化氢排放量为</w:t>
      </w:r>
      <w:r>
        <w:rPr>
          <w:rFonts w:ascii="Times New Roman" w:hAnsi="Times New Roman" w:eastAsia="宋体" w:cs="Times New Roman"/>
          <w:color w:val="000000"/>
          <w:kern w:val="24"/>
          <w:sz w:val="24"/>
          <w:szCs w:val="24"/>
          <w:u w:color="000000"/>
        </w:rPr>
        <w:t>0.00126t/a，排放速率为0.000525kg/h，</w:t>
      </w:r>
      <w:r>
        <w:rPr>
          <w:rFonts w:ascii="Times New Roman" w:hAnsi="Times New Roman" w:eastAsia="宋体" w:cs="Times New Roman"/>
          <w:color w:val="000000"/>
          <w:kern w:val="0"/>
          <w:sz w:val="24"/>
          <w:szCs w:val="24"/>
          <w:u w:color="000000"/>
        </w:rPr>
        <w:t>排放浓度为0.035mg/m</w:t>
      </w:r>
      <w:r>
        <w:rPr>
          <w:rFonts w:ascii="Times New Roman" w:hAnsi="Times New Roman" w:eastAsia="宋体" w:cs="Times New Roman"/>
          <w:color w:val="000000"/>
          <w:kern w:val="0"/>
          <w:sz w:val="24"/>
          <w:szCs w:val="24"/>
          <w:u w:color="000000"/>
          <w:vertAlign w:val="superscript"/>
        </w:rPr>
        <w:t>3</w:t>
      </w:r>
      <w:r>
        <w:rPr>
          <w:rFonts w:ascii="Times New Roman" w:hAnsi="Times New Roman" w:eastAsia="宋体" w:cs="Times New Roman"/>
          <w:color w:val="000000"/>
          <w:kern w:val="0"/>
          <w:sz w:val="24"/>
          <w:szCs w:val="24"/>
          <w:u w:color="000000"/>
        </w:rPr>
        <w:t>；氯乙烯排放量为</w:t>
      </w:r>
      <w:r>
        <w:rPr>
          <w:rFonts w:ascii="Times New Roman" w:hAnsi="Times New Roman" w:eastAsia="宋体" w:cs="Times New Roman"/>
          <w:color w:val="000000"/>
          <w:kern w:val="24"/>
          <w:sz w:val="24"/>
          <w:szCs w:val="24"/>
          <w:u w:color="000000"/>
        </w:rPr>
        <w:t>0.00063t/a，排放速率为0.002625kg/h，</w:t>
      </w:r>
      <w:r>
        <w:rPr>
          <w:rFonts w:ascii="Times New Roman" w:hAnsi="Times New Roman" w:eastAsia="宋体" w:cs="Times New Roman"/>
          <w:color w:val="000000"/>
          <w:kern w:val="0"/>
          <w:sz w:val="24"/>
          <w:szCs w:val="24"/>
          <w:u w:color="000000"/>
        </w:rPr>
        <w:t>排放浓度为0.0175mg/m</w:t>
      </w:r>
      <w:r>
        <w:rPr>
          <w:rFonts w:ascii="Times New Roman" w:hAnsi="Times New Roman" w:eastAsia="宋体" w:cs="Times New Roman"/>
          <w:color w:val="000000"/>
          <w:kern w:val="0"/>
          <w:sz w:val="24"/>
          <w:szCs w:val="24"/>
          <w:u w:color="000000"/>
          <w:vertAlign w:val="superscript"/>
        </w:rPr>
        <w:t>3</w:t>
      </w:r>
      <w:r>
        <w:rPr>
          <w:rFonts w:ascii="Times New Roman" w:hAnsi="Times New Roman" w:eastAsia="宋体" w:cs="Times New Roman"/>
          <w:color w:val="000000"/>
          <w:kern w:val="0"/>
          <w:sz w:val="24"/>
          <w:szCs w:val="24"/>
          <w:u w:color="000000"/>
        </w:rPr>
        <w:t>；非甲烷总烃、氯化氢、氯乙烯排放浓度满足《烧碱、聚氯乙烯工业污染物排放标准》（GB15581-2016）表4大气污染物特别排放浓度限值和4.2.8要求及《工业企业挥发性有机物排放控制标准》（DB13/2322-2016）表1有机化工业非甲烷总烃排放标准相关要求，对周围环境影响较小。</w:t>
      </w:r>
    </w:p>
    <w:p>
      <w:pPr>
        <w:widowControl/>
        <w:spacing w:line="360" w:lineRule="auto"/>
        <w:ind w:firstLine="480" w:firstLineChars="200"/>
        <w:textAlignment w:val="baseline"/>
        <w:rPr>
          <w:rFonts w:ascii="Times New Roman" w:hAnsi="Times New Roman" w:eastAsia="宋体" w:cs="Times New Roman"/>
          <w:color w:val="000000"/>
          <w:kern w:val="24"/>
          <w:sz w:val="24"/>
          <w:szCs w:val="24"/>
          <w:u w:color="000000"/>
        </w:rPr>
      </w:pPr>
      <w:r>
        <w:rPr>
          <w:rFonts w:ascii="Times New Roman" w:hAnsi="Times New Roman" w:eastAsia="宋体" w:cs="Times New Roman"/>
          <w:color w:val="000000"/>
          <w:kern w:val="24"/>
          <w:sz w:val="24"/>
          <w:szCs w:val="24"/>
          <w:u w:color="000000"/>
        </w:rPr>
        <w:t>未收集部分非甲烷总烃产生量为0.0049t/a，排放速率为0.00204kg/h；氯化氢产生量为0.0014t/a，排放速率为0.000583kg/h；氯乙烯产生量为0.0007t/a，排放速率为0.000292kg/h，无组织排放，经预测，非甲烷总烃厂界浓度满足《工业企业挥发性有机物排放控制标准》（DB13/2322-2016）表2其他企业非甲烷总烃排放标准相关要求</w:t>
      </w:r>
      <w:r>
        <w:rPr>
          <w:rFonts w:hint="eastAsia" w:ascii="Times New Roman" w:hAnsi="Times New Roman" w:eastAsia="宋体" w:cs="Times New Roman"/>
          <w:color w:val="000000"/>
          <w:kern w:val="24"/>
          <w:sz w:val="24"/>
          <w:szCs w:val="24"/>
          <w:u w:color="000000"/>
        </w:rPr>
        <w:t>及</w:t>
      </w:r>
      <w:r>
        <w:rPr>
          <w:rFonts w:ascii="Times New Roman" w:hAnsi="Times New Roman" w:eastAsia="宋体" w:cs="Times New Roman"/>
          <w:color w:val="000000"/>
          <w:kern w:val="24"/>
          <w:sz w:val="24"/>
          <w:szCs w:val="24"/>
          <w:u w:color="000000"/>
        </w:rPr>
        <w:t>《挥发性有机物无组织排放控制标准》（GB37822-2019）附录A厂区内VOCs无组织特别排放限值要求，氯化氢、氯乙烯满足《烧碱、聚氯乙烯工业污染物排放标准》（GB15581-2016）表5企业边界大气污染物浓度限值对周围环境影响较小。</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szCs w:val="24"/>
          <w:u w:color="000000"/>
          <w:lang w:val="en-US" w:eastAsia="zh-CN" w:bidi="ar-SA"/>
        </w:rPr>
      </w:pPr>
      <w:r>
        <w:rPr>
          <w:rFonts w:ascii="Times New Roman" w:hAnsi="Times New Roman" w:eastAsia="宋体" w:cs="Times New Roman"/>
          <w:color w:val="000000"/>
          <w:kern w:val="2"/>
          <w:sz w:val="24"/>
          <w:szCs w:val="24"/>
          <w:u w:color="000000"/>
          <w:lang w:val="en-US" w:eastAsia="zh-CN" w:bidi="ar-SA"/>
        </w:rPr>
        <w:t>3.2.2水环境影响评价结论</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bCs/>
          <w:color w:val="auto"/>
          <w:kern w:val="2"/>
          <w:sz w:val="24"/>
          <w:szCs w:val="24"/>
          <w:u w:color="000000"/>
        </w:rPr>
        <w:t>（1）地表水环境影响分析</w:t>
      </w:r>
    </w:p>
    <w:p>
      <w:pPr>
        <w:widowControl/>
        <w:adjustRightInd w:val="0"/>
        <w:snapToGrid w:val="0"/>
        <w:spacing w:line="360" w:lineRule="auto"/>
        <w:ind w:firstLine="468" w:firstLineChars="195"/>
        <w:textAlignment w:val="baseline"/>
        <w:rPr>
          <w:rFonts w:ascii="Times New Roman" w:hAnsi="Times New Roman" w:eastAsia="宋体" w:cs="Times New Roman"/>
          <w:color w:val="000000"/>
          <w:kern w:val="0"/>
          <w:sz w:val="24"/>
          <w:szCs w:val="20"/>
          <w:u w:color="000000"/>
        </w:rPr>
      </w:pPr>
      <w:r>
        <w:rPr>
          <w:rFonts w:ascii="Times New Roman" w:hAnsi="Times New Roman" w:eastAsia="宋体" w:cs="Times New Roman"/>
          <w:color w:val="000000"/>
          <w:kern w:val="0"/>
          <w:sz w:val="24"/>
          <w:szCs w:val="24"/>
          <w:u w:color="000000"/>
        </w:rPr>
        <w:t>根据工程分析，项目建成后，全厂无生产废水产生，冷却水循环使用，定期补充，不外排，产生的废水主要为职工生活污水，主要污染物为COD、SS和氨氮</w:t>
      </w:r>
      <w:r>
        <w:rPr>
          <w:rFonts w:ascii="Times New Roman" w:hAnsi="Times New Roman" w:eastAsia="宋体" w:cs="Times New Roman"/>
          <w:color w:val="auto"/>
          <w:kern w:val="0"/>
          <w:sz w:val="24"/>
          <w:szCs w:val="24"/>
          <w:u w:color="000000"/>
        </w:rPr>
        <w:t>，废水产生量为</w:t>
      </w:r>
      <w:r>
        <w:rPr>
          <w:rFonts w:hint="eastAsia" w:ascii="Times New Roman" w:hAnsi="Times New Roman" w:eastAsia="宋体" w:cs="Times New Roman"/>
          <w:color w:val="auto"/>
          <w:kern w:val="0"/>
          <w:sz w:val="24"/>
          <w:szCs w:val="24"/>
          <w:u w:color="000000"/>
        </w:rPr>
        <w:t>110.4</w:t>
      </w:r>
      <w:r>
        <w:rPr>
          <w:rFonts w:ascii="Times New Roman" w:hAnsi="Times New Roman" w:eastAsia="宋体" w:cs="Times New Roman"/>
          <w:color w:val="auto"/>
          <w:kern w:val="0"/>
          <w:sz w:val="24"/>
          <w:szCs w:val="24"/>
          <w:u w:color="000000"/>
        </w:rPr>
        <w:t>m</w:t>
      </w:r>
      <w:r>
        <w:rPr>
          <w:rFonts w:ascii="Times New Roman" w:hAnsi="Times New Roman" w:eastAsia="宋体" w:cs="Times New Roman"/>
          <w:color w:val="auto"/>
          <w:kern w:val="0"/>
          <w:sz w:val="24"/>
          <w:szCs w:val="24"/>
          <w:u w:color="000000"/>
          <w:vertAlign w:val="superscript"/>
        </w:rPr>
        <w:t>3</w:t>
      </w:r>
      <w:r>
        <w:rPr>
          <w:rFonts w:ascii="Times New Roman" w:hAnsi="Times New Roman" w:eastAsia="宋体" w:cs="Times New Roman"/>
          <w:color w:val="auto"/>
          <w:kern w:val="0"/>
          <w:sz w:val="24"/>
          <w:szCs w:val="24"/>
          <w:u w:color="000000"/>
        </w:rPr>
        <w:t>/a，</w:t>
      </w:r>
      <w:r>
        <w:rPr>
          <w:rFonts w:ascii="Times New Roman" w:hAnsi="Times New Roman" w:eastAsia="宋体" w:cs="Times New Roman"/>
          <w:color w:val="000000"/>
          <w:kern w:val="0"/>
          <w:sz w:val="24"/>
          <w:szCs w:val="24"/>
          <w:u w:color="000000"/>
        </w:rPr>
        <w:t>厂区设防渗旱厕，产生的生活污水排入旱厕，定期清掏，不外排</w:t>
      </w:r>
      <w:r>
        <w:rPr>
          <w:rFonts w:ascii="Times New Roman" w:hAnsi="Times New Roman" w:eastAsia="宋体" w:cs="Times New Roman"/>
          <w:color w:val="000000"/>
          <w:kern w:val="0"/>
          <w:sz w:val="24"/>
          <w:szCs w:val="20"/>
          <w:u w:color="000000"/>
        </w:rPr>
        <w:t>。综上，项目无废水外排，故无需进行地表水评价。项目建设不会对周围水环境产生影响。</w:t>
      </w:r>
    </w:p>
    <w:p>
      <w:pPr>
        <w:widowControl/>
        <w:adjustRightInd w:val="0"/>
        <w:snapToGrid w:val="0"/>
        <w:spacing w:line="360" w:lineRule="auto"/>
        <w:ind w:firstLine="480" w:firstLineChars="200"/>
        <w:textAlignment w:val="baseline"/>
        <w:rPr>
          <w:rFonts w:ascii="Times New Roman" w:hAnsi="Times New Roman" w:eastAsia="宋体" w:cs="Times New Roman"/>
          <w:bCs/>
          <w:color w:val="auto"/>
          <w:kern w:val="2"/>
          <w:sz w:val="24"/>
          <w:szCs w:val="24"/>
          <w:u w:color="000000"/>
        </w:rPr>
      </w:pPr>
      <w:r>
        <w:rPr>
          <w:rFonts w:ascii="Times New Roman" w:hAnsi="Times New Roman" w:eastAsia="宋体" w:cs="Times New Roman"/>
          <w:color w:val="auto"/>
          <w:kern w:val="0"/>
          <w:sz w:val="24"/>
          <w:szCs w:val="20"/>
          <w:u w:color="000000"/>
        </w:rPr>
        <w:t>（2）地下水环境影响分析</w:t>
      </w:r>
    </w:p>
    <w:p>
      <w:pPr>
        <w:widowControl/>
        <w:adjustRightInd w:val="0"/>
        <w:snapToGrid w:val="0"/>
        <w:spacing w:line="360" w:lineRule="auto"/>
        <w:ind w:firstLine="480" w:firstLineChars="200"/>
        <w:textAlignment w:val="baseline"/>
        <w:rPr>
          <w:rFonts w:ascii="Times New Roman" w:hAnsi="Times New Roman" w:eastAsia="宋体" w:cs="Times New Roman"/>
          <w:color w:val="000000"/>
          <w:kern w:val="0"/>
          <w:sz w:val="24"/>
          <w:szCs w:val="20"/>
          <w:u w:color="000000"/>
        </w:rPr>
      </w:pPr>
      <w:r>
        <w:rPr>
          <w:rFonts w:ascii="Times New Roman" w:hAnsi="Times New Roman" w:eastAsia="宋体" w:cs="Times New Roman"/>
          <w:color w:val="000000"/>
          <w:kern w:val="0"/>
          <w:sz w:val="24"/>
          <w:szCs w:val="20"/>
          <w:u w:color="000000"/>
        </w:rPr>
        <w:t>根据《环境影响评价技术导则-地下水环境》（HJ610-2016）中“附录A地下水环境影响评价行业分类表”，本项目属于“116、塑料制品制造”中“报告表”类别，属Ⅳ类建设项目，不需开展地下水环境影响评价。</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szCs w:val="24"/>
          <w:u w:color="000000"/>
          <w:lang w:val="en-US" w:eastAsia="zh-CN" w:bidi="ar-SA"/>
        </w:rPr>
      </w:pPr>
      <w:r>
        <w:rPr>
          <w:rFonts w:ascii="Times New Roman" w:hAnsi="Times New Roman" w:eastAsia="宋体" w:cs="Times New Roman"/>
          <w:color w:val="000000"/>
          <w:kern w:val="2"/>
          <w:sz w:val="24"/>
          <w:u w:color="000000"/>
          <w:lang w:val="en-US" w:eastAsia="zh-CN" w:bidi="ar-SA"/>
        </w:rPr>
        <w:t>因此，本项目不会对区域水环境产生明显影响。</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3.2.3固废环境影响评价结论</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szCs w:val="24"/>
          <w:u w:color="000000"/>
          <w:lang w:val="en-US" w:eastAsia="zh-CN" w:bidi="ar-SA"/>
        </w:rPr>
      </w:pPr>
      <w:r>
        <w:rPr>
          <w:rFonts w:hint="eastAsia" w:ascii="Times New Roman" w:hAnsi="Times New Roman" w:eastAsia="宋体" w:cs="Times New Roman"/>
          <w:color w:val="000000"/>
          <w:kern w:val="2"/>
          <w:sz w:val="24"/>
          <w:szCs w:val="24"/>
          <w:u w:color="000000"/>
          <w:lang w:val="en-US" w:eastAsia="zh-CN" w:bidi="ar-SA"/>
        </w:rPr>
        <w:t>注塑、成型（焊接、烫金）</w:t>
      </w:r>
      <w:r>
        <w:rPr>
          <w:rFonts w:ascii="Times New Roman" w:hAnsi="Times New Roman" w:eastAsia="宋体" w:cs="Times New Roman"/>
          <w:color w:val="000000"/>
          <w:kern w:val="2"/>
          <w:sz w:val="24"/>
          <w:szCs w:val="24"/>
          <w:u w:color="000000"/>
          <w:lang w:val="en-US" w:eastAsia="zh-CN" w:bidi="ar-SA"/>
        </w:rPr>
        <w:t>工序产生下脚料，收集后回用于生产工序；</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szCs w:val="24"/>
          <w:u w:color="000000"/>
          <w:lang w:val="en-US" w:eastAsia="zh-CN" w:bidi="ar-SA"/>
        </w:rPr>
      </w:pPr>
      <w:r>
        <w:rPr>
          <w:rFonts w:ascii="Times New Roman" w:hAnsi="Times New Roman" w:eastAsia="宋体" w:cs="Times New Roman"/>
          <w:color w:val="000000"/>
          <w:kern w:val="2"/>
          <w:sz w:val="24"/>
          <w:szCs w:val="24"/>
          <w:u w:color="000000"/>
          <w:lang w:val="en-US" w:eastAsia="zh-CN" w:bidi="ar-SA"/>
        </w:rPr>
        <w:t>厂区职工产生生活垃圾，收集后由环卫人员运至垃圾处理厂处理；</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综上所述，以上固废均得到有效处理与处置，对周围环境影响较小。</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3.2.4噪声环境影响评价结论</w:t>
      </w:r>
    </w:p>
    <w:p>
      <w:pPr>
        <w:widowControl/>
        <w:adjustRightInd w:val="0"/>
        <w:snapToGrid w:val="0"/>
        <w:spacing w:line="360" w:lineRule="auto"/>
        <w:ind w:firstLine="480" w:firstLineChars="200"/>
        <w:textAlignment w:val="baseline"/>
        <w:rPr>
          <w:rFonts w:ascii="Times New Roman" w:hAnsi="Times New Roman" w:eastAsia="宋体" w:cs="Times New Roman"/>
          <w:color w:val="auto"/>
          <w:kern w:val="0"/>
          <w:sz w:val="24"/>
          <w:szCs w:val="24"/>
          <w:u w:color="000000"/>
        </w:rPr>
      </w:pPr>
      <w:r>
        <w:rPr>
          <w:rFonts w:ascii="Times New Roman" w:hAnsi="Times New Roman" w:eastAsia="宋体" w:cs="Times New Roman"/>
          <w:color w:val="000000"/>
          <w:kern w:val="0"/>
          <w:sz w:val="24"/>
          <w:szCs w:val="24"/>
          <w:u w:color="000000"/>
        </w:rPr>
        <w:t>噪声主要是注塑机、拌料机、干燥机等设备</w:t>
      </w:r>
      <w:r>
        <w:rPr>
          <w:rFonts w:ascii="Times New Roman" w:hAnsi="Times New Roman" w:eastAsia="宋体" w:cs="Times New Roman"/>
          <w:color w:val="auto"/>
          <w:kern w:val="0"/>
          <w:sz w:val="24"/>
          <w:szCs w:val="24"/>
          <w:u w:color="000000"/>
        </w:rPr>
        <w:t>运转时产生的噪声，噪声值在70～90dB(A)。</w:t>
      </w:r>
      <w:r>
        <w:rPr>
          <w:rFonts w:ascii="Times New Roman" w:hAnsi="Times New Roman" w:eastAsia="宋体" w:cs="Times New Roman"/>
          <w:color w:val="000000"/>
          <w:kern w:val="0"/>
          <w:sz w:val="24"/>
          <w:szCs w:val="20"/>
          <w:u w:color="000000"/>
        </w:rPr>
        <w:t>采取生产设备合理布局、设置减振垫，厂房隔声等措施并经距离衰减后，项目厂界噪声符合《工业企业厂界环境噪声排放标准》（GB12348-2008）2类标准</w:t>
      </w:r>
      <w:r>
        <w:rPr>
          <w:rFonts w:hint="eastAsia" w:ascii="Times New Roman" w:hAnsi="Times New Roman" w:eastAsia="宋体" w:cs="Times New Roman"/>
          <w:color w:val="000000"/>
          <w:kern w:val="0"/>
          <w:sz w:val="24"/>
          <w:szCs w:val="20"/>
          <w:u w:color="000000"/>
        </w:rPr>
        <w:t>，项目可行。</w:t>
      </w:r>
    </w:p>
    <w:p>
      <w:pPr>
        <w:widowControl w:val="0"/>
        <w:adjustRightInd w:val="0"/>
        <w:snapToGrid w:val="0"/>
        <w:spacing w:line="360" w:lineRule="auto"/>
        <w:ind w:firstLine="535" w:firstLineChars="222"/>
        <w:jc w:val="left"/>
        <w:textAlignment w:val="auto"/>
        <w:rPr>
          <w:rFonts w:ascii="Times New Roman" w:hAnsi="Times New Roman" w:eastAsia="宋体" w:cs="Times New Roman"/>
          <w:b/>
          <w:color w:val="000000"/>
          <w:kern w:val="0"/>
          <w:sz w:val="24"/>
          <w:u w:color="000000"/>
          <w:lang w:val="en-US" w:eastAsia="zh-CN" w:bidi="ar-SA"/>
        </w:rPr>
      </w:pPr>
      <w:r>
        <w:rPr>
          <w:rFonts w:ascii="Times New Roman" w:hAnsi="Times New Roman" w:eastAsia="宋体" w:cs="Times New Roman"/>
          <w:b/>
          <w:color w:val="000000"/>
          <w:kern w:val="2"/>
          <w:sz w:val="24"/>
          <w:u w:color="000000"/>
          <w:lang w:val="en-US" w:eastAsia="zh-CN" w:bidi="ar-SA"/>
        </w:rPr>
        <w:t>4、</w:t>
      </w:r>
      <w:r>
        <w:rPr>
          <w:rFonts w:ascii="Times New Roman" w:hAnsi="Times New Roman" w:eastAsia="宋体" w:cs="Times New Roman"/>
          <w:b/>
          <w:color w:val="000000"/>
          <w:kern w:val="0"/>
          <w:sz w:val="24"/>
          <w:u w:color="000000"/>
          <w:lang w:val="en-US" w:eastAsia="zh-CN" w:bidi="ar-SA"/>
        </w:rPr>
        <w:t>清洁生产分析结论</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0"/>
          <w:u w:color="000000"/>
        </w:rPr>
      </w:pPr>
      <w:r>
        <w:rPr>
          <w:rFonts w:ascii="Times New Roman" w:hAnsi="Times New Roman" w:eastAsia="宋体" w:cs="Times New Roman"/>
          <w:color w:val="000000"/>
          <w:kern w:val="0"/>
          <w:sz w:val="24"/>
          <w:szCs w:val="20"/>
          <w:u w:color="000000"/>
        </w:rPr>
        <w:t>项目采用较为成熟的工艺及生产设备，原料相对环保，加热过程采用清洁的电能，污染物产生少并达标排放，资源得到充分利用，故本项目符合清洁生产要求。</w:t>
      </w:r>
    </w:p>
    <w:p>
      <w:pPr>
        <w:widowControl w:val="0"/>
        <w:adjustRightInd w:val="0"/>
        <w:snapToGrid w:val="0"/>
        <w:spacing w:line="360" w:lineRule="auto"/>
        <w:ind w:firstLine="535" w:firstLineChars="222"/>
        <w:jc w:val="left"/>
        <w:textAlignment w:val="auto"/>
        <w:rPr>
          <w:rFonts w:ascii="Times New Roman" w:hAnsi="Times New Roman" w:eastAsia="宋体" w:cs="Times New Roman"/>
          <w:b/>
          <w:color w:val="000000"/>
          <w:kern w:val="2"/>
          <w:sz w:val="24"/>
          <w:u w:color="000000"/>
          <w:lang w:val="en-US" w:eastAsia="zh-CN" w:bidi="ar-SA"/>
        </w:rPr>
      </w:pPr>
      <w:r>
        <w:rPr>
          <w:rFonts w:ascii="Times New Roman" w:hAnsi="Times New Roman" w:eastAsia="宋体" w:cs="Times New Roman"/>
          <w:b/>
          <w:color w:val="000000"/>
          <w:kern w:val="0"/>
          <w:sz w:val="24"/>
          <w:u w:color="000000"/>
          <w:lang w:val="en-US" w:eastAsia="zh-CN" w:bidi="ar-SA"/>
        </w:rPr>
        <w:t>5、污染物</w:t>
      </w:r>
      <w:r>
        <w:rPr>
          <w:rFonts w:ascii="Times New Roman" w:hAnsi="Times New Roman" w:eastAsia="宋体" w:cs="Times New Roman"/>
          <w:b/>
          <w:color w:val="000000"/>
          <w:kern w:val="2"/>
          <w:sz w:val="24"/>
          <w:u w:color="000000"/>
          <w:lang w:val="en-US" w:eastAsia="zh-CN" w:bidi="ar-SA"/>
        </w:rPr>
        <w:t>总量控制指标分析结论</w:t>
      </w:r>
    </w:p>
    <w:p>
      <w:pPr>
        <w:widowControl/>
        <w:adjustRightInd w:val="0"/>
        <w:snapToGrid w:val="0"/>
        <w:spacing w:line="360" w:lineRule="auto"/>
        <w:ind w:firstLine="532" w:firstLineChars="222"/>
        <w:jc w:val="left"/>
        <w:textAlignment w:val="baseline"/>
        <w:rPr>
          <w:rFonts w:ascii="Times New Roman" w:hAnsi="Times New Roman" w:eastAsia="宋体" w:cs="Times New Roman"/>
          <w:color w:val="000000"/>
          <w:kern w:val="0"/>
          <w:sz w:val="24"/>
          <w:szCs w:val="20"/>
          <w:u w:color="000000"/>
        </w:rPr>
      </w:pPr>
      <w:r>
        <w:rPr>
          <w:rFonts w:ascii="Times New Roman" w:hAnsi="Times New Roman" w:eastAsia="宋体" w:cs="Times New Roman"/>
          <w:color w:val="000000"/>
          <w:kern w:val="0"/>
          <w:sz w:val="24"/>
          <w:szCs w:val="20"/>
          <w:u w:color="000000"/>
        </w:rPr>
        <w:t>本评控制指标建议值为：COD：0t/a、NH</w:t>
      </w:r>
      <w:r>
        <w:rPr>
          <w:rFonts w:ascii="Times New Roman" w:hAnsi="Times New Roman" w:eastAsia="宋体" w:cs="Times New Roman"/>
          <w:color w:val="000000"/>
          <w:kern w:val="0"/>
          <w:sz w:val="24"/>
          <w:szCs w:val="20"/>
          <w:u w:color="000000"/>
          <w:vertAlign w:val="subscript"/>
        </w:rPr>
        <w:t>3</w:t>
      </w:r>
      <w:r>
        <w:rPr>
          <w:rFonts w:ascii="Times New Roman" w:hAnsi="Times New Roman" w:eastAsia="宋体" w:cs="Times New Roman"/>
          <w:color w:val="000000"/>
          <w:kern w:val="0"/>
          <w:sz w:val="24"/>
          <w:szCs w:val="20"/>
          <w:u w:color="000000"/>
        </w:rPr>
        <w:t>-N：0t/a、SO</w:t>
      </w:r>
      <w:r>
        <w:rPr>
          <w:rFonts w:ascii="Times New Roman" w:hAnsi="Times New Roman" w:eastAsia="宋体" w:cs="Times New Roman"/>
          <w:color w:val="000000"/>
          <w:kern w:val="0"/>
          <w:sz w:val="24"/>
          <w:szCs w:val="20"/>
          <w:u w:color="000000"/>
          <w:vertAlign w:val="subscript"/>
        </w:rPr>
        <w:t>2</w:t>
      </w:r>
      <w:r>
        <w:rPr>
          <w:rFonts w:ascii="Times New Roman" w:hAnsi="Times New Roman" w:eastAsia="宋体" w:cs="Times New Roman"/>
          <w:color w:val="000000"/>
          <w:kern w:val="0"/>
          <w:sz w:val="24"/>
          <w:szCs w:val="20"/>
          <w:u w:color="000000"/>
        </w:rPr>
        <w:t>：0t/a、NOx：0t/a</w:t>
      </w:r>
    </w:p>
    <w:p>
      <w:pPr>
        <w:widowControl/>
        <w:adjustRightInd w:val="0"/>
        <w:snapToGrid w:val="0"/>
        <w:spacing w:line="360" w:lineRule="auto"/>
        <w:ind w:firstLine="535" w:firstLineChars="222"/>
        <w:jc w:val="left"/>
        <w:textAlignment w:val="baseline"/>
        <w:rPr>
          <w:rFonts w:ascii="Times New Roman" w:hAnsi="Times New Roman" w:eastAsia="宋体" w:cs="Times New Roman"/>
          <w:b/>
          <w:color w:val="000000"/>
          <w:kern w:val="0"/>
          <w:sz w:val="24"/>
          <w:szCs w:val="20"/>
          <w:u w:color="000000"/>
        </w:rPr>
      </w:pPr>
      <w:r>
        <w:rPr>
          <w:rFonts w:ascii="Times New Roman" w:hAnsi="Times New Roman" w:eastAsia="宋体" w:cs="Times New Roman"/>
          <w:b/>
          <w:color w:val="000000"/>
          <w:kern w:val="0"/>
          <w:sz w:val="24"/>
          <w:szCs w:val="20"/>
          <w:u w:color="000000"/>
        </w:rPr>
        <w:t>6、项目实施前后环境质量变化情况</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0"/>
          <w:u w:color="000000"/>
        </w:rPr>
      </w:pPr>
      <w:r>
        <w:rPr>
          <w:rFonts w:ascii="Times New Roman" w:hAnsi="Times New Roman" w:eastAsia="宋体" w:cs="Times New Roman"/>
          <w:color w:val="000000"/>
          <w:kern w:val="0"/>
          <w:sz w:val="24"/>
          <w:szCs w:val="20"/>
          <w:u w:color="000000"/>
        </w:rPr>
        <w:t>项目各废气经有效的防治措施后均达标排放，经大气扩散后对周围大气环境影响较小，</w:t>
      </w:r>
      <w:r>
        <w:rPr>
          <w:rFonts w:ascii="Times New Roman" w:hAnsi="Times New Roman" w:eastAsia="宋体" w:cs="Times New Roman"/>
          <w:color w:val="auto"/>
          <w:kern w:val="0"/>
          <w:sz w:val="24"/>
          <w:szCs w:val="20"/>
          <w:u w:color="000000"/>
        </w:rPr>
        <w:t>项目所在区域环境</w:t>
      </w:r>
      <w:r>
        <w:rPr>
          <w:rFonts w:ascii="Times New Roman" w:hAnsi="Times New Roman" w:eastAsia="宋体" w:cs="Times New Roman"/>
          <w:color w:val="000000"/>
          <w:kern w:val="0"/>
          <w:sz w:val="24"/>
          <w:szCs w:val="20"/>
          <w:u w:color="000000"/>
        </w:rPr>
        <w:t>空气质量满足《环境空气质量标准》（GB3095-2012）及修改单表1中二级标准及</w:t>
      </w:r>
      <w:r>
        <w:rPr>
          <w:rFonts w:ascii="Times New Roman" w:hAnsi="Times New Roman" w:eastAsia="宋体" w:cs="Times New Roman"/>
          <w:color w:val="auto"/>
          <w:kern w:val="0"/>
          <w:sz w:val="24"/>
          <w:szCs w:val="24"/>
          <w:u w:color="000000"/>
        </w:rPr>
        <w:t>《环境空气质量非甲烷总烃限值》（DB13/1577-2012）表1中二级标准限值</w:t>
      </w:r>
      <w:r>
        <w:rPr>
          <w:rFonts w:ascii="Times New Roman" w:hAnsi="Times New Roman" w:eastAsia="宋体" w:cs="Times New Roman"/>
          <w:color w:val="000000"/>
          <w:kern w:val="0"/>
          <w:sz w:val="24"/>
          <w:szCs w:val="20"/>
          <w:u w:color="000000"/>
        </w:rPr>
        <w:t>，</w:t>
      </w:r>
      <w:r>
        <w:rPr>
          <w:rFonts w:ascii="Times New Roman" w:hAnsi="Times New Roman" w:eastAsia="宋体" w:cs="Times New Roman"/>
          <w:color w:val="auto"/>
          <w:kern w:val="0"/>
          <w:sz w:val="24"/>
          <w:szCs w:val="24"/>
          <w:u w:color="000000"/>
        </w:rPr>
        <w:t>氯化氢执行《环境影响评价技术导则大气环境》（HJ2.2-2018）附录D表D.1中限值，氯乙烯参考执行《大气污染物综合排放标准详解》中限值</w:t>
      </w:r>
      <w:r>
        <w:rPr>
          <w:rFonts w:ascii="Times New Roman" w:hAnsi="Times New Roman" w:eastAsia="宋体" w:cs="Times New Roman"/>
          <w:color w:val="auto"/>
          <w:spacing w:val="-4"/>
          <w:kern w:val="0"/>
          <w:sz w:val="24"/>
          <w:szCs w:val="24"/>
          <w:u w:color="000000"/>
        </w:rPr>
        <w:t>。</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0"/>
          <w:u w:color="000000"/>
        </w:rPr>
      </w:pPr>
      <w:r>
        <w:rPr>
          <w:rFonts w:ascii="Times New Roman" w:hAnsi="Times New Roman" w:eastAsia="宋体" w:cs="Times New Roman"/>
          <w:color w:val="000000"/>
          <w:kern w:val="0"/>
          <w:sz w:val="24"/>
          <w:szCs w:val="20"/>
          <w:u w:color="000000"/>
        </w:rPr>
        <w:t>项目采取有效的降噪措施后厂界噪声达标排放，对周围声环境影响较小，区域声环境质量达到《声环境质量标准》（GB3096-2008）中的2类标准。</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0"/>
          <w:u w:color="000000"/>
        </w:rPr>
      </w:pPr>
      <w:r>
        <w:rPr>
          <w:rFonts w:ascii="Times New Roman" w:hAnsi="Times New Roman" w:eastAsia="宋体" w:cs="Times New Roman"/>
          <w:color w:val="000000"/>
          <w:kern w:val="0"/>
          <w:sz w:val="24"/>
          <w:szCs w:val="24"/>
          <w:u w:color="000000"/>
        </w:rPr>
        <w:t>项目冷却水循环使用，不外排；</w:t>
      </w:r>
      <w:r>
        <w:rPr>
          <w:rFonts w:ascii="Times New Roman" w:hAnsi="Times New Roman" w:eastAsia="宋体" w:cs="Times New Roman"/>
          <w:color w:val="auto"/>
          <w:kern w:val="0"/>
          <w:sz w:val="24"/>
          <w:szCs w:val="24"/>
          <w:u w:color="000000"/>
        </w:rPr>
        <w:t>厂区设防渗旱厕，定期清掏，</w:t>
      </w:r>
      <w:r>
        <w:rPr>
          <w:rFonts w:ascii="Times New Roman" w:hAnsi="Times New Roman" w:eastAsia="宋体" w:cs="Times New Roman"/>
          <w:color w:val="000000"/>
          <w:kern w:val="0"/>
          <w:sz w:val="24"/>
          <w:szCs w:val="20"/>
          <w:u w:color="000000"/>
        </w:rPr>
        <w:t>不会对周围水环境造成影响。</w:t>
      </w:r>
    </w:p>
    <w:p>
      <w:pPr>
        <w:widowControl/>
        <w:adjustRightInd w:val="0"/>
        <w:snapToGrid w:val="0"/>
        <w:spacing w:line="360" w:lineRule="auto"/>
        <w:ind w:firstLine="480" w:firstLineChars="200"/>
        <w:jc w:val="left"/>
        <w:textAlignment w:val="baseline"/>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项目产生的固体废物得到合理处理处置，不会对周围环境造成影响。</w:t>
      </w:r>
    </w:p>
    <w:p>
      <w:pPr>
        <w:widowControl/>
        <w:adjustRightInd w:val="0"/>
        <w:snapToGrid w:val="0"/>
        <w:spacing w:line="360" w:lineRule="auto"/>
        <w:ind w:firstLine="482" w:firstLineChars="200"/>
        <w:jc w:val="left"/>
        <w:textAlignment w:val="baseline"/>
        <w:rPr>
          <w:rFonts w:ascii="Times New Roman" w:hAnsi="Times New Roman" w:eastAsia="宋体" w:cs="Times New Roman"/>
          <w:b/>
          <w:color w:val="000000"/>
          <w:kern w:val="0"/>
          <w:sz w:val="24"/>
          <w:szCs w:val="20"/>
          <w:u w:color="000000"/>
        </w:rPr>
      </w:pPr>
      <w:r>
        <w:rPr>
          <w:rFonts w:ascii="Times New Roman" w:hAnsi="Times New Roman" w:eastAsia="宋体" w:cs="Times New Roman"/>
          <w:b/>
          <w:color w:val="000000"/>
          <w:kern w:val="0"/>
          <w:sz w:val="24"/>
          <w:szCs w:val="20"/>
          <w:u w:color="000000"/>
        </w:rPr>
        <w:t>7、工程可行性结论</w:t>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ascii="Times New Roman" w:hAnsi="Times New Roman" w:eastAsia="宋体" w:cs="Times New Roman"/>
          <w:color w:val="000000"/>
          <w:kern w:val="0"/>
          <w:sz w:val="24"/>
          <w:szCs w:val="24"/>
          <w:u w:color="000000"/>
        </w:rPr>
      </w:pPr>
      <w:r>
        <w:rPr>
          <w:rFonts w:ascii="Times New Roman" w:hAnsi="Times New Roman" w:eastAsia="宋体" w:cs="Times New Roman"/>
          <w:color w:val="000000"/>
          <w:kern w:val="0"/>
          <w:sz w:val="24"/>
          <w:szCs w:val="24"/>
          <w:u w:color="000000"/>
        </w:rPr>
        <w:t>综上所述，项目的开发建设符合国家产业政策，符合土地利用规划，符合清洁生产要求。项目落实环评提出的各项环境保护对策和措施，加强环保管理，污染物都能做到达标排放，项目外排污染物对周围环境影响较小，区域环境质量能够维持现状。从环保角度分析，项目建设运营是可行的。</w:t>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4"/>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1、认真执行“三同时”制度，确保各项环保措施落到实处。</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2、加强设备管理及日常维护工作，保证环保设施的稳定运行。</w:t>
      </w:r>
    </w:p>
    <w:p>
      <w:pPr>
        <w:pStyle w:val="3"/>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5" w:name="_Toc13890"/>
      <w:bookmarkStart w:id="186" w:name="_Toc27551"/>
      <w:bookmarkStart w:id="187" w:name="_Toc16482"/>
      <w:bookmarkStart w:id="188" w:name="_Toc3545"/>
      <w:r>
        <w:rPr>
          <w:rFonts w:hint="default" w:ascii="Times New Roman" w:hAnsi="Times New Roman" w:eastAsia="宋体" w:cs="Times New Roman"/>
        </w:rPr>
        <w:t>4.2审批部门审批意见</w:t>
      </w:r>
      <w:bookmarkEnd w:id="185"/>
      <w:bookmarkEnd w:id="186"/>
      <w:bookmarkEnd w:id="187"/>
      <w:bookmarkEnd w:id="18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河北荣超环保科技有限公司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12</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沧县峰盛塑料制品厂塑料制品加工项目</w:t>
      </w:r>
      <w:r>
        <w:rPr>
          <w:rFonts w:hint="eastAsia" w:ascii="Times New Roman" w:hAnsi="Times New Roman" w:cs="Times New Roman"/>
          <w:kern w:val="0"/>
          <w:sz w:val="24"/>
          <w:szCs w:val="24"/>
          <w:lang w:val="en-US" w:eastAsia="zh-CN"/>
        </w:rPr>
        <w:t>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default" w:ascii="Times New Roman" w:hAnsi="Times New Roman" w:eastAsia="宋体" w:cs="Times New Roman"/>
          <w:sz w:val="24"/>
          <w:szCs w:val="24"/>
        </w:rPr>
        <w:t>20</w:t>
      </w:r>
      <w:r>
        <w:rPr>
          <w:rFonts w:hint="eastAsia" w:ascii="Times New Roman" w:hAnsi="Times New Roman" w:eastAsia="宋体" w:cs="Times New Roman"/>
          <w:sz w:val="24"/>
          <w:szCs w:val="24"/>
          <w:lang w:val="en-US" w:eastAsia="zh-CN"/>
        </w:rPr>
        <w:t>1</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27</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沧州市生态环境保护局沧县分局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沧县峰盛塑料制品厂塑料制品加工项目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pacing w:val="0"/>
          <w:kern w:val="0"/>
          <w:sz w:val="24"/>
          <w:szCs w:val="24"/>
          <w:lang w:val="en-US" w:eastAsia="zh-CN"/>
        </w:rPr>
        <w:t>沧县环评[2019]917号</w:t>
      </w:r>
    </w:p>
    <w:p>
      <w:pPr>
        <w:pStyle w:val="3"/>
        <w:rPr>
          <w:rFonts w:hint="default" w:ascii="Times New Roman" w:hAnsi="Times New Roman" w:eastAsia="宋体" w:cs="Times New Roman"/>
        </w:rPr>
      </w:pPr>
      <w:bookmarkStart w:id="189" w:name="_Toc21874"/>
      <w:bookmarkStart w:id="190" w:name="_Toc29925"/>
      <w:bookmarkStart w:id="191" w:name="_Toc2514"/>
      <w:bookmarkStart w:id="192" w:name="_Toc17668"/>
      <w:r>
        <w:rPr>
          <w:rFonts w:hint="default" w:ascii="Times New Roman" w:hAnsi="Times New Roman" w:eastAsia="宋体" w:cs="Times New Roman"/>
        </w:rPr>
        <w:t>4.3审批意见落实情况</w:t>
      </w:r>
      <w:bookmarkEnd w:id="189"/>
      <w:bookmarkEnd w:id="190"/>
      <w:bookmarkEnd w:id="191"/>
      <w:bookmarkEnd w:id="19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3" w:name="_Toc497001471"/>
      <w:r>
        <w:rPr>
          <w:rFonts w:hint="default" w:ascii="Times New Roman" w:hAnsi="Times New Roman" w:eastAsia="宋体" w:cs="Times New Roman"/>
          <w:sz w:val="24"/>
          <w:szCs w:val="24"/>
        </w:rPr>
        <w:t>审批意见落实情况详见下表4-1。</w:t>
      </w:r>
      <w:bookmarkEnd w:id="193"/>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19"/>
        <w:tblW w:w="87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2"/>
              <w:rPr>
                <w:rFonts w:hint="default" w:ascii="Times New Roman" w:hAnsi="Times New Roman" w:eastAsia="宋体" w:cs="Times New Roman"/>
                <w:b/>
                <w:bCs w:val="0"/>
                <w:spacing w:val="-10"/>
                <w:sz w:val="21"/>
                <w:szCs w:val="21"/>
              </w:rPr>
            </w:pPr>
            <w:bookmarkStart w:id="194"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沧县峰盛塑料制品厂</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w:t>
            </w:r>
            <w:r>
              <w:rPr>
                <w:rFonts w:hint="default" w:ascii="Times New Roman" w:hAnsi="Times New Roman" w:eastAsia="宋体" w:cs="Times New Roman"/>
                <w:spacing w:val="0"/>
                <w:kern w:val="0"/>
                <w:sz w:val="21"/>
                <w:szCs w:val="21"/>
                <w:lang w:val="en-US" w:eastAsia="zh-CN"/>
              </w:rPr>
              <w:t>河北省沧州市沧县薛官屯乡东秀女村</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sz w:val="21"/>
                <w:szCs w:val="21"/>
                <w:lang w:val="en-US" w:eastAsia="zh-CN"/>
              </w:rPr>
              <w:t>450</w:t>
            </w:r>
            <w:r>
              <w:rPr>
                <w:rFonts w:hint="eastAsia" w:ascii="Times New Roman" w:hAnsi="Times New Roman" w:cs="Times New Roman"/>
                <w:sz w:val="21"/>
                <w:szCs w:val="21"/>
                <w:lang w:val="zh-CN" w:eastAsia="zh-CN"/>
              </w:rPr>
              <w:t>万元，其中环保投资</w:t>
            </w:r>
            <w:r>
              <w:rPr>
                <w:rFonts w:hint="eastAsia" w:ascii="Times New Roman" w:hAnsi="Times New Roman" w:cs="Times New Roman"/>
                <w:sz w:val="21"/>
                <w:szCs w:val="21"/>
                <w:lang w:val="en-US" w:eastAsia="zh-CN"/>
              </w:rPr>
              <w:t>10</w:t>
            </w:r>
            <w:r>
              <w:rPr>
                <w:rFonts w:hint="eastAsia" w:ascii="Times New Roman" w:hAnsi="Times New Roman" w:cs="Times New Roman"/>
                <w:sz w:val="21"/>
                <w:szCs w:val="21"/>
                <w:lang w:val="zh-CN" w:eastAsia="zh-CN"/>
              </w:rPr>
              <w:t>万元，占地面积</w:t>
            </w:r>
            <w:r>
              <w:rPr>
                <w:rFonts w:hint="eastAsia" w:ascii="Times New Roman" w:hAnsi="Times New Roman" w:cs="Times New Roman"/>
                <w:sz w:val="21"/>
                <w:szCs w:val="21"/>
                <w:lang w:val="en-US" w:eastAsia="zh-CN"/>
              </w:rPr>
              <w:t>1500</w:t>
            </w:r>
            <w:r>
              <w:rPr>
                <w:rFonts w:hint="eastAsia" w:ascii="Times New Roman" w:hAnsi="Times New Roman" w:cs="Times New Roman"/>
                <w:sz w:val="21"/>
                <w:szCs w:val="21"/>
                <w:lang w:val="zh-CN" w:eastAsia="zh-CN"/>
              </w:rPr>
              <w:t>平方米，年产1000万件自行车把套、自行车反射器</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zh-CN" w:eastAsia="zh-CN"/>
              </w:rPr>
              <w:t>废气</w:t>
            </w:r>
            <w:r>
              <w:rPr>
                <w:rFonts w:hint="eastAsia" w:ascii="Times New Roman" w:hAnsi="Times New Roman" w:cs="Times New Roman"/>
                <w:sz w:val="21"/>
                <w:szCs w:val="21"/>
                <w:lang w:val="zh-CN" w:eastAsia="zh-CN"/>
              </w:rPr>
              <w:t>：</w:t>
            </w:r>
            <w:r>
              <w:rPr>
                <w:rFonts w:hint="eastAsia" w:ascii="Times New Roman" w:hAnsi="Times New Roman" w:eastAsia="宋体" w:cs="Times New Roman"/>
                <w:sz w:val="21"/>
                <w:szCs w:val="21"/>
                <w:lang w:val="zh-CN" w:eastAsia="zh-CN"/>
              </w:rPr>
              <w:t>注塑、成型(焊接、烫金)工序，废气经集气罩收集后经“光氧等离子设备</w:t>
            </w:r>
            <w:r>
              <w:rPr>
                <w:rFonts w:hint="eastAsia" w:ascii="Times New Roman" w:hAnsi="Times New Roman" w:cs="Times New Roman"/>
                <w:sz w:val="21"/>
                <w:szCs w:val="21"/>
                <w:lang w:val="en-US" w:eastAsia="zh-CN"/>
              </w:rPr>
              <w:t>一</w:t>
            </w:r>
            <w:r>
              <w:rPr>
                <w:rFonts w:hint="eastAsia" w:ascii="Times New Roman" w:hAnsi="Times New Roman" w:eastAsia="宋体" w:cs="Times New Roman"/>
                <w:sz w:val="21"/>
                <w:szCs w:val="21"/>
                <w:lang w:val="zh-CN" w:eastAsia="zh-CN"/>
              </w:rPr>
              <w:t>体机”处理后经1根15m高排气简排放，非甲烷总烃、氯化氢、氯乙烯排放浓度满足《烧碱、聚氯乙烯工业污染物排放标准》(GB15581-2016)表4大气污染物特别排放浓度限值和4.2.8要求及《工业企业挥发性有机物排放控制标准》(DB13/2322</w:t>
            </w:r>
            <w:r>
              <w:rPr>
                <w:rFonts w:hint="eastAsia" w:ascii="Times New Roman" w:hAnsi="Times New Roman" w:cs="Times New Roman"/>
                <w:sz w:val="21"/>
                <w:szCs w:val="21"/>
                <w:lang w:val="en-US" w:eastAsia="zh-CN"/>
              </w:rPr>
              <w:t>-</w:t>
            </w:r>
            <w:r>
              <w:rPr>
                <w:rFonts w:hint="eastAsia" w:ascii="Times New Roman" w:hAnsi="Times New Roman" w:eastAsia="宋体" w:cs="Times New Roman"/>
                <w:sz w:val="21"/>
                <w:szCs w:val="21"/>
                <w:lang w:val="zh-CN" w:eastAsia="zh-CN"/>
              </w:rPr>
              <w:t>2016)表1有机化工业非甲烷总烃排放标准相关要求，未收集部分废气无组织排放，非甲烷总烃厂界浓度满足《工业企业挥发性有机物排放控制标准》(DB13/2322</w:t>
            </w:r>
            <w:r>
              <w:rPr>
                <w:rFonts w:hint="eastAsia" w:ascii="Times New Roman" w:hAnsi="Times New Roman" w:cs="Times New Roman"/>
                <w:sz w:val="21"/>
                <w:szCs w:val="21"/>
                <w:lang w:val="en-US" w:eastAsia="zh-CN"/>
              </w:rPr>
              <w:t>-</w:t>
            </w:r>
            <w:r>
              <w:rPr>
                <w:rFonts w:hint="eastAsia" w:ascii="Times New Roman" w:hAnsi="Times New Roman" w:eastAsia="宋体" w:cs="Times New Roman"/>
                <w:sz w:val="21"/>
                <w:szCs w:val="21"/>
                <w:lang w:val="zh-CN" w:eastAsia="zh-CN"/>
              </w:rPr>
              <w:t>2016)表2其他企业非甲烷总烃排放标准相关要求及《挥发性有机物无组织排放控制标准》(GB37822-2019)附录A厂区内VOCs无组织特别排放限值要求，氯化氢、氯乙烯满足《烧碱、聚氯乙烯工业污染物排放标准》(GB15581-2016)表5企业边界大气污染物浓度限值。</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焊接、烫金工序未建设其余落实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废水:项目建成后，全厂无生产废水产生，冷却水循环使用，定期补充，不外排，产生的废水主要为职工生活污水，厂区设防渗旱厕，产生的生活污水排入旱厕，定期清掏，不外排。</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固废：注塑、成型(焊接、烫金)工序产生下脚料，收集后回用于生产工序；厂区职工产生生活垃圾，收集后由环卫人员运至垃圾处理厂处理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5"/>
              <w:ind w:left="0" w:leftChars="0" w:firstLine="0" w:firstLineChars="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噪声主要是注塑机、拌料机、干燥机等设备运转时产生的噪声，采取生产设备合理布局、设置减振垫，厂房隔声等措施并经距离衰减后，项目厂界噪声符合《工业企业厂界环境噪声排放标准》(GB12348-2008)2类标准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5" w:name="_Toc26718"/>
      <w:bookmarkStart w:id="196" w:name="_Toc21101"/>
      <w:bookmarkStart w:id="197" w:name="_Toc5137"/>
      <w:r>
        <w:rPr>
          <w:rFonts w:hint="default" w:ascii="Times New Roman" w:hAnsi="Times New Roman" w:eastAsia="宋体" w:cs="Times New Roman"/>
        </w:rPr>
        <w:br w:type="page"/>
      </w:r>
    </w:p>
    <w:p>
      <w:pPr>
        <w:pStyle w:val="2"/>
        <w:rPr>
          <w:rFonts w:hint="default" w:ascii="Times New Roman" w:hAnsi="Times New Roman" w:eastAsia="宋体" w:cs="Times New Roman"/>
        </w:rPr>
      </w:pPr>
      <w:r>
        <w:rPr>
          <w:rFonts w:hint="default" w:ascii="Times New Roman" w:hAnsi="Times New Roman" w:eastAsia="宋体" w:cs="Times New Roman"/>
        </w:rPr>
        <w:t>5验收评价标准</w:t>
      </w:r>
      <w:bookmarkEnd w:id="194"/>
      <w:bookmarkEnd w:id="195"/>
      <w:bookmarkEnd w:id="196"/>
      <w:bookmarkEnd w:id="197"/>
    </w:p>
    <w:p>
      <w:pPr>
        <w:pStyle w:val="3"/>
        <w:rPr>
          <w:rFonts w:hint="default" w:ascii="Times New Roman" w:hAnsi="Times New Roman" w:eastAsia="宋体" w:cs="Times New Roman"/>
        </w:rPr>
      </w:pPr>
      <w:bookmarkStart w:id="198" w:name="_Toc26520"/>
      <w:bookmarkStart w:id="199" w:name="_Toc14578"/>
      <w:bookmarkStart w:id="200" w:name="_Toc24574"/>
      <w:bookmarkStart w:id="201" w:name="_Toc21113"/>
      <w:r>
        <w:rPr>
          <w:rFonts w:hint="default" w:ascii="Times New Roman" w:hAnsi="Times New Roman" w:eastAsia="宋体" w:cs="Times New Roman"/>
        </w:rPr>
        <w:t>5.1污染物排放标准</w:t>
      </w:r>
      <w:bookmarkEnd w:id="198"/>
      <w:bookmarkEnd w:id="199"/>
      <w:bookmarkEnd w:id="200"/>
      <w:bookmarkEnd w:id="201"/>
    </w:p>
    <w:p>
      <w:pPr>
        <w:pStyle w:val="4"/>
        <w:rPr>
          <w:rFonts w:hint="default" w:ascii="Times New Roman" w:hAnsi="Times New Roman" w:eastAsia="宋体" w:cs="Times New Roman"/>
        </w:rPr>
      </w:pPr>
      <w:bookmarkStart w:id="202" w:name="_Toc496979035"/>
      <w:bookmarkStart w:id="203" w:name="_Toc497001474"/>
      <w:bookmarkStart w:id="204" w:name="_Toc14938"/>
      <w:bookmarkStart w:id="205" w:name="_Toc23230"/>
      <w:bookmarkStart w:id="206" w:name="_Toc8485"/>
      <w:bookmarkStart w:id="207" w:name="_Toc11116"/>
      <w:r>
        <w:rPr>
          <w:rFonts w:hint="default" w:ascii="Times New Roman" w:hAnsi="Times New Roman" w:eastAsia="宋体" w:cs="Times New Roman"/>
        </w:rPr>
        <w:t>5.1.1</w:t>
      </w:r>
      <w:bookmarkEnd w:id="202"/>
      <w:bookmarkEnd w:id="203"/>
      <w:r>
        <w:rPr>
          <w:rFonts w:hint="default" w:ascii="Times New Roman" w:hAnsi="Times New Roman" w:eastAsia="宋体" w:cs="Times New Roman"/>
        </w:rPr>
        <w:t>废气</w:t>
      </w:r>
      <w:bookmarkEnd w:id="204"/>
      <w:bookmarkEnd w:id="205"/>
      <w:bookmarkEnd w:id="206"/>
      <w:bookmarkEnd w:id="207"/>
    </w:p>
    <w:p>
      <w:pPr>
        <w:pStyle w:val="4"/>
        <w:ind w:firstLine="480" w:firstLineChars="200"/>
        <w:rPr>
          <w:rFonts w:hint="eastAsia" w:ascii="Times New Roman" w:hAnsi="Times New Roman" w:eastAsia="宋体" w:cs="Times New Roman"/>
          <w:lang w:eastAsia="zh-CN"/>
        </w:rPr>
      </w:pPr>
      <w:bookmarkStart w:id="208" w:name="_Toc29236"/>
      <w:bookmarkStart w:id="209" w:name="_Toc29912"/>
      <w:bookmarkStart w:id="210" w:name="_Toc15961"/>
      <w:r>
        <w:rPr>
          <w:rFonts w:hint="eastAsia" w:ascii="Times New Roman" w:hAnsi="Times New Roman" w:eastAsia="宋体" w:cs="Times New Roman"/>
          <w:lang w:eastAsia="zh-CN"/>
        </w:rPr>
        <w:t>废气执行标准见表</w:t>
      </w:r>
      <w:r>
        <w:rPr>
          <w:rFonts w:hint="eastAsia" w:ascii="Times New Roman" w:hAnsi="Times New Roman" w:eastAsia="宋体" w:cs="Times New Roman"/>
          <w:lang w:val="en-US" w:eastAsia="zh-CN"/>
        </w:rPr>
        <w:t>5-1。</w:t>
      </w:r>
      <w:bookmarkEnd w:id="208"/>
      <w:bookmarkEnd w:id="209"/>
      <w:bookmarkEnd w:id="210"/>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表5-1废气执行标准</w:t>
      </w:r>
    </w:p>
    <w:tbl>
      <w:tblPr>
        <w:tblStyle w:val="19"/>
        <w:tblW w:w="8507" w:type="dxa"/>
        <w:jc w:val="center"/>
        <w:tblInd w:w="-2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95"/>
        <w:gridCol w:w="2627"/>
        <w:gridCol w:w="4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spacing w:line="240" w:lineRule="atLeast"/>
              <w:jc w:val="center"/>
              <w:rPr>
                <w:rFonts w:hint="default" w:ascii="Times New Roman" w:hAnsi="Times New Roman" w:eastAsia="宋体" w:cs="Times New Roman"/>
                <w:b/>
                <w:bCs w:val="0"/>
                <w:color w:val="auto"/>
                <w:spacing w:val="-10"/>
                <w:sz w:val="21"/>
                <w:szCs w:val="21"/>
              </w:rPr>
            </w:pPr>
            <w:r>
              <w:rPr>
                <w:rFonts w:hint="eastAsia" w:ascii="Times New Roman" w:hAnsi="Times New Roman" w:eastAsia="宋体" w:cs="Times New Roman"/>
                <w:b/>
                <w:bCs w:val="0"/>
                <w:color w:val="auto"/>
                <w:spacing w:val="-10"/>
                <w:sz w:val="21"/>
                <w:szCs w:val="21"/>
                <w:lang w:eastAsia="zh-CN"/>
              </w:rPr>
              <w:t>污染</w:t>
            </w:r>
            <w:r>
              <w:rPr>
                <w:rFonts w:hint="default" w:ascii="Times New Roman" w:hAnsi="Times New Roman" w:eastAsia="宋体" w:cs="Times New Roman"/>
                <w:b/>
                <w:bCs w:val="0"/>
                <w:color w:val="auto"/>
                <w:spacing w:val="-10"/>
                <w:sz w:val="21"/>
                <w:szCs w:val="21"/>
              </w:rPr>
              <w:t>源</w:t>
            </w:r>
          </w:p>
        </w:tc>
        <w:tc>
          <w:tcPr>
            <w:tcW w:w="2627"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rPr>
            </w:pPr>
            <w:r>
              <w:rPr>
                <w:rFonts w:hint="default" w:ascii="Times New Roman" w:hAnsi="Times New Roman" w:eastAsia="宋体" w:cs="Times New Roman"/>
                <w:b/>
                <w:bCs w:val="0"/>
                <w:color w:val="auto"/>
                <w:sz w:val="21"/>
                <w:szCs w:val="21"/>
              </w:rPr>
              <w:t>标准值</w:t>
            </w:r>
          </w:p>
        </w:tc>
        <w:tc>
          <w:tcPr>
            <w:tcW w:w="428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lang w:eastAsia="zh-CN"/>
              </w:rPr>
            </w:pPr>
            <w:r>
              <w:rPr>
                <w:rFonts w:hint="default" w:ascii="Times New Roman" w:hAnsi="Times New Roman" w:eastAsia="宋体" w:cs="Times New Roman"/>
                <w:b/>
                <w:bCs w:val="0"/>
                <w:color w:val="auto"/>
                <w:sz w:val="21"/>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14" w:hRule="atLeast"/>
          <w:jc w:val="center"/>
        </w:trPr>
        <w:tc>
          <w:tcPr>
            <w:tcW w:w="15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eastAsia="zh-CN"/>
              </w:rPr>
              <w:t>注塑成型工序</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非甲烷总烃：最高允许排放浓度：20mg/m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最低去除效率90%</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sz w:val="21"/>
                <w:szCs w:val="21"/>
                <w:lang w:val="en-US" w:eastAsia="zh-CN"/>
              </w:rPr>
            </w:pPr>
            <w:r>
              <w:rPr>
                <w:rFonts w:hint="eastAsia" w:ascii="Times New Roman" w:hAnsi="Times New Roman"/>
                <w:b w:val="0"/>
                <w:bCs/>
                <w:color w:val="auto"/>
                <w:sz w:val="21"/>
                <w:szCs w:val="21"/>
                <w:lang w:val="en-US" w:eastAsia="zh-CN"/>
              </w:rPr>
              <w:t>《烧碱、聚氯乙烯工业污染物排放标准》（GB15581-2016）表4大气污染物特别排放浓度限值和4.2.8要求及《工业企业挥发性有机物排放控制标准》（DB13/2322-2016）表1有机化工业最低去除率要求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99" w:hRule="atLeast"/>
          <w:jc w:val="center"/>
        </w:trPr>
        <w:tc>
          <w:tcPr>
            <w:tcW w:w="15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eastAsia="zh-CN"/>
              </w:rPr>
            </w:pP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氯化氢：最高允许排放浓度：20mg/m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《烧碱、聚氯乙烯工业污染物排放标准》（GB15581-2016）表4大气污染物特别排放浓度限值和4.2.8要求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27" w:hRule="atLeast"/>
          <w:jc w:val="center"/>
        </w:trPr>
        <w:tc>
          <w:tcPr>
            <w:tcW w:w="15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eastAsia="zh-CN"/>
              </w:rPr>
            </w:pP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氯乙烯最高允许排放浓度：10mg/m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《烧碱、聚氯乙烯工业污染物排放标准》（GB15581-2016）表4大气污染物特别排放浓度限值和4.2.8要求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27" w:hRule="atLeast"/>
          <w:jc w:val="center"/>
        </w:trPr>
        <w:tc>
          <w:tcPr>
            <w:tcW w:w="1595" w:type="dxa"/>
            <w:vMerge w:val="restart"/>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eastAsia="zh-CN"/>
              </w:rPr>
              <w:t>厂界无组织废气</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非甲烷总烃：边界浓度限值：2.0mg/m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《工业企业挥发性有机物排放标准》（DB13/2322-2016）表2中排放标准限值及《挥发性有机物无组织排放控制标准》（GB37822-2019）附录A厂区内VOCs无组织特别排放限值要求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27" w:hRule="atLeast"/>
          <w:jc w:val="center"/>
        </w:trPr>
        <w:tc>
          <w:tcPr>
            <w:tcW w:w="15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eastAsia="zh-CN"/>
              </w:rPr>
            </w:pP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氯化氢：企业边界浓度限值：0.2mg/m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《烧碱、聚氯乙烯工业污染物排放标准》（GB15581-2016）表5企业边界大气污染物浓度限值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27" w:hRule="atLeast"/>
          <w:jc w:val="center"/>
        </w:trPr>
        <w:tc>
          <w:tcPr>
            <w:tcW w:w="15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eastAsia="zh-CN"/>
              </w:rPr>
            </w:pP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氯乙烯企业边界浓度限值：0.15mg/m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《烧碱、聚氯乙烯工业污染物排放标准》（GB15581-2016）表5企业边界大气污染物浓度限值</w:t>
            </w:r>
          </w:p>
        </w:tc>
      </w:tr>
    </w:tbl>
    <w:p>
      <w:pPr>
        <w:pStyle w:val="4"/>
        <w:rPr>
          <w:rFonts w:hint="default" w:ascii="Times New Roman" w:hAnsi="Times New Roman" w:eastAsia="宋体" w:cs="Times New Roman"/>
        </w:rPr>
      </w:pPr>
      <w:bookmarkStart w:id="211" w:name="_Toc5747"/>
      <w:bookmarkStart w:id="212" w:name="_Toc497001476"/>
      <w:bookmarkStart w:id="213" w:name="_Toc12396"/>
      <w:bookmarkStart w:id="214" w:name="_Toc496979037"/>
      <w:bookmarkStart w:id="215" w:name="_Toc27196"/>
      <w:bookmarkStart w:id="216" w:name="_Toc20210"/>
      <w:r>
        <w:rPr>
          <w:rFonts w:hint="default" w:ascii="Times New Roman" w:hAnsi="Times New Roman" w:eastAsia="宋体" w:cs="Times New Roman"/>
        </w:rPr>
        <w:t>5.1.2噪声</w:t>
      </w:r>
      <w:bookmarkEnd w:id="211"/>
      <w:bookmarkEnd w:id="212"/>
      <w:bookmarkEnd w:id="213"/>
      <w:bookmarkEnd w:id="214"/>
      <w:bookmarkEnd w:id="215"/>
      <w:bookmarkEnd w:id="216"/>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类、4类</w:t>
      </w:r>
      <w:r>
        <w:rPr>
          <w:rFonts w:hint="default" w:ascii="Times New Roman" w:hAnsi="Times New Roman" w:eastAsia="宋体" w:cs="Times New Roman"/>
          <w:sz w:val="24"/>
          <w:szCs w:val="24"/>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1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590" w:type="dxa"/>
            <w:vAlign w:val="center"/>
          </w:tcPr>
          <w:p>
            <w:pPr>
              <w:pStyle w:val="14"/>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3"/>
        <w:rPr>
          <w:rFonts w:ascii="Times New Roman" w:hAnsi="Times New Roman" w:eastAsia="宋体"/>
        </w:rPr>
      </w:pPr>
      <w:bookmarkStart w:id="217" w:name="_Toc18932"/>
      <w:bookmarkStart w:id="218" w:name="_Toc497001478"/>
      <w:bookmarkStart w:id="219" w:name="_Toc14398"/>
      <w:bookmarkStart w:id="220" w:name="_Toc16968"/>
      <w:bookmarkStart w:id="221" w:name="_Toc26833"/>
      <w:r>
        <w:rPr>
          <w:rFonts w:hint="default" w:ascii="Times New Roman" w:hAnsi="Times New Roman" w:eastAsia="宋体" w:cs="Times New Roman"/>
        </w:rPr>
        <w:t>5.2</w:t>
      </w:r>
      <w:r>
        <w:rPr>
          <w:rFonts w:hint="eastAsia" w:ascii="Times New Roman" w:hAnsi="Times New Roman" w:eastAsia="宋体"/>
        </w:rPr>
        <w:t>总量控制指标</w:t>
      </w:r>
      <w:bookmarkEnd w:id="217"/>
      <w:bookmarkEnd w:id="218"/>
      <w:bookmarkEnd w:id="219"/>
      <w:bookmarkEnd w:id="220"/>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r>
        <w:rPr>
          <w:rFonts w:hint="eastAsia" w:ascii="Times New Roman" w:hAnsi="Times New Roman"/>
          <w:sz w:val="24"/>
          <w:lang w:eastAsia="zh-CN"/>
        </w:rPr>
        <w:t>。</w:t>
      </w:r>
    </w:p>
    <w:p>
      <w:pPr>
        <w:pStyle w:val="2"/>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2"/>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22" w:name="_Toc15883"/>
      <w:bookmarkStart w:id="223" w:name="_Toc12999"/>
      <w:bookmarkStart w:id="224" w:name="_Toc23350"/>
      <w:r>
        <w:rPr>
          <w:rFonts w:hint="default" w:ascii="Times New Roman" w:hAnsi="Times New Roman" w:eastAsia="宋体" w:cs="Times New Roman"/>
        </w:rPr>
        <w:t>6质量保障措施和检测分析方法</w:t>
      </w:r>
      <w:bookmarkEnd w:id="221"/>
      <w:bookmarkEnd w:id="222"/>
      <w:bookmarkEnd w:id="223"/>
      <w:bookmarkEnd w:id="224"/>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河北中寰检测服务有限公司</w:t>
      </w:r>
      <w:r>
        <w:rPr>
          <w:rFonts w:hint="default" w:ascii="Times New Roman" w:hAnsi="Times New Roman" w:eastAsia="宋体" w:cs="Times New Roman"/>
          <w:sz w:val="24"/>
          <w:szCs w:val="24"/>
          <w:highlight w:val="none"/>
        </w:rPr>
        <w:t>于</w:t>
      </w:r>
      <w:r>
        <w:rPr>
          <w:rFonts w:hint="eastAsia" w:ascii="Times New Roman" w:hAnsi="Times New Roman" w:cs="Times New Roman"/>
          <w:sz w:val="24"/>
          <w:szCs w:val="24"/>
          <w:highlight w:val="none"/>
          <w:lang w:val="en-US" w:eastAsia="zh-CN"/>
        </w:rPr>
        <w:t>2020</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3</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31</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4月1</w:t>
      </w:r>
      <w:r>
        <w:rPr>
          <w:rFonts w:hint="default" w:ascii="Times New Roman" w:hAnsi="Times New Roman" w:eastAsia="宋体" w:cs="Times New Roman"/>
          <w:sz w:val="24"/>
          <w:szCs w:val="24"/>
          <w:highlight w:val="none"/>
        </w:rPr>
        <w:t>日进行了竣工验收检测并出具检测报告。监测期间，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5" w:name="_Toc11783"/>
      <w:bookmarkStart w:id="226" w:name="_Toc3129"/>
      <w:bookmarkStart w:id="227" w:name="_Toc28206"/>
      <w:bookmarkStart w:id="228" w:name="_Toc18061"/>
      <w:r>
        <w:rPr>
          <w:rFonts w:hint="default" w:ascii="Times New Roman" w:hAnsi="Times New Roman" w:eastAsia="宋体" w:cs="Times New Roman"/>
        </w:rPr>
        <w:t>6.1质量保障体系</w:t>
      </w:r>
      <w:bookmarkEnd w:id="225"/>
      <w:bookmarkEnd w:id="226"/>
      <w:bookmarkEnd w:id="227"/>
      <w:bookmarkEnd w:id="228"/>
    </w:p>
    <w:p>
      <w:pPr>
        <w:spacing w:line="440" w:lineRule="atLeast"/>
        <w:ind w:firstLine="480" w:firstLineChars="200"/>
        <w:rPr>
          <w:rFonts w:hint="default" w:ascii="Times New Roman" w:hAnsi="Times New Roman" w:eastAsia="宋体" w:cs="Times New Roman"/>
          <w:sz w:val="24"/>
        </w:rPr>
      </w:pPr>
      <w:bookmarkStart w:id="229"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5</w:t>
      </w:r>
      <w:r>
        <w:rPr>
          <w:rFonts w:hint="default" w:ascii="Times New Roman" w:hAnsi="Times New Roman" w:eastAsia="宋体" w:cs="Times New Roman"/>
          <w:sz w:val="24"/>
        </w:rPr>
        <w:t>）检测数据严格执行三级审核制度。</w:t>
      </w:r>
      <w:bookmarkEnd w:id="229"/>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30" w:name="_Toc3676"/>
      <w:bookmarkStart w:id="231" w:name="_Toc32733"/>
      <w:bookmarkStart w:id="232" w:name="_Toc8128"/>
      <w:bookmarkStart w:id="233" w:name="_Toc1077"/>
      <w:r>
        <w:rPr>
          <w:rFonts w:hint="default" w:ascii="Times New Roman" w:hAnsi="Times New Roman" w:eastAsia="宋体" w:cs="Times New Roman"/>
        </w:rPr>
        <w:t>6.2检测分析方法</w:t>
      </w:r>
      <w:bookmarkEnd w:id="230"/>
      <w:bookmarkEnd w:id="231"/>
      <w:bookmarkEnd w:id="232"/>
      <w:bookmarkEnd w:id="233"/>
    </w:p>
    <w:p>
      <w:pPr>
        <w:pStyle w:val="4"/>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4" w:name="_Toc4984"/>
      <w:bookmarkStart w:id="235" w:name="_Toc6111"/>
      <w:bookmarkStart w:id="236" w:name="_Toc32561"/>
      <w:bookmarkStart w:id="237" w:name="_Toc25471"/>
      <w:bookmarkStart w:id="238" w:name="_Toc497001482"/>
      <w:r>
        <w:rPr>
          <w:rFonts w:hint="default" w:ascii="Times New Roman" w:hAnsi="Times New Roman" w:eastAsia="宋体" w:cs="Times New Roman"/>
        </w:rPr>
        <w:t>6.2.1检测点位、项目及频次</w:t>
      </w:r>
      <w:bookmarkEnd w:id="234"/>
      <w:bookmarkEnd w:id="235"/>
      <w:bookmarkEnd w:id="236"/>
      <w:bookmarkEnd w:id="237"/>
      <w:bookmarkEnd w:id="238"/>
    </w:p>
    <w:p>
      <w:pPr>
        <w:spacing w:line="40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表6-</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rPr>
        <w:t>废气检测点位、项目及频次</w:t>
      </w:r>
    </w:p>
    <w:tbl>
      <w:tblPr>
        <w:tblStyle w:val="19"/>
        <w:tblW w:w="8504"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检测位置</w:t>
            </w:r>
          </w:p>
        </w:tc>
        <w:tc>
          <w:tcPr>
            <w:tcW w:w="1995"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检测内容</w:t>
            </w:r>
          </w:p>
        </w:tc>
        <w:tc>
          <w:tcPr>
            <w:tcW w:w="2599"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zh-CN" w:eastAsia="zh-CN"/>
              </w:rPr>
              <w:t>注塑、成型工序UV光氧等离子设备一体机进口</w:t>
            </w:r>
          </w:p>
        </w:tc>
        <w:tc>
          <w:tcPr>
            <w:tcW w:w="1995" w:type="dxa"/>
            <w:vAlign w:val="center"/>
          </w:tcPr>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eastAsia="zh-CN"/>
              </w:rPr>
              <w:t>非甲烷总烃、氯化氢、氯乙烯</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注塑、成型工序UV光氧等离子设备一体机出口</w:t>
            </w:r>
          </w:p>
        </w:tc>
        <w:tc>
          <w:tcPr>
            <w:tcW w:w="1995" w:type="dxa"/>
            <w:vAlign w:val="center"/>
          </w:tcPr>
          <w:p>
            <w:pPr>
              <w:ind w:right="139" w:rightChars="66"/>
              <w:jc w:val="center"/>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eastAsia="zh-CN"/>
              </w:rPr>
              <w:t>非甲烷总烃、氯化氢、氯乙烯</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厂界上</w:t>
            </w:r>
            <w:r>
              <w:rPr>
                <w:rFonts w:hint="default" w:ascii="Times New Roman" w:hAnsi="Times New Roman" w:eastAsia="宋体" w:cs="Times New Roman"/>
                <w:color w:val="auto"/>
                <w:sz w:val="21"/>
                <w:szCs w:val="21"/>
              </w:rPr>
              <w:t>风向</w:t>
            </w:r>
            <w:r>
              <w:rPr>
                <w:rFonts w:hint="eastAsia" w:ascii="Times New Roman" w:hAnsi="Times New Roman" w:eastAsia="宋体" w:cs="Times New Roman"/>
                <w:color w:val="auto"/>
                <w:sz w:val="21"/>
                <w:szCs w:val="21"/>
                <w:lang w:eastAsia="zh-CN"/>
              </w:rPr>
              <w:t>设置</w:t>
            </w:r>
            <w:r>
              <w:rPr>
                <w:rFonts w:hint="eastAsia" w:ascii="Times New Roman" w:hAnsi="Times New Roman" w:eastAsia="宋体" w:cs="Times New Roman"/>
                <w:color w:val="auto"/>
                <w:sz w:val="21"/>
                <w:szCs w:val="21"/>
                <w:lang w:val="en-US" w:eastAsia="zh-CN"/>
              </w:rPr>
              <w:t>1</w:t>
            </w:r>
            <w:r>
              <w:rPr>
                <w:rFonts w:hint="default" w:ascii="Times New Roman" w:hAnsi="Times New Roman" w:eastAsia="宋体" w:cs="Times New Roman"/>
                <w:color w:val="auto"/>
                <w:sz w:val="21"/>
                <w:szCs w:val="21"/>
              </w:rPr>
              <w:t>个监测点</w:t>
            </w:r>
            <w:r>
              <w:rPr>
                <w:rFonts w:hint="eastAsia"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下风向</w:t>
            </w:r>
            <w:r>
              <w:rPr>
                <w:rFonts w:hint="eastAsia" w:ascii="Times New Roman" w:hAnsi="Times New Roman" w:eastAsia="宋体" w:cs="Times New Roman"/>
                <w:color w:val="auto"/>
                <w:sz w:val="21"/>
                <w:szCs w:val="21"/>
                <w:lang w:eastAsia="zh-CN"/>
              </w:rPr>
              <w:t>设置</w:t>
            </w:r>
          </w:p>
          <w:p>
            <w:pPr>
              <w:ind w:left="-107" w:leftChars="-51" w:right="-107" w:rightChars="-51"/>
              <w:jc w:val="center"/>
              <w:rPr>
                <w:rFonts w:hint="default" w:ascii="Times New Roman" w:hAnsi="Times New Roman" w:eastAsia="宋体" w:cs="Times New Roman"/>
                <w:color w:val="auto"/>
                <w:kern w:val="0"/>
                <w:sz w:val="21"/>
                <w:szCs w:val="21"/>
                <w:lang w:eastAsia="zh-CN"/>
              </w:rPr>
            </w:pPr>
            <w:r>
              <w:rPr>
                <w:rFonts w:hint="default" w:ascii="Times New Roman" w:hAnsi="Times New Roman" w:eastAsia="宋体" w:cs="Times New Roman"/>
                <w:color w:val="auto"/>
                <w:sz w:val="21"/>
                <w:szCs w:val="21"/>
              </w:rPr>
              <w:t>3个监测点</w:t>
            </w:r>
          </w:p>
        </w:tc>
        <w:tc>
          <w:tcPr>
            <w:tcW w:w="1995" w:type="dxa"/>
            <w:vAlign w:val="center"/>
          </w:tcPr>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eastAsia="zh-CN"/>
              </w:rPr>
              <w:t>非甲烷总烃、氯化氢、氯乙烯</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测2天，每天</w:t>
            </w: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车间门口外1m</w:t>
            </w:r>
          </w:p>
        </w:tc>
        <w:tc>
          <w:tcPr>
            <w:tcW w:w="1995" w:type="dxa"/>
            <w:vAlign w:val="center"/>
          </w:tcPr>
          <w:p>
            <w:pPr>
              <w:ind w:right="139" w:rightChars="66"/>
              <w:jc w:val="center"/>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eastAsia="zh-CN"/>
              </w:rPr>
              <w:t>非甲烷总烃、氯化氢、氯乙烯</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测2天，每天</w:t>
            </w: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生产设备外1m</w:t>
            </w:r>
          </w:p>
        </w:tc>
        <w:tc>
          <w:tcPr>
            <w:tcW w:w="1995" w:type="dxa"/>
            <w:vAlign w:val="center"/>
          </w:tcPr>
          <w:p>
            <w:pPr>
              <w:ind w:right="139" w:rightChars="66"/>
              <w:jc w:val="center"/>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eastAsia="zh-CN"/>
              </w:rPr>
              <w:t>非甲烷总烃、氯化氢、氯乙烯</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测2天，每天</w:t>
            </w: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测4次</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3</w:t>
      </w:r>
      <w:r>
        <w:rPr>
          <w:rFonts w:hint="default" w:ascii="Times New Roman" w:hAnsi="Times New Roman" w:eastAsia="宋体" w:cs="Times New Roman"/>
          <w:b/>
          <w:sz w:val="24"/>
        </w:rPr>
        <w:t>噪声检测点位、项目及频次</w:t>
      </w:r>
    </w:p>
    <w:tbl>
      <w:tblPr>
        <w:tblStyle w:val="19"/>
        <w:tblW w:w="85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eastAsia="zh-CN"/>
              </w:rPr>
              <w:t>厂界四周（</w:t>
            </w:r>
            <w:r>
              <w:rPr>
                <w:rFonts w:hint="eastAsia" w:ascii="Times New Roman" w:hAnsi="Times New Roman" w:cs="Times New Roman"/>
                <w:lang w:val="en-US" w:eastAsia="zh-CN"/>
              </w:rPr>
              <w:t>4个点位</w:t>
            </w:r>
            <w:r>
              <w:rPr>
                <w:rFonts w:hint="eastAsia" w:ascii="Times New Roman" w:hAnsi="Times New Roman" w:cs="Times New Roman"/>
                <w:lang w:eastAsia="zh-CN"/>
              </w:rPr>
              <w:t>）</w:t>
            </w:r>
            <w:r>
              <w:rPr>
                <w:rFonts w:hint="eastAsia" w:ascii="Times New Roman" w:hAnsi="Times New Roman" w:cs="Times New Roman"/>
                <w:lang w:val="en-US" w:eastAsia="zh-CN"/>
              </w:rPr>
              <w:t>敏感点（1个点位）</w:t>
            </w:r>
          </w:p>
        </w:tc>
        <w:tc>
          <w:tcPr>
            <w:tcW w:w="2328"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rPr>
              <w:t>连续等效A声级，Leq(A)</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检测2天，昼</w:t>
            </w:r>
            <w:r>
              <w:rPr>
                <w:rFonts w:hint="eastAsia" w:ascii="Times New Roman" w:hAnsi="Times New Roman" w:cs="Times New Roman"/>
                <w:kern w:val="0"/>
                <w:szCs w:val="21"/>
                <w:lang w:val="en-US" w:eastAsia="zh-CN"/>
              </w:rPr>
              <w:t>间</w:t>
            </w:r>
            <w:r>
              <w:rPr>
                <w:rFonts w:hint="default" w:ascii="Times New Roman" w:hAnsi="Times New Roman" w:eastAsia="宋体" w:cs="Times New Roman"/>
                <w:kern w:val="0"/>
                <w:szCs w:val="21"/>
              </w:rPr>
              <w:t>检测1次</w:t>
            </w:r>
          </w:p>
        </w:tc>
      </w:tr>
    </w:tbl>
    <w:p>
      <w:pPr>
        <w:pStyle w:val="4"/>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9" w:name="_Toc17272"/>
      <w:bookmarkStart w:id="240" w:name="_Toc20260"/>
      <w:bookmarkStart w:id="241" w:name="_Toc8755"/>
      <w:bookmarkStart w:id="242" w:name="_Toc497001483"/>
      <w:bookmarkStart w:id="243" w:name="_Toc26262"/>
      <w:r>
        <w:rPr>
          <w:rFonts w:hint="default" w:ascii="Times New Roman" w:hAnsi="Times New Roman" w:eastAsia="宋体" w:cs="Times New Roman"/>
        </w:rPr>
        <w:t>6.2.2检测分析方法</w:t>
      </w:r>
      <w:bookmarkEnd w:id="239"/>
      <w:bookmarkEnd w:id="240"/>
      <w:bookmarkEnd w:id="241"/>
      <w:bookmarkEnd w:id="242"/>
      <w:bookmarkEnd w:id="243"/>
    </w:p>
    <w:p>
      <w:pPr>
        <w:spacing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4</w:t>
      </w:r>
      <w:r>
        <w:rPr>
          <w:rFonts w:hint="default" w:ascii="Times New Roman" w:hAnsi="Times New Roman" w:eastAsia="宋体" w:cs="Times New Roman"/>
          <w:b/>
          <w:sz w:val="24"/>
        </w:rPr>
        <w:t>废气检测项目分析方法及所用仪器</w:t>
      </w:r>
    </w:p>
    <w:tbl>
      <w:tblPr>
        <w:tblStyle w:val="19"/>
        <w:tblW w:w="8504"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2684"/>
        <w:gridCol w:w="1284"/>
        <w:gridCol w:w="3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287"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检测项目</w:t>
            </w:r>
          </w:p>
        </w:tc>
        <w:tc>
          <w:tcPr>
            <w:tcW w:w="26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分析方法</w:t>
            </w:r>
          </w:p>
        </w:tc>
        <w:tc>
          <w:tcPr>
            <w:tcW w:w="12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检出限</w:t>
            </w:r>
          </w:p>
        </w:tc>
        <w:tc>
          <w:tcPr>
            <w:tcW w:w="3249"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color w:val="000000" w:themeColor="text1"/>
                <w:spacing w:val="0"/>
                <w:sz w:val="21"/>
                <w:szCs w:val="21"/>
                <w:lang w:eastAsia="zh-CN"/>
                <w14:textFill>
                  <w14:solidFill>
                    <w14:schemeClr w14:val="tx1"/>
                  </w14:solidFill>
                </w14:textFill>
              </w:rPr>
              <w:t>非甲烷总烃</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b/>
                <w:bCs/>
                <w:color w:val="FF0000"/>
                <w:sz w:val="21"/>
                <w:szCs w:val="21"/>
                <w:lang w:val="en-US" w:eastAsia="zh-CN"/>
              </w:rPr>
            </w:pPr>
            <w:r>
              <w:rPr>
                <w:rFonts w:hint="eastAsia" w:cstheme="minorEastAsia"/>
                <w:i w:val="0"/>
                <w:color w:val="000000"/>
                <w:kern w:val="0"/>
                <w:sz w:val="21"/>
                <w:szCs w:val="21"/>
                <w:u w:val="none"/>
                <w:lang w:val="en-US" w:eastAsia="zh-CN" w:bidi="ar"/>
              </w:rPr>
              <w:t>《固定污染源废气总烃、甲烷和非甲烷总烃的测定气相色谱法》HJ38-2017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color w:val="FF0000"/>
                <w:sz w:val="21"/>
                <w:szCs w:val="21"/>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KB-6D真空箱气袋采样器</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YQB022</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GC9790气相色谱仪</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cs="Times New Roman"/>
                <w:color w:val="FF0000"/>
                <w:sz w:val="21"/>
                <w:szCs w:val="21"/>
                <w:lang w:val="en-US" w:eastAsia="zh-CN"/>
              </w:rPr>
            </w:pPr>
            <w:r>
              <w:rPr>
                <w:rFonts w:hint="eastAsia" w:ascii="Times New Roman" w:hAnsi="Times New Roman" w:eastAsia="宋体" w:cstheme="minorEastAsia"/>
                <w:i w:val="0"/>
                <w:color w:val="000000"/>
                <w:kern w:val="0"/>
                <w:sz w:val="21"/>
                <w:szCs w:val="21"/>
                <w:u w:val="none"/>
                <w:lang w:val="en-US" w:eastAsia="zh-CN" w:bidi="ar"/>
              </w:rPr>
              <w:t>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eastAsia="zh-CN"/>
                <w14:textFill>
                  <w14:solidFill>
                    <w14:schemeClr w14:val="tx1"/>
                  </w14:solidFill>
                </w14:textFill>
              </w:rPr>
              <w:t>氯化氢</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《固定污染源排气中氯化氢的测定硫氰酸汞分光光度法》HJ/T27-1999</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eastAsia="宋体" w:cs="Times New Roman"/>
                <w:spacing w:val="0"/>
                <w:sz w:val="21"/>
                <w:szCs w:val="21"/>
                <w:lang w:val="en-US" w:eastAsia="zh-CN"/>
              </w:rPr>
            </w:pPr>
            <w:r>
              <w:rPr>
                <w:rFonts w:hint="eastAsia" w:ascii="Times New Roman" w:hAnsi="Times New Roman" w:cs="Times New Roman"/>
                <w:spacing w:val="0"/>
                <w:sz w:val="21"/>
                <w:szCs w:val="21"/>
                <w:lang w:val="en-US" w:eastAsia="zh-CN"/>
              </w:rPr>
              <w:t>1.0mg/m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MH3001型全自动烟气采样</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器YQC032/033</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722N可见分光光度计</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YQA005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9"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氯乙烯</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《环境空气总悬浮颗粒物的测定重量法》</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FF0000"/>
                <w:sz w:val="21"/>
                <w:szCs w:val="21"/>
                <w:lang w:val="en-US" w:eastAsia="zh-CN"/>
              </w:rPr>
            </w:pPr>
            <w:r>
              <w:rPr>
                <w:rFonts w:hint="eastAsia" w:ascii="Times New Roman" w:hAnsi="Times New Roman" w:eastAsia="宋体" w:cstheme="minorEastAsia"/>
                <w:i w:val="0"/>
                <w:color w:val="000000"/>
                <w:kern w:val="0"/>
                <w:sz w:val="21"/>
                <w:szCs w:val="21"/>
                <w:u w:val="none"/>
                <w:lang w:val="en-US" w:eastAsia="zh-CN" w:bidi="ar"/>
              </w:rPr>
              <w:t>GB/T15432-1995</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color w:val="FF0000"/>
                <w:sz w:val="21"/>
                <w:szCs w:val="21"/>
              </w:rPr>
            </w:pPr>
            <w:r>
              <w:rPr>
                <w:rFonts w:hint="eastAsia" w:ascii="Times New Roman" w:hAnsi="Times New Roman" w:eastAsia="宋体" w:cs="Times New Roman"/>
                <w:b w:val="0"/>
                <w:bCs/>
                <w:i w:val="0"/>
                <w:color w:val="000000"/>
                <w:kern w:val="0"/>
                <w:sz w:val="21"/>
                <w:szCs w:val="21"/>
                <w:u w:val="none"/>
                <w:lang w:val="en-US" w:eastAsia="zh-CN" w:bidi="ar"/>
              </w:rPr>
              <w:t>0.001mg/m</w:t>
            </w:r>
            <w:r>
              <w:rPr>
                <w:rFonts w:hint="eastAsia" w:ascii="Times New Roman" w:hAnsi="Times New Roman" w:eastAsia="宋体" w:cs="Times New Roman"/>
                <w:b w:val="0"/>
                <w:bCs/>
                <w:i w:val="0"/>
                <w:color w:val="000000"/>
                <w:kern w:val="0"/>
                <w:sz w:val="21"/>
                <w:szCs w:val="21"/>
                <w:u w:val="none"/>
                <w:vertAlign w:val="superscript"/>
                <w:lang w:val="en-US" w:eastAsia="zh-CN" w:bidi="ar"/>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气相色谱仪</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lang w:val="en-US" w:eastAsia="zh-CN"/>
              </w:rPr>
            </w:pPr>
            <w:r>
              <w:rPr>
                <w:rFonts w:hint="eastAsia" w:cstheme="minorEastAsia"/>
                <w:i w:val="0"/>
                <w:color w:val="000000"/>
                <w:kern w:val="0"/>
                <w:sz w:val="21"/>
                <w:szCs w:val="21"/>
                <w:u w:val="none"/>
                <w:lang w:val="en-US" w:eastAsia="zh-CN" w:bidi="ar"/>
              </w:rPr>
              <w:t>S-009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9"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非甲烷总烃</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《环境空气总烃、甲烷和非甲烷总烃的测</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定直接进样-气相色谱法》</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HJ604-2017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b w:val="0"/>
                <w:bCs/>
                <w:i w:val="0"/>
                <w:color w:val="000000"/>
                <w:kern w:val="0"/>
                <w:sz w:val="21"/>
                <w:szCs w:val="21"/>
                <w:u w:val="none"/>
                <w:lang w:val="en-US" w:eastAsia="zh-CN" w:bidi="ar"/>
              </w:rPr>
            </w:pPr>
            <w:r>
              <w:rPr>
                <w:rFonts w:hint="eastAsia" w:ascii="Times New Roman" w:hAnsi="Times New Roman" w:eastAsia="宋体" w:cs="Times New Roman"/>
                <w:b w:val="0"/>
                <w:bCs/>
                <w:i w:val="0"/>
                <w:color w:val="000000"/>
                <w:kern w:val="0"/>
                <w:sz w:val="21"/>
                <w:szCs w:val="21"/>
                <w:u w:val="none"/>
                <w:lang w:val="en-US" w:eastAsia="zh-CN" w:bidi="ar"/>
              </w:rPr>
              <w:t>0.07mg/m</w:t>
            </w:r>
            <w:r>
              <w:rPr>
                <w:rFonts w:hint="eastAsia" w:ascii="Times New Roman" w:hAnsi="Times New Roman" w:eastAsia="宋体" w:cs="Times New Roman"/>
                <w:b w:val="0"/>
                <w:bCs/>
                <w:i w:val="0"/>
                <w:color w:val="000000"/>
                <w:kern w:val="0"/>
                <w:sz w:val="21"/>
                <w:szCs w:val="21"/>
                <w:u w:val="none"/>
                <w:vertAlign w:val="superscript"/>
                <w:lang w:val="en-US" w:eastAsia="zh-CN" w:bidi="ar"/>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KB-6D真空箱气袋采样器</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YQB012</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GC9790气相色谱仪</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9"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氯化氢</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《固定污染源排气中氯化氢的测定硫氰</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酸汞分光光度法》HJ/T27-1999</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b w:val="0"/>
                <w:bCs/>
                <w:i w:val="0"/>
                <w:color w:val="000000"/>
                <w:kern w:val="0"/>
                <w:sz w:val="21"/>
                <w:szCs w:val="21"/>
                <w:u w:val="none"/>
                <w:lang w:val="en-US" w:eastAsia="zh-CN" w:bidi="ar"/>
              </w:rPr>
            </w:pPr>
            <w:r>
              <w:rPr>
                <w:rFonts w:hint="eastAsia" w:ascii="Times New Roman" w:hAnsi="Times New Roman" w:eastAsia="宋体" w:cs="Times New Roman"/>
                <w:b w:val="0"/>
                <w:bCs/>
                <w:i w:val="0"/>
                <w:color w:val="000000"/>
                <w:kern w:val="0"/>
                <w:sz w:val="21"/>
                <w:szCs w:val="21"/>
                <w:u w:val="none"/>
                <w:lang w:val="en-US" w:eastAsia="zh-CN" w:bidi="ar"/>
              </w:rPr>
              <w:t>0.05mg/m</w:t>
            </w:r>
            <w:r>
              <w:rPr>
                <w:rFonts w:hint="eastAsia" w:ascii="Times New Roman" w:hAnsi="Times New Roman" w:eastAsia="宋体" w:cs="Times New Roman"/>
                <w:b w:val="0"/>
                <w:bCs/>
                <w:i w:val="0"/>
                <w:color w:val="000000"/>
                <w:kern w:val="0"/>
                <w:sz w:val="21"/>
                <w:szCs w:val="21"/>
                <w:u w:val="none"/>
                <w:vertAlign w:val="superscript"/>
                <w:lang w:val="en-US" w:eastAsia="zh-CN" w:bidi="ar"/>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MH1200型全自动大气/颗粒</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物采样器</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/YQC042/043/044/045</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722N可见分光光度计</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YQA005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9"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氯乙烯</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《固定污染源排气中氯乙烯的测定气相色谱法》HJ/T34-1999</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b w:val="0"/>
                <w:bCs/>
                <w:i w:val="0"/>
                <w:color w:val="000000"/>
                <w:kern w:val="0"/>
                <w:sz w:val="21"/>
                <w:szCs w:val="21"/>
                <w:u w:val="none"/>
                <w:lang w:val="en-US" w:eastAsia="zh-CN" w:bidi="ar"/>
              </w:rPr>
            </w:pPr>
            <w:r>
              <w:rPr>
                <w:rFonts w:hint="eastAsia" w:ascii="Times New Roman" w:hAnsi="Times New Roman" w:eastAsia="宋体" w:cs="Times New Roman"/>
                <w:b w:val="0"/>
                <w:bCs/>
                <w:i w:val="0"/>
                <w:color w:val="000000"/>
                <w:kern w:val="0"/>
                <w:sz w:val="21"/>
                <w:szCs w:val="21"/>
                <w:u w:val="none"/>
                <w:lang w:val="en-US" w:eastAsia="zh-CN" w:bidi="ar"/>
              </w:rPr>
              <w:t>0.08mg/m</w:t>
            </w:r>
            <w:r>
              <w:rPr>
                <w:rFonts w:hint="eastAsia" w:ascii="Times New Roman" w:hAnsi="Times New Roman" w:eastAsia="宋体" w:cs="Times New Roman"/>
                <w:b w:val="0"/>
                <w:bCs/>
                <w:i w:val="0"/>
                <w:color w:val="000000"/>
                <w:kern w:val="0"/>
                <w:sz w:val="21"/>
                <w:szCs w:val="21"/>
                <w:u w:val="none"/>
                <w:vertAlign w:val="superscript"/>
                <w:lang w:val="en-US" w:eastAsia="zh-CN" w:bidi="ar"/>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气相色谱仪</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S-009</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5</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1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1133" w:type="dxa"/>
            <w:vMerge w:val="restart"/>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zh-CN" w:eastAsia="zh-CN"/>
              </w:rPr>
              <w:t>AWA5688多功能声级计/YQC067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1133" w:type="dxa"/>
            <w:vMerge w:val="continue"/>
            <w:tcBorders>
              <w:tl2br w:val="nil"/>
              <w:tr2bl w:val="nil"/>
            </w:tcBorders>
            <w:vAlign w:val="center"/>
          </w:tcPr>
          <w:p>
            <w:pPr>
              <w:snapToGrid w:val="0"/>
              <w:jc w:val="center"/>
              <w:rPr>
                <w:rFonts w:hint="eastAsia" w:ascii="Times New Roman" w:hAnsi="Times New Roman" w:eastAsia="宋体"/>
                <w:sz w:val="21"/>
                <w:szCs w:val="21"/>
              </w:rPr>
            </w:pPr>
          </w:p>
        </w:tc>
        <w:tc>
          <w:tcPr>
            <w:tcW w:w="3544"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《声环境质量标准》</w:t>
            </w:r>
          </w:p>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GB3096-2008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zh-CN" w:eastAsia="zh-CN"/>
              </w:rPr>
            </w:pPr>
            <w:r>
              <w:rPr>
                <w:rFonts w:hint="eastAsia" w:ascii="Times New Roman" w:hAnsi="Times New Roman"/>
                <w:sz w:val="21"/>
                <w:szCs w:val="21"/>
                <w:lang w:val="zh-CN" w:eastAsia="zh-CN"/>
              </w:rPr>
              <w:t>AWA5688多功能声级计/YQC067</w:t>
            </w:r>
          </w:p>
        </w:tc>
      </w:tr>
    </w:tbl>
    <w:p>
      <w:pPr>
        <w:pStyle w:val="4"/>
        <w:spacing w:beforeLines="50" w:afterLines="50"/>
        <w:rPr>
          <w:rFonts w:hint="default" w:ascii="Times New Roman" w:hAnsi="Times New Roman" w:eastAsia="宋体" w:cs="Times New Roman"/>
        </w:rPr>
      </w:pPr>
      <w:bookmarkStart w:id="244" w:name="_Toc29080"/>
      <w:bookmarkStart w:id="245" w:name="_Toc12330"/>
      <w:bookmarkStart w:id="246" w:name="_Toc28512"/>
      <w:bookmarkStart w:id="247" w:name="_Toc19386"/>
      <w:r>
        <w:rPr>
          <w:rFonts w:hint="default" w:ascii="Times New Roman" w:hAnsi="Times New Roman" w:eastAsia="宋体" w:cs="Times New Roman"/>
        </w:rPr>
        <w:t>6.2.3检测点位示意图</w:t>
      </w:r>
      <w:bookmarkEnd w:id="244"/>
      <w:bookmarkEnd w:id="245"/>
      <w:bookmarkEnd w:id="246"/>
      <w:bookmarkEnd w:id="247"/>
    </w:p>
    <w:p>
      <w:pPr>
        <w:pStyle w:val="2"/>
        <w:spacing w:line="440" w:lineRule="atLeast"/>
        <w:rPr>
          <w:rFonts w:hint="default" w:ascii="Times New Roman" w:hAnsi="Times New Roman" w:eastAsia="宋体" w:cs="Times New Roman"/>
        </w:rPr>
      </w:pPr>
      <w:bookmarkStart w:id="248" w:name="_Toc4189"/>
      <w:r>
        <w:rPr>
          <w:rFonts w:hint="default" w:ascii="Times New Roman" w:hAnsi="Times New Roman" w:eastAsia="宋体" w:cs="Times New Roman"/>
        </w:rPr>
        <w:drawing>
          <wp:inline distT="0" distB="0" distL="114300" distR="114300">
            <wp:extent cx="5272405" cy="4159885"/>
            <wp:effectExtent l="0" t="0" r="4445" b="1206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5272405" cy="4159885"/>
                    </a:xfrm>
                    <a:prstGeom prst="rect">
                      <a:avLst/>
                    </a:prstGeom>
                    <a:noFill/>
                    <a:ln>
                      <a:noFill/>
                    </a:ln>
                  </pic:spPr>
                </pic:pic>
              </a:graphicData>
            </a:graphic>
          </wp:inline>
        </w:drawing>
      </w:r>
      <w:r>
        <w:rPr>
          <w:rFonts w:hint="default" w:ascii="Times New Roman" w:hAnsi="Times New Roman" w:eastAsia="宋体" w:cs="Times New Roman"/>
        </w:rPr>
        <w:br w:type="page"/>
      </w:r>
    </w:p>
    <w:p>
      <w:pPr>
        <w:pStyle w:val="2"/>
        <w:spacing w:line="440" w:lineRule="atLeast"/>
        <w:rPr>
          <w:rFonts w:hint="default" w:ascii="Times New Roman" w:hAnsi="Times New Roman" w:eastAsia="宋体" w:cs="Times New Roman"/>
        </w:rPr>
      </w:pPr>
      <w:bookmarkStart w:id="249" w:name="_Toc19136"/>
      <w:bookmarkStart w:id="250" w:name="_Toc22345"/>
      <w:bookmarkStart w:id="251" w:name="_Toc2862"/>
      <w:r>
        <w:rPr>
          <w:rFonts w:hint="default" w:ascii="Times New Roman" w:hAnsi="Times New Roman" w:eastAsia="宋体" w:cs="Times New Roman"/>
        </w:rPr>
        <w:t>7验收检测结果及分析</w:t>
      </w:r>
      <w:bookmarkEnd w:id="248"/>
      <w:bookmarkEnd w:id="249"/>
      <w:bookmarkEnd w:id="250"/>
      <w:bookmarkEnd w:id="251"/>
    </w:p>
    <w:p>
      <w:pPr>
        <w:pStyle w:val="3"/>
        <w:spacing w:line="440" w:lineRule="atLeast"/>
        <w:rPr>
          <w:rFonts w:hint="default" w:ascii="Times New Roman" w:hAnsi="Times New Roman" w:eastAsia="宋体" w:cs="Times New Roman"/>
        </w:rPr>
      </w:pPr>
      <w:bookmarkStart w:id="252" w:name="_Toc11364"/>
      <w:bookmarkStart w:id="253" w:name="_Toc32720"/>
      <w:bookmarkStart w:id="254" w:name="_Toc10665"/>
      <w:bookmarkStart w:id="255" w:name="_Toc20500"/>
      <w:r>
        <w:rPr>
          <w:rFonts w:hint="default" w:ascii="Times New Roman" w:hAnsi="Times New Roman" w:eastAsia="宋体" w:cs="Times New Roman"/>
        </w:rPr>
        <w:t>7.1检测结果</w:t>
      </w:r>
      <w:bookmarkEnd w:id="252"/>
      <w:bookmarkEnd w:id="253"/>
      <w:bookmarkEnd w:id="254"/>
      <w:bookmarkEnd w:id="255"/>
    </w:p>
    <w:p>
      <w:pPr>
        <w:pStyle w:val="4"/>
        <w:rPr>
          <w:rFonts w:hint="default" w:ascii="Times New Roman" w:hAnsi="Times New Roman" w:eastAsia="宋体" w:cs="Times New Roman"/>
        </w:rPr>
      </w:pPr>
      <w:bookmarkStart w:id="256" w:name="_Toc32125"/>
      <w:bookmarkStart w:id="257" w:name="_Toc6032"/>
      <w:bookmarkStart w:id="258" w:name="_Toc19935"/>
      <w:bookmarkStart w:id="259" w:name="_Toc497001488"/>
      <w:bookmarkStart w:id="260" w:name="_Toc3464"/>
      <w:r>
        <w:rPr>
          <w:rFonts w:hint="default" w:ascii="Times New Roman" w:hAnsi="Times New Roman" w:eastAsia="宋体" w:cs="Times New Roman"/>
        </w:rPr>
        <w:t>7.1.1废气检测结果</w:t>
      </w:r>
      <w:bookmarkEnd w:id="256"/>
      <w:bookmarkEnd w:id="257"/>
      <w:bookmarkEnd w:id="258"/>
      <w:bookmarkEnd w:id="259"/>
      <w:bookmarkEnd w:id="260"/>
    </w:p>
    <w:p>
      <w:pPr>
        <w:pStyle w:val="5"/>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1</w:t>
      </w:r>
      <w:r>
        <w:rPr>
          <w:rFonts w:hint="eastAsia" w:ascii="Times New Roman" w:hAnsi="Times New Roman" w:eastAsia="宋体" w:cs="Times New Roman"/>
          <w:b/>
          <w:sz w:val="24"/>
          <w:szCs w:val="24"/>
          <w:lang w:eastAsia="zh-CN"/>
        </w:rPr>
        <w:t>有组织</w:t>
      </w:r>
      <w:r>
        <w:rPr>
          <w:rFonts w:hint="default" w:ascii="Times New Roman" w:hAnsi="Times New Roman" w:eastAsia="宋体" w:cs="Times New Roman"/>
          <w:b/>
          <w:sz w:val="24"/>
          <w:szCs w:val="24"/>
          <w:lang w:eastAsia="zh-CN"/>
        </w:rPr>
        <w:t>废气</w:t>
      </w:r>
      <w:r>
        <w:rPr>
          <w:rFonts w:hint="eastAsia" w:ascii="Times New Roman" w:hAnsi="Times New Roman" w:eastAsia="宋体" w:cs="Times New Roman"/>
          <w:b/>
          <w:sz w:val="24"/>
          <w:szCs w:val="24"/>
          <w:lang w:eastAsia="zh-CN"/>
        </w:rPr>
        <w:t>检</w:t>
      </w:r>
      <w:r>
        <w:rPr>
          <w:rFonts w:hint="default" w:ascii="Times New Roman" w:hAnsi="Times New Roman" w:eastAsia="宋体" w:cs="Times New Roman"/>
          <w:b/>
          <w:sz w:val="24"/>
          <w:szCs w:val="24"/>
        </w:rPr>
        <w:t>测结果</w:t>
      </w:r>
    </w:p>
    <w:p>
      <w:pPr>
        <w:pStyle w:val="5"/>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drawing>
          <wp:inline distT="0" distB="0" distL="114300" distR="114300">
            <wp:extent cx="5274310" cy="6671310"/>
            <wp:effectExtent l="0" t="0" r="2540" b="1524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5"/>
                    <a:stretch>
                      <a:fillRect/>
                    </a:stretch>
                  </pic:blipFill>
                  <pic:spPr>
                    <a:xfrm>
                      <a:off x="0" y="0"/>
                      <a:ext cx="5274310" cy="6671310"/>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273675" cy="7005320"/>
            <wp:effectExtent l="0" t="0" r="3175" b="508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6"/>
                    <a:stretch>
                      <a:fillRect/>
                    </a:stretch>
                  </pic:blipFill>
                  <pic:spPr>
                    <a:xfrm>
                      <a:off x="0" y="0"/>
                      <a:ext cx="5273675" cy="7005320"/>
                    </a:xfrm>
                    <a:prstGeom prst="rect">
                      <a:avLst/>
                    </a:prstGeom>
                    <a:noFill/>
                    <a:ln>
                      <a:noFill/>
                    </a:ln>
                  </pic:spPr>
                </pic:pic>
              </a:graphicData>
            </a:graphic>
          </wp:inline>
        </w:drawing>
      </w:r>
    </w:p>
    <w:p>
      <w:pP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lang w:eastAsia="zh-CN"/>
        </w:rPr>
        <w:t>厂界无组织废气</w:t>
      </w:r>
      <w:r>
        <w:rPr>
          <w:rFonts w:hint="default" w:ascii="Times New Roman" w:hAnsi="Times New Roman" w:eastAsia="宋体" w:cs="Times New Roman"/>
          <w:b/>
          <w:sz w:val="24"/>
          <w:szCs w:val="24"/>
        </w:rPr>
        <w:t>检测结果</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1"/>
          <w:szCs w:val="21"/>
        </w:rPr>
        <w:t>单位</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bCs/>
          <w:sz w:val="21"/>
          <w:szCs w:val="21"/>
        </w:rPr>
        <w:t>mg/m</w:t>
      </w:r>
      <w:r>
        <w:rPr>
          <w:rFonts w:hint="default" w:ascii="Times New Roman" w:hAnsi="Times New Roman" w:eastAsia="宋体" w:cs="Times New Roman"/>
          <w:b/>
          <w:bCs/>
          <w:sz w:val="21"/>
          <w:szCs w:val="21"/>
          <w:vertAlign w:val="superscript"/>
        </w:rPr>
        <w:t>3</w:t>
      </w:r>
      <w:r>
        <w:rPr>
          <w:rFonts w:hint="eastAsia" w:ascii="Times New Roman" w:hAnsi="Times New Roman" w:eastAsia="宋体" w:cs="Times New Roman"/>
          <w:b/>
          <w:sz w:val="24"/>
          <w:szCs w:val="24"/>
          <w:lang w:eastAsia="zh-CN"/>
        </w:rPr>
        <w:t>）</w:t>
      </w:r>
      <w:bookmarkStart w:id="261" w:name="_Toc3240"/>
      <w:bookmarkStart w:id="262" w:name="_Toc497001489"/>
      <w:bookmarkStart w:id="263" w:name="_Toc8796"/>
      <w:bookmarkStart w:id="264" w:name="_Toc6567"/>
      <w:bookmarkStart w:id="265" w:name="_Toc7541"/>
      <w:r>
        <w:rPr>
          <w:rFonts w:hint="eastAsia" w:ascii="Times New Roman" w:hAnsi="Times New Roman" w:eastAsia="宋体" w:cs="Times New Roman"/>
          <w:b/>
          <w:sz w:val="24"/>
          <w:szCs w:val="24"/>
          <w:lang w:eastAsia="zh-CN"/>
        </w:rPr>
        <w:drawing>
          <wp:inline distT="0" distB="0" distL="114300" distR="114300">
            <wp:extent cx="5272405" cy="7029450"/>
            <wp:effectExtent l="0" t="0" r="4445"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7"/>
                    <a:stretch>
                      <a:fillRect/>
                    </a:stretch>
                  </pic:blipFill>
                  <pic:spPr>
                    <a:xfrm>
                      <a:off x="0" y="0"/>
                      <a:ext cx="5272405" cy="7029450"/>
                    </a:xfrm>
                    <a:prstGeom prst="rect">
                      <a:avLst/>
                    </a:prstGeom>
                    <a:noFill/>
                    <a:ln>
                      <a:noFill/>
                    </a:ln>
                  </pic:spPr>
                </pic:pic>
              </a:graphicData>
            </a:graphic>
          </wp:inline>
        </w:drawing>
      </w:r>
      <w:r>
        <w:rPr>
          <w:rFonts w:hint="eastAsia" w:ascii="Times New Roman" w:hAnsi="Times New Roman" w:eastAsia="宋体" w:cs="Times New Roman"/>
          <w:b/>
          <w:sz w:val="24"/>
          <w:szCs w:val="24"/>
          <w:lang w:eastAsia="zh-CN"/>
        </w:rPr>
        <w:drawing>
          <wp:inline distT="0" distB="0" distL="114300" distR="114300">
            <wp:extent cx="5271135" cy="4797425"/>
            <wp:effectExtent l="0" t="0" r="5715" b="317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8"/>
                    <a:stretch>
                      <a:fillRect/>
                    </a:stretch>
                  </pic:blipFill>
                  <pic:spPr>
                    <a:xfrm>
                      <a:off x="0" y="0"/>
                      <a:ext cx="5271135" cy="4797425"/>
                    </a:xfrm>
                    <a:prstGeom prst="rect">
                      <a:avLst/>
                    </a:prstGeom>
                    <a:noFill/>
                    <a:ln>
                      <a:noFill/>
                    </a:ln>
                  </pic:spPr>
                </pic:pic>
              </a:graphicData>
            </a:graphic>
          </wp:inline>
        </w:drawing>
      </w:r>
    </w:p>
    <w:p>
      <w:pPr>
        <w:pStyle w:val="4"/>
        <w:rPr>
          <w:rFonts w:hint="default" w:ascii="Times New Roman" w:hAnsi="Times New Roman" w:eastAsia="宋体" w:cs="Times New Roman"/>
          <w:b/>
          <w:bCs/>
        </w:rPr>
      </w:pPr>
      <w:r>
        <w:rPr>
          <w:rFonts w:hint="default" w:ascii="Times New Roman" w:hAnsi="Times New Roman" w:eastAsia="宋体" w:cs="Times New Roman"/>
          <w:b/>
          <w:bCs/>
        </w:rPr>
        <w:t>7.1.2噪声检测结果</w:t>
      </w:r>
      <w:bookmarkEnd w:id="261"/>
      <w:bookmarkEnd w:id="262"/>
      <w:bookmarkEnd w:id="263"/>
      <w:bookmarkEnd w:id="264"/>
      <w:bookmarkEnd w:id="265"/>
    </w:p>
    <w:p>
      <w:pPr>
        <w:pStyle w:val="3"/>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lang w:val="en-US" w:eastAsia="zh-CN"/>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3</w:t>
      </w:r>
      <w:r>
        <w:rPr>
          <w:rFonts w:hint="default" w:ascii="Times New Roman" w:hAnsi="Times New Roman" w:eastAsia="宋体" w:cs="Times New Roman"/>
          <w:b/>
          <w:sz w:val="24"/>
          <w:szCs w:val="24"/>
        </w:rPr>
        <w:t>厂界噪声检测结果</w:t>
      </w:r>
      <w:bookmarkStart w:id="266" w:name="_Toc5375"/>
      <w:bookmarkStart w:id="267" w:name="_Toc21685"/>
      <w:bookmarkStart w:id="268" w:name="_Toc26119"/>
      <w:bookmarkStart w:id="269" w:name="_Toc5560"/>
      <w:r>
        <w:rPr>
          <w:rFonts w:hint="eastAsia" w:ascii="Times New Roman" w:hAnsi="Times New Roman" w:cs="Times New Roman"/>
          <w:b/>
          <w:sz w:val="24"/>
          <w:szCs w:val="24"/>
          <w:lang w:val="en-US" w:eastAsia="zh-CN"/>
        </w:rPr>
        <w:t>单位：dB（A）</w:t>
      </w:r>
      <w:r>
        <w:rPr>
          <w:rFonts w:hint="eastAsia" w:ascii="Times New Roman" w:hAnsi="Times New Roman" w:cs="Times New Roman"/>
          <w:b/>
          <w:sz w:val="24"/>
          <w:szCs w:val="24"/>
          <w:lang w:val="en-US" w:eastAsia="zh-CN"/>
        </w:rPr>
        <w:drawing>
          <wp:inline distT="0" distB="0" distL="114300" distR="114300">
            <wp:extent cx="5273040" cy="1859915"/>
            <wp:effectExtent l="0" t="0" r="3810" b="6985"/>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9"/>
                    <a:stretch>
                      <a:fillRect/>
                    </a:stretch>
                  </pic:blipFill>
                  <pic:spPr>
                    <a:xfrm>
                      <a:off x="0" y="0"/>
                      <a:ext cx="5273040" cy="1859915"/>
                    </a:xfrm>
                    <a:prstGeom prst="rect">
                      <a:avLst/>
                    </a:prstGeom>
                    <a:noFill/>
                    <a:ln>
                      <a:noFill/>
                    </a:ln>
                  </pic:spPr>
                </pic:pic>
              </a:graphicData>
            </a:graphic>
          </wp:inline>
        </w:drawing>
      </w:r>
    </w:p>
    <w:p>
      <w:pPr>
        <w:pStyle w:val="3"/>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66"/>
      <w:bookmarkEnd w:id="267"/>
      <w:bookmarkEnd w:id="268"/>
      <w:bookmarkEnd w:id="269"/>
    </w:p>
    <w:p>
      <w:pPr>
        <w:pStyle w:val="4"/>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rPr>
      </w:pPr>
      <w:bookmarkStart w:id="270" w:name="_Toc30843"/>
      <w:bookmarkStart w:id="271" w:name="_Toc497001493"/>
      <w:bookmarkStart w:id="272" w:name="_Toc9795"/>
      <w:bookmarkStart w:id="273" w:name="_Toc31512"/>
      <w:bookmarkStart w:id="274" w:name="_Toc3228"/>
      <w:r>
        <w:rPr>
          <w:rFonts w:hint="default" w:ascii="Times New Roman" w:hAnsi="Times New Roman" w:eastAsia="宋体" w:cs="Times New Roman"/>
        </w:rPr>
        <w:t>7.2.1废气检测结果</w:t>
      </w:r>
      <w:bookmarkEnd w:id="270"/>
      <w:bookmarkEnd w:id="271"/>
      <w:bookmarkEnd w:id="272"/>
      <w:bookmarkEnd w:id="273"/>
      <w:bookmarkEnd w:id="274"/>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bookmarkStart w:id="275" w:name="_Toc4679"/>
      <w:bookmarkStart w:id="276" w:name="_Toc503884785"/>
      <w:bookmarkStart w:id="277" w:name="_Toc19340"/>
      <w:bookmarkStart w:id="278" w:name="_Toc3266"/>
      <w:r>
        <w:rPr>
          <w:rFonts w:hint="eastAsia" w:ascii="Times New Roman" w:hAnsi="Times New Roman" w:cs="Times New Roman"/>
          <w:color w:val="auto"/>
          <w:spacing w:val="0"/>
          <w:sz w:val="24"/>
          <w:szCs w:val="24"/>
          <w:lang w:val="en-US" w:eastAsia="zh-CN"/>
        </w:rPr>
        <w:t>2020年03月31日-04月01日监测该项目注塑、成型工序排气筒出口非甲烷总烃排放浓度最大值为4.27mg/m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；非甲烷总烃单位产品排放量最大值为0.112kg/t；氯化氢排放浓度最大值为1.2mg/m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氯乙烯未检出；均满足《烧碱、聚氯乙烯工业污染物排放标准》（GB15581-2016）表4大气污染物特别排放限值要求；非甲烷总烃最低去除效率不满足《工业企业挥发性有机物排放控制标准》（DB13/2322-2016）表1有机化工业要求，在生产设备外1m加测非甲烷总烃。厂界无组织废气非甲烷总烃浓度最大值为1.65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，满足《工业企业挥发性有机物排放控制标准》（DB13/2322-2016）表2企业边界大气污染物浓度限值要求；氯化氢浓度最大值为0.17mg/m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、氯乙烯未检出，均满足《烧碱、聚氯乙烯工业污染物排放标准》（GB15581-2016）表5企业边界大气污染物浓度限值要求。生产设备外1m非甲烷总烃浓度最大值为3.37mg/m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，满足《工业企业挥发性有机物排放控制标准》（DB13/2322-2016）表3生产车间或生产设备边界大气污染物浓度限值要求；生产车间门口外1m非甲烷总烃浓度最大值为2.97mg/m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，满足《挥发性有机物无组织排放控制标准》（GB37822-2019）中表A.1厂区内VOC</w:t>
      </w:r>
      <w:r>
        <w:rPr>
          <w:rFonts w:hint="eastAsia" w:ascii="Times New Roman" w:hAnsi="Times New Roman" w:cs="Times New Roman"/>
          <w:color w:val="auto"/>
          <w:spacing w:val="0"/>
          <w:sz w:val="24"/>
          <w:szCs w:val="24"/>
          <w:vertAlign w:val="subscript"/>
          <w:lang w:val="en-US" w:eastAsia="zh-CN"/>
        </w:rPr>
        <w:t>S</w:t>
      </w:r>
      <w:r>
        <w:rPr>
          <w:rFonts w:hint="eastAsia" w:ascii="Times New Roman" w:hAnsi="Times New Roman" w:cs="Times New Roman"/>
          <w:color w:val="auto"/>
          <w:spacing w:val="0"/>
          <w:sz w:val="24"/>
          <w:szCs w:val="24"/>
          <w:lang w:val="en-US" w:eastAsia="zh-CN"/>
        </w:rPr>
        <w:t>无组织特别排放限值要求。</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7.2.2噪声检测结果</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r>
        <w:rPr>
          <w:rFonts w:hint="eastAsia" w:ascii="Times New Roman" w:hAnsi="Times New Roman" w:cs="Times New Roman"/>
          <w:color w:val="auto"/>
          <w:spacing w:val="0"/>
          <w:sz w:val="24"/>
          <w:szCs w:val="24"/>
          <w:lang w:val="en-US" w:eastAsia="zh-CN"/>
        </w:rPr>
        <w:t>2020年03月31日-04月01日监测该项目东、南、西、北厂界昼间噪声范围值为55.2~57.5dB（A），均符合《工业企业厂界环境噪声排放标准》（GB12348-2008）表1中2类标准要求；西秀女村昼间噪声范围值为51.3~51.9dB（A），符合《声环境质量标准》（GB3096-2008）表1中2类标准要求</w:t>
      </w:r>
      <w:r>
        <w:rPr>
          <w:rFonts w:hint="default" w:ascii="Times New Roman" w:hAnsi="Times New Roman" w:eastAsia="宋体" w:cs="Times New Roman"/>
          <w:color w:val="auto"/>
          <w:kern w:val="0"/>
          <w:sz w:val="24"/>
          <w:szCs w:val="24"/>
          <w:lang w:val="en-US" w:eastAsia="zh-CN" w:bidi="ar-SA"/>
        </w:rPr>
        <w:t>。</w:t>
      </w:r>
    </w:p>
    <w:p>
      <w:pPr>
        <w:pStyle w:val="3"/>
        <w:rPr>
          <w:rFonts w:hint="default" w:ascii="Times New Roman" w:hAnsi="Times New Roman" w:eastAsia="宋体" w:cs="Times New Roman"/>
        </w:rPr>
      </w:pPr>
      <w:bookmarkStart w:id="279" w:name="_Toc2782"/>
      <w:r>
        <w:rPr>
          <w:rFonts w:hint="default" w:ascii="Times New Roman" w:hAnsi="Times New Roman" w:eastAsia="宋体" w:cs="Times New Roman"/>
        </w:rPr>
        <w:t>7.3总量控制要求</w:t>
      </w:r>
      <w:bookmarkEnd w:id="275"/>
      <w:bookmarkEnd w:id="276"/>
      <w:bookmarkEnd w:id="277"/>
      <w:bookmarkEnd w:id="27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依据企业提供的资料和证明，年工作300天，每天工作8小时，采用1班制。年运行时间2400h，该企业污染物排放量为：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项目无SO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和NO</w:t>
      </w:r>
      <w:r>
        <w:rPr>
          <w:rFonts w:hint="eastAsia" w:ascii="Times New Roman" w:hAnsi="Times New Roman"/>
          <w:color w:val="auto"/>
          <w:kern w:val="0"/>
          <w:sz w:val="24"/>
          <w:szCs w:val="21"/>
          <w:vertAlign w:val="baseline"/>
          <w:lang w:val="en-US" w:eastAsia="zh-CN"/>
        </w:rPr>
        <w:t>x</w:t>
      </w:r>
      <w:r>
        <w:rPr>
          <w:rFonts w:hint="eastAsia" w:ascii="Times New Roman" w:hAnsi="Times New Roman" w:eastAsia="宋体"/>
          <w:color w:val="auto"/>
          <w:kern w:val="0"/>
          <w:sz w:val="24"/>
          <w:szCs w:val="21"/>
          <w:lang w:eastAsia="zh-CN"/>
        </w:rPr>
        <w:t>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本项目无生产废水外排。满足环评中给出的总量控制指标，COD：0t/a；氨氮：0t/a；SO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：0t/a；NOx：0t/a。</w:t>
      </w:r>
    </w:p>
    <w:p>
      <w:pPr>
        <w:pStyle w:val="2"/>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2"/>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80" w:name="_Toc20214"/>
      <w:bookmarkStart w:id="281" w:name="_Toc3191"/>
      <w:bookmarkStart w:id="282" w:name="_Toc5202"/>
      <w:r>
        <w:rPr>
          <w:rFonts w:hint="default" w:ascii="Times New Roman" w:hAnsi="Times New Roman" w:eastAsia="宋体" w:cs="Times New Roman"/>
        </w:rPr>
        <w:t>8环境管理检查</w:t>
      </w:r>
      <w:bookmarkEnd w:id="278"/>
      <w:bookmarkEnd w:id="280"/>
      <w:bookmarkEnd w:id="281"/>
      <w:bookmarkEnd w:id="282"/>
    </w:p>
    <w:p>
      <w:pPr>
        <w:pStyle w:val="3"/>
        <w:rPr>
          <w:rFonts w:hint="default" w:ascii="Times New Roman" w:hAnsi="Times New Roman" w:eastAsia="宋体" w:cs="Times New Roman"/>
        </w:rPr>
      </w:pPr>
      <w:bookmarkStart w:id="283" w:name="_Toc17414"/>
      <w:bookmarkStart w:id="284" w:name="_Toc32093"/>
      <w:bookmarkStart w:id="285" w:name="_Toc23769"/>
      <w:bookmarkStart w:id="286" w:name="_Toc5972"/>
      <w:r>
        <w:rPr>
          <w:rFonts w:hint="default" w:ascii="Times New Roman" w:hAnsi="Times New Roman" w:eastAsia="宋体" w:cs="Times New Roman"/>
        </w:rPr>
        <w:t>8.1环保管理机构</w:t>
      </w:r>
      <w:bookmarkEnd w:id="283"/>
      <w:bookmarkEnd w:id="284"/>
      <w:bookmarkEnd w:id="285"/>
      <w:bookmarkEnd w:id="286"/>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eastAsia="zh-CN"/>
        </w:rPr>
        <w:t>沧县峰盛塑料制品厂</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3"/>
        <w:rPr>
          <w:rFonts w:hint="default" w:ascii="Times New Roman" w:hAnsi="Times New Roman" w:eastAsia="宋体" w:cs="Times New Roman"/>
          <w:szCs w:val="22"/>
        </w:rPr>
      </w:pPr>
      <w:bookmarkStart w:id="287" w:name="_Toc294178076"/>
      <w:bookmarkStart w:id="288" w:name="_Toc25742"/>
      <w:bookmarkStart w:id="289" w:name="_Toc412705194"/>
      <w:bookmarkStart w:id="290" w:name="_Toc29686"/>
      <w:bookmarkStart w:id="291" w:name="_Toc14656"/>
      <w:bookmarkStart w:id="292" w:name="_Toc18585"/>
      <w:r>
        <w:rPr>
          <w:rFonts w:hint="default" w:ascii="Times New Roman" w:hAnsi="Times New Roman" w:eastAsia="宋体" w:cs="Times New Roman"/>
          <w:szCs w:val="22"/>
        </w:rPr>
        <w:t>8.2施工期环境管理</w:t>
      </w:r>
      <w:bookmarkEnd w:id="287"/>
      <w:bookmarkEnd w:id="288"/>
      <w:bookmarkEnd w:id="289"/>
      <w:bookmarkEnd w:id="290"/>
      <w:bookmarkEnd w:id="291"/>
      <w:bookmarkEnd w:id="292"/>
    </w:p>
    <w:p>
      <w:pPr>
        <w:spacing w:line="480" w:lineRule="atLeast"/>
        <w:ind w:firstLine="480" w:firstLineChars="200"/>
        <w:rPr>
          <w:rFonts w:hint="default" w:ascii="Times New Roman" w:hAnsi="Times New Roman" w:eastAsia="宋体" w:cs="Times New Roman"/>
          <w:sz w:val="24"/>
          <w:szCs w:val="24"/>
        </w:rPr>
      </w:pPr>
      <w:bookmarkStart w:id="293" w:name="_Toc412705195"/>
      <w:bookmarkStart w:id="294" w:name="_Toc294178077"/>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3"/>
        <w:rPr>
          <w:rFonts w:hint="default" w:ascii="Times New Roman" w:hAnsi="Times New Roman" w:eastAsia="宋体" w:cs="Times New Roman"/>
        </w:rPr>
      </w:pPr>
      <w:bookmarkStart w:id="295" w:name="_Toc463"/>
      <w:bookmarkStart w:id="296" w:name="_Toc7664"/>
      <w:bookmarkStart w:id="297" w:name="_Toc20253"/>
      <w:bookmarkStart w:id="298" w:name="_Toc30001"/>
      <w:r>
        <w:rPr>
          <w:rFonts w:hint="default" w:ascii="Times New Roman" w:hAnsi="Times New Roman" w:eastAsia="宋体" w:cs="Times New Roman"/>
        </w:rPr>
        <w:t>8.3运行期环境管理</w:t>
      </w:r>
      <w:bookmarkEnd w:id="293"/>
      <w:bookmarkEnd w:id="294"/>
      <w:bookmarkEnd w:id="295"/>
      <w:bookmarkEnd w:id="296"/>
      <w:bookmarkEnd w:id="297"/>
      <w:bookmarkEnd w:id="298"/>
    </w:p>
    <w:p>
      <w:pPr>
        <w:spacing w:line="480" w:lineRule="atLeast"/>
        <w:ind w:firstLine="480" w:firstLineChars="200"/>
        <w:rPr>
          <w:rFonts w:hint="default" w:ascii="Times New Roman" w:hAnsi="Times New Roman" w:eastAsia="宋体" w:cs="Times New Roman"/>
          <w:sz w:val="24"/>
          <w:szCs w:val="24"/>
        </w:rPr>
      </w:pPr>
      <w:bookmarkStart w:id="299" w:name="_Toc294178078"/>
      <w:r>
        <w:rPr>
          <w:rFonts w:hint="eastAsia" w:ascii="Times New Roman" w:hAnsi="Times New Roman" w:cs="Times New Roman"/>
          <w:sz w:val="24"/>
          <w:szCs w:val="24"/>
          <w:lang w:eastAsia="zh-CN"/>
        </w:rPr>
        <w:t>沧县峰盛塑料制品厂</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299"/>
      <w:bookmarkStart w:id="300" w:name="_Toc414220604"/>
      <w:bookmarkStart w:id="301" w:name="_Toc412705199"/>
    </w:p>
    <w:p>
      <w:pPr>
        <w:pStyle w:val="3"/>
        <w:spacing w:line="440" w:lineRule="atLeast"/>
        <w:rPr>
          <w:rFonts w:hint="default" w:ascii="Times New Roman" w:hAnsi="Times New Roman" w:eastAsia="宋体" w:cs="Times New Roman"/>
        </w:rPr>
      </w:pPr>
      <w:bookmarkStart w:id="302" w:name="_Toc414220602"/>
      <w:bookmarkStart w:id="303" w:name="_Toc76"/>
      <w:bookmarkStart w:id="304" w:name="_Toc28702"/>
      <w:bookmarkStart w:id="305" w:name="_Toc5087"/>
      <w:bookmarkStart w:id="306" w:name="_Toc412705196"/>
      <w:bookmarkStart w:id="307" w:name="_Toc8826"/>
      <w:r>
        <w:rPr>
          <w:rFonts w:hint="default" w:ascii="Times New Roman" w:hAnsi="Times New Roman" w:eastAsia="宋体" w:cs="Times New Roman"/>
        </w:rPr>
        <w:t>8.4社会环境影响情况调查</w:t>
      </w:r>
      <w:bookmarkEnd w:id="302"/>
      <w:bookmarkEnd w:id="303"/>
      <w:bookmarkEnd w:id="304"/>
      <w:bookmarkEnd w:id="305"/>
      <w:bookmarkEnd w:id="306"/>
      <w:bookmarkEnd w:id="307"/>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3"/>
        <w:rPr>
          <w:rFonts w:hint="default" w:ascii="Times New Roman" w:hAnsi="Times New Roman" w:eastAsia="宋体" w:cs="Times New Roman"/>
        </w:rPr>
      </w:pPr>
      <w:bookmarkStart w:id="308" w:name="_Toc9083"/>
      <w:bookmarkStart w:id="309" w:name="_Toc26985"/>
      <w:bookmarkStart w:id="310" w:name="_Toc7270"/>
      <w:bookmarkStart w:id="311" w:name="_Toc15866"/>
      <w:r>
        <w:rPr>
          <w:rFonts w:hint="default" w:ascii="Times New Roman" w:hAnsi="Times New Roman" w:eastAsia="宋体" w:cs="Times New Roman"/>
        </w:rPr>
        <w:t>8.5环境管理情况分析</w:t>
      </w:r>
      <w:bookmarkEnd w:id="300"/>
      <w:bookmarkEnd w:id="301"/>
      <w:bookmarkEnd w:id="308"/>
      <w:bookmarkEnd w:id="309"/>
      <w:bookmarkEnd w:id="310"/>
      <w:bookmarkEnd w:id="311"/>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2"/>
        <w:rPr>
          <w:rFonts w:hint="default" w:ascii="Times New Roman" w:hAnsi="Times New Roman" w:eastAsia="宋体" w:cs="Times New Roman"/>
        </w:rPr>
      </w:pPr>
      <w:bookmarkStart w:id="312" w:name="_Toc27984"/>
      <w:r>
        <w:rPr>
          <w:rFonts w:hint="default" w:ascii="Times New Roman" w:hAnsi="Times New Roman" w:eastAsia="宋体" w:cs="Times New Roman"/>
        </w:rPr>
        <w:br w:type="page"/>
      </w:r>
    </w:p>
    <w:p>
      <w:pPr>
        <w:pStyle w:val="2"/>
        <w:rPr>
          <w:rFonts w:hint="default" w:ascii="Times New Roman" w:hAnsi="Times New Roman" w:eastAsia="宋体" w:cs="Times New Roman"/>
        </w:rPr>
      </w:pPr>
      <w:bookmarkStart w:id="313" w:name="_Toc18158"/>
      <w:bookmarkStart w:id="314" w:name="_Toc11667"/>
      <w:bookmarkStart w:id="315" w:name="_Toc12811"/>
      <w:r>
        <w:rPr>
          <w:rFonts w:hint="default" w:ascii="Times New Roman" w:hAnsi="Times New Roman" w:eastAsia="宋体" w:cs="Times New Roman"/>
        </w:rPr>
        <w:t>9结论和建议</w:t>
      </w:r>
      <w:bookmarkEnd w:id="312"/>
      <w:bookmarkEnd w:id="313"/>
      <w:bookmarkEnd w:id="314"/>
      <w:bookmarkEnd w:id="315"/>
    </w:p>
    <w:p>
      <w:pPr>
        <w:pStyle w:val="3"/>
        <w:rPr>
          <w:rFonts w:hint="default" w:ascii="Times New Roman" w:hAnsi="Times New Roman" w:eastAsia="宋体" w:cs="Times New Roman"/>
        </w:rPr>
      </w:pPr>
      <w:bookmarkStart w:id="316" w:name="_Toc6888"/>
      <w:bookmarkStart w:id="317" w:name="_Toc8760"/>
      <w:bookmarkStart w:id="318" w:name="_Toc3234"/>
      <w:bookmarkStart w:id="319" w:name="_Toc25092"/>
      <w:r>
        <w:rPr>
          <w:rFonts w:hint="default" w:ascii="Times New Roman" w:hAnsi="Times New Roman" w:eastAsia="宋体" w:cs="Times New Roman"/>
        </w:rPr>
        <w:t>9.1验收主要结论</w:t>
      </w:r>
      <w:bookmarkEnd w:id="316"/>
      <w:bookmarkEnd w:id="317"/>
      <w:bookmarkEnd w:id="318"/>
      <w:bookmarkEnd w:id="319"/>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20" w:name="_Hlk496998889"/>
      <w:r>
        <w:rPr>
          <w:rFonts w:hint="default" w:ascii="Times New Roman" w:hAnsi="Times New Roman" w:eastAsia="宋体" w:cs="Times New Roman"/>
          <w:sz w:val="24"/>
          <w:szCs w:val="24"/>
        </w:rPr>
        <w:t>（1）废气</w:t>
      </w:r>
    </w:p>
    <w:bookmarkEnd w:id="320"/>
    <w:p>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Times New Roman" w:hAnsi="Times New Roman" w:eastAsia="宋体" w:cs="Times New Roman"/>
          <w:color w:val="auto"/>
          <w:sz w:val="24"/>
          <w:szCs w:val="24"/>
          <w:vertAlign w:val="baseline"/>
          <w:lang w:eastAsia="zh-CN"/>
        </w:rPr>
      </w:pPr>
      <w:r>
        <w:rPr>
          <w:rFonts w:hint="eastAsia" w:ascii="Times New Roman" w:hAnsi="Times New Roman" w:cs="Times New Roman"/>
          <w:color w:val="auto"/>
          <w:spacing w:val="0"/>
          <w:sz w:val="24"/>
          <w:szCs w:val="24"/>
          <w:lang w:val="en-US" w:eastAsia="zh-CN"/>
        </w:rPr>
        <w:t>2020年03月31日-04月01日监测该项目注塑、成型工序排气筒出口非甲烷总烃排放浓度最大值为4.27mg/m3；非甲烷总烃单位产品排放量最大值为0.112kg/t；氯化氢排放浓度最大值为1.2mg/m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氯乙烯未检出；均满足《烧碱、聚氯乙烯工业污染物排放标准》（GB15581-2016）表4大气污染物特别排放限值要求；非甲烷总烃最低去除效率不满足《工业企业挥发性有机物排放控制标准》（DB13/2322-2016）表1有机化工业要求，在生产设备外1m加测非甲烷总烃。厂界无组织废气非甲烷总烃浓度最大值为1.65mg/m3，满足《工业企业挥发性有机物排放控制标准》（DB13/2322-2016）表2企业边界大气污染物浓度限值要求；氯化氢浓度最大值为0.17mg/m3、氯乙烯未检出，均满足《烧碱、聚氯乙烯工业污染物排放标准》（GB15581-2016）表5企业边界大气污染物浓度限值要求。生产设备外1m非甲烷总烃浓度最大值为3.37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，满足《工业企业挥发性有机物排放控制标准》（DB13/2322-2016）表3生产车间或生产设备边界大气污染物浓度限值要求；生产车间门口外1m非甲烷总烃浓度最大值为2.97mg/m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，满足《挥发性有机物无组织排放控制标准》（GB37822-2019）中表A.1厂区内VOCS无组织特别排放限值要求。</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outlineLvl w:val="9"/>
        <w:rPr>
          <w:rFonts w:ascii="Times New Roman" w:hAnsi="Times New Roman" w:eastAsia="宋体"/>
          <w:bCs/>
          <w:sz w:val="24"/>
        </w:rPr>
      </w:pPr>
      <w:bookmarkStart w:id="321" w:name="_Hlk496998963"/>
      <w:r>
        <w:rPr>
          <w:rFonts w:hint="default" w:ascii="Times New Roman" w:hAnsi="Times New Roman" w:eastAsia="宋体" w:cs="Times New Roman"/>
          <w:color w:val="auto"/>
          <w:kern w:val="0"/>
          <w:sz w:val="24"/>
          <w:szCs w:val="24"/>
          <w:lang w:val="en-US" w:eastAsia="zh-CN" w:bidi="ar-SA"/>
        </w:rPr>
        <w:t>2020年03月31日-04月01日监测该项目东、南、西、北厂界昼间噪声范围值为55.2~57.5dB（A），均符合《工业企业厂界环境噪声排放标准》（GB12348-2008）表1中2类标准要求；西秀女村昼间噪声范围值为51.3~51.9dB（A），符合《声环境质量标准》（GB3096-2008）表1中2类标准要求。</w:t>
      </w:r>
    </w:p>
    <w:p>
      <w:pPr>
        <w:numPr>
          <w:ilvl w:val="0"/>
          <w:numId w:val="2"/>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21"/>
    <w:p>
      <w:pPr>
        <w:pStyle w:val="4"/>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auto"/>
          <w:sz w:val="24"/>
          <w:szCs w:val="24"/>
          <w:lang w:eastAsia="zh-CN"/>
        </w:rPr>
      </w:pPr>
      <w:bookmarkStart w:id="331" w:name="_GoBack"/>
      <w:bookmarkStart w:id="322" w:name="_Toc6926"/>
      <w:bookmarkStart w:id="323" w:name="_Toc4537"/>
      <w:r>
        <w:rPr>
          <w:rFonts w:hint="eastAsia" w:ascii="Times New Roman" w:hAnsi="Times New Roman" w:eastAsia="宋体" w:cs="Times New Roman"/>
          <w:color w:val="auto"/>
          <w:sz w:val="24"/>
          <w:szCs w:val="24"/>
          <w:lang w:val="en-US" w:eastAsia="zh-CN"/>
        </w:rPr>
        <w:t>本项目建成后，无生产废水产生，冷却水循环使用，定期补充不外排。产生的废水主要为职工生活污水。厂区设置防渗旱厕，产生的生活污水排入旱厕，定期清掏，不外排。</w:t>
      </w:r>
      <w:bookmarkEnd w:id="331"/>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22"/>
      <w:bookmarkEnd w:id="323"/>
    </w:p>
    <w:p>
      <w:pPr>
        <w:pStyle w:val="4"/>
        <w:ind w:firstLine="480" w:firstLineChars="200"/>
        <w:rPr>
          <w:rFonts w:hint="eastAsia" w:ascii="Times New Roman" w:hAnsi="Times New Roman" w:eastAsia="宋体"/>
          <w:sz w:val="24"/>
          <w:szCs w:val="24"/>
          <w:lang w:val="en-US" w:eastAsia="zh-CN"/>
        </w:rPr>
      </w:pPr>
      <w:bookmarkStart w:id="324" w:name="_Toc24650"/>
      <w:bookmarkStart w:id="325" w:name="_Toc6395"/>
      <w:bookmarkStart w:id="326" w:name="_Hlk496999304"/>
      <w:r>
        <w:rPr>
          <w:rFonts w:hint="eastAsia" w:ascii="Times New Roman" w:hAnsi="Times New Roman" w:eastAsia="宋体"/>
          <w:sz w:val="24"/>
          <w:szCs w:val="24"/>
          <w:lang w:val="en-US" w:eastAsia="zh-CN"/>
        </w:rPr>
        <w:t>本项目产生的固体废物主要为生产过程产生的下脚料和职工生活垃圾。下脚料收集后回用于生产；职工生活垃圾收集后由环卫人员运至垃圾处理厂处理。</w:t>
      </w:r>
    </w:p>
    <w:p>
      <w:pPr>
        <w:pStyle w:val="4"/>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24"/>
      <w:bookmarkEnd w:id="325"/>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26"/>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27" w:name="_Toc21981"/>
      <w:bookmarkStart w:id="328" w:name="_Toc18401"/>
      <w:bookmarkStart w:id="329" w:name="_Toc30691"/>
      <w:bookmarkStart w:id="330" w:name="_Toc10340"/>
      <w:r>
        <w:rPr>
          <w:rFonts w:hint="default" w:ascii="Times New Roman" w:hAnsi="Times New Roman" w:eastAsia="宋体" w:cs="Times New Roman"/>
        </w:rPr>
        <w:t>9.2建议</w:t>
      </w:r>
      <w:bookmarkEnd w:id="327"/>
      <w:bookmarkEnd w:id="328"/>
      <w:bookmarkEnd w:id="329"/>
      <w:bookmarkEnd w:id="330"/>
    </w:p>
    <w:p>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eastAsia="zh-CN"/>
        </w:rPr>
        <w:t>沧县峰盛塑料制品厂</w:t>
      </w:r>
      <w:r>
        <w:rPr>
          <w:rFonts w:hint="default" w:ascii="Times New Roman" w:hAnsi="Times New Roman" w:eastAsia="宋体" w:cs="Times New Roman"/>
        </w:rPr>
        <w:t>填表人（签字）：项目经办人（签字）：</w:t>
      </w:r>
    </w:p>
    <w:tbl>
      <w:tblPr>
        <w:tblStyle w:val="19"/>
        <w:tblW w:w="158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36"/>
        <w:gridCol w:w="1620"/>
        <w:gridCol w:w="1137"/>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b w:val="0"/>
                <w:bCs/>
                <w:sz w:val="15"/>
                <w:szCs w:val="15"/>
                <w:lang w:eastAsia="zh-CN"/>
              </w:rPr>
              <w:t>沧县峰盛塑料制品厂</w:t>
            </w:r>
            <w:r>
              <w:rPr>
                <w:rFonts w:hint="eastAsia" w:ascii="Times New Roman" w:hAnsi="Times New Roman"/>
                <w:b w:val="0"/>
                <w:bCs/>
                <w:sz w:val="15"/>
                <w:szCs w:val="15"/>
                <w:lang w:val="en-US" w:eastAsia="zh-CN"/>
              </w:rPr>
              <w:t>塑料制品加工项目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cs="黑体"/>
                <w:b w:val="0"/>
                <w:bCs/>
                <w:sz w:val="15"/>
                <w:szCs w:val="15"/>
                <w:lang w:val="en-US" w:eastAsia="zh-CN"/>
              </w:rPr>
              <w:t>沧州市沧县薛官屯乡东秀女村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C2929 塑料零件及其他塑料制品制造业</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1856231424"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1856231424;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3uITvNUAAAAFAQAA&#10;DwAAAAAAAAABACAAAAAiAAAAZHJzL2Rvd25yZXYueG1sUEsBAhQAFAAAAAgAh07iQOut8FLjAQAA&#10;3AMAAA4AAAAAAAAAAQAgAAAAJAEAAGRycy9lMm9Eb2MueG1sUEsFBgAAAAAGAAYAWQEAAHkFAAAA&#10;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1024"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1024;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GD0sS&#10;1QAAAAcBAAAPAAAAAAAAAAEAIAAAACIAAABkcnMvZG93bnJldi54bWxQSwECFAAUAAAACACHTuJA&#10;bEXFXesBAADcAwAADgAAAAAAAAABACAAAAAkAQAAZHJzL2Uyb0RvYy54bWxQSwUGAAAAAAYABgBZ&#10;AQAAgQ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982069248"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1312898048;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D/x63U&#10;AAAACAEAAA8AAAAAAAAAAQAgAAAAIgAAAGRycy9kb3ducmV2LnhtbFBLAQIUABQAAAAIAIdO4kDs&#10;uath6wEAANwDAAAOAAAAAAAAAAEAIAAAACMBAABkcnMvZTJvRG9jLnhtbFBLBQYAAAAABgAGAFkB&#10;AACABQ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新建改扩建技术改造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eastAsia="zh-CN"/>
              </w:rPr>
              <w:t>年产 1000 万件自行车把套、自行车反射器</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556" w:type="dxa"/>
            <w:gridSpan w:val="2"/>
            <w:tcMar>
              <w:left w:w="6" w:type="dxa"/>
              <w:right w:w="6" w:type="dxa"/>
            </w:tcMar>
          </w:tcPr>
          <w:p>
            <w:pPr>
              <w:spacing w:line="260" w:lineRule="exact"/>
              <w:rPr>
                <w:rFonts w:hint="eastAsia" w:ascii="Times New Roman" w:hAnsi="Times New Roman" w:eastAsia="宋体" w:cs="Times New Roman"/>
                <w:b w:val="0"/>
                <w:bCs/>
                <w:sz w:val="15"/>
                <w:szCs w:val="15"/>
                <w:lang w:val="en-US" w:eastAsia="zh-CN"/>
              </w:rPr>
            </w:pPr>
            <w:r>
              <w:rPr>
                <w:rFonts w:hint="eastAsia" w:ascii="Times New Roman" w:hAnsi="Times New Roman" w:eastAsia="宋体" w:cs="黑体"/>
                <w:b w:val="0"/>
                <w:bCs/>
                <w:sz w:val="15"/>
                <w:szCs w:val="15"/>
                <w:lang w:val="en-US" w:eastAsia="zh-CN"/>
              </w:rPr>
              <w:t>年产输送设备100套</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b w:val="0"/>
                <w:bCs/>
                <w:sz w:val="15"/>
                <w:szCs w:val="15"/>
                <w:lang w:val="en-US" w:eastAsia="zh-CN"/>
              </w:rPr>
              <w:t>河北荣超环保科技有限公司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b w:val="0"/>
                <w:bCs/>
                <w:sz w:val="15"/>
                <w:szCs w:val="15"/>
                <w:lang w:val="en-US" w:eastAsia="zh-CN"/>
              </w:rPr>
              <w:t>沧州市生态环境局沧县分局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556"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b w:val="0"/>
                <w:bCs/>
                <w:color w:val="auto"/>
                <w:sz w:val="15"/>
                <w:szCs w:val="15"/>
                <w:lang w:eastAsia="zh-CN"/>
              </w:rPr>
              <w:t>沧县环评[2019]917号</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450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10</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450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10</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556"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b w:val="0"/>
                <w:bCs/>
                <w:sz w:val="15"/>
                <w:szCs w:val="15"/>
                <w:lang w:eastAsia="zh-CN"/>
              </w:rPr>
              <w:t>沧县峰盛塑料制品厂</w:t>
            </w:r>
          </w:p>
        </w:tc>
        <w:tc>
          <w:tcPr>
            <w:tcW w:w="329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620"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default" w:ascii="Times New Roman" w:hAnsi="Times New Roman" w:eastAsia="微软雅黑" w:cs="Times New Roman"/>
                <w:i w:val="0"/>
                <w:caps w:val="0"/>
                <w:color w:val="202020"/>
                <w:spacing w:val="0"/>
                <w:sz w:val="15"/>
                <w:szCs w:val="15"/>
                <w:shd w:val="clear" w:fill="FFFFFF"/>
              </w:rPr>
              <w:t>92130921MA0E1AKC8P</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废水</w:t>
            </w:r>
          </w:p>
        </w:tc>
        <w:tc>
          <w:tcPr>
            <w:tcW w:w="923" w:type="dxa"/>
            <w:gridSpan w:val="2"/>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gridSpan w:val="2"/>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化学需氧量</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氨氮</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废气</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7"/>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b w:val="0"/>
                <w:bCs/>
                <w:sz w:val="15"/>
                <w:szCs w:val="15"/>
              </w:rPr>
              <w:t>二氧化硫</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7"/>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烟尘</w:t>
            </w:r>
          </w:p>
        </w:tc>
        <w:tc>
          <w:tcPr>
            <w:tcW w:w="923" w:type="dxa"/>
            <w:gridSpan w:val="2"/>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工业粉尘</w:t>
            </w:r>
          </w:p>
        </w:tc>
        <w:tc>
          <w:tcPr>
            <w:tcW w:w="923" w:type="dxa"/>
            <w:gridSpan w:val="2"/>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氮氧化物</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工业固体废物</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r>
              <w:rPr>
                <w:rFonts w:hint="eastAsia" w:ascii="Times New Roman" w:hAnsi="Times New Roman" w:cs="Times New Roman"/>
                <w:color w:val="FF0000"/>
                <w:sz w:val="15"/>
                <w:szCs w:val="15"/>
                <w:lang w:val="en-US" w:eastAsia="zh-CN"/>
              </w:rPr>
              <w:t>0.019</w:t>
            </w: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AIAUJG+ËÎÌå">
    <w:altName w:val="Verdana"/>
    <w:panose1 w:val="02010600030101010101"/>
    <w:charset w:val="01"/>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沧县峰盛塑料制品厂塑料制品加工项目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81D431"/>
    <w:multiLevelType w:val="singleLevel"/>
    <w:tmpl w:val="E581D431"/>
    <w:lvl w:ilvl="0" w:tentative="0">
      <w:start w:val="1"/>
      <w:numFmt w:val="decimal"/>
      <w:suff w:val="nothing"/>
      <w:lvlText w:val="（%1）"/>
      <w:lvlJc w:val="left"/>
    </w:lvl>
  </w:abstractNum>
  <w:abstractNum w:abstractNumId="1">
    <w:nsid w:val="5A5B08E9"/>
    <w:multiLevelType w:val="singleLevel"/>
    <w:tmpl w:val="5A5B08E9"/>
    <w:lvl w:ilvl="0" w:tentative="0">
      <w:start w:val="3"/>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E0375C"/>
    <w:rsid w:val="0B6363A9"/>
    <w:rsid w:val="0BAC6F41"/>
    <w:rsid w:val="0E0E70D5"/>
    <w:rsid w:val="0ECF421D"/>
    <w:rsid w:val="0F053649"/>
    <w:rsid w:val="0F143ECE"/>
    <w:rsid w:val="0F7E3710"/>
    <w:rsid w:val="0F996560"/>
    <w:rsid w:val="10440ACB"/>
    <w:rsid w:val="104D5118"/>
    <w:rsid w:val="11506FB2"/>
    <w:rsid w:val="12630E7F"/>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593FED"/>
    <w:rsid w:val="1A7E60A3"/>
    <w:rsid w:val="1BB914C5"/>
    <w:rsid w:val="1C6B70E4"/>
    <w:rsid w:val="1CFD4F4A"/>
    <w:rsid w:val="1D146AB0"/>
    <w:rsid w:val="1DC34DFA"/>
    <w:rsid w:val="1DE97DB3"/>
    <w:rsid w:val="1EFE2753"/>
    <w:rsid w:val="21895209"/>
    <w:rsid w:val="22E826B5"/>
    <w:rsid w:val="23605E8E"/>
    <w:rsid w:val="24123644"/>
    <w:rsid w:val="24461371"/>
    <w:rsid w:val="247F103C"/>
    <w:rsid w:val="24B0718C"/>
    <w:rsid w:val="2542404B"/>
    <w:rsid w:val="2781114D"/>
    <w:rsid w:val="286D3F7B"/>
    <w:rsid w:val="28BC7A5B"/>
    <w:rsid w:val="29EF18AB"/>
    <w:rsid w:val="2A7F01EB"/>
    <w:rsid w:val="2B9A5A21"/>
    <w:rsid w:val="2BFD0EEC"/>
    <w:rsid w:val="2C914E3F"/>
    <w:rsid w:val="2CA22636"/>
    <w:rsid w:val="2CE73E1C"/>
    <w:rsid w:val="2DEB55D6"/>
    <w:rsid w:val="2E082A95"/>
    <w:rsid w:val="2EF23990"/>
    <w:rsid w:val="2F2473F1"/>
    <w:rsid w:val="2F3A716E"/>
    <w:rsid w:val="2FD14B32"/>
    <w:rsid w:val="30895A8A"/>
    <w:rsid w:val="30AB7CA3"/>
    <w:rsid w:val="31210606"/>
    <w:rsid w:val="3225051F"/>
    <w:rsid w:val="322B6C9D"/>
    <w:rsid w:val="32793228"/>
    <w:rsid w:val="33032D3C"/>
    <w:rsid w:val="333831BB"/>
    <w:rsid w:val="33642F1E"/>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E4E00"/>
    <w:rsid w:val="3DC85DFF"/>
    <w:rsid w:val="3DDB20E2"/>
    <w:rsid w:val="3E0B53AA"/>
    <w:rsid w:val="3E0D7FF2"/>
    <w:rsid w:val="3E827254"/>
    <w:rsid w:val="4111649F"/>
    <w:rsid w:val="421B5153"/>
    <w:rsid w:val="421E388B"/>
    <w:rsid w:val="422C5F7B"/>
    <w:rsid w:val="4347397F"/>
    <w:rsid w:val="445F75CD"/>
    <w:rsid w:val="447A310C"/>
    <w:rsid w:val="458A0BC7"/>
    <w:rsid w:val="45D31AC8"/>
    <w:rsid w:val="45EE63E9"/>
    <w:rsid w:val="485A65CB"/>
    <w:rsid w:val="4A283569"/>
    <w:rsid w:val="4A8D49E3"/>
    <w:rsid w:val="4AAA6ED1"/>
    <w:rsid w:val="4AAB7C45"/>
    <w:rsid w:val="4B0D2D46"/>
    <w:rsid w:val="4C1E03F9"/>
    <w:rsid w:val="4C72320F"/>
    <w:rsid w:val="4C902FFF"/>
    <w:rsid w:val="4DC537AE"/>
    <w:rsid w:val="4EAC0405"/>
    <w:rsid w:val="4F1713C5"/>
    <w:rsid w:val="4F3C6A41"/>
    <w:rsid w:val="4FE6264D"/>
    <w:rsid w:val="50173FCB"/>
    <w:rsid w:val="512E7FBA"/>
    <w:rsid w:val="51806F8B"/>
    <w:rsid w:val="53365CEE"/>
    <w:rsid w:val="53B33B1C"/>
    <w:rsid w:val="54482B82"/>
    <w:rsid w:val="54511922"/>
    <w:rsid w:val="54626FB4"/>
    <w:rsid w:val="54713309"/>
    <w:rsid w:val="557A527E"/>
    <w:rsid w:val="5702376B"/>
    <w:rsid w:val="57723443"/>
    <w:rsid w:val="59EB0033"/>
    <w:rsid w:val="5B916452"/>
    <w:rsid w:val="5B982079"/>
    <w:rsid w:val="5BA01B74"/>
    <w:rsid w:val="5BA85FF5"/>
    <w:rsid w:val="5DF16C64"/>
    <w:rsid w:val="5DFF2C8C"/>
    <w:rsid w:val="5EFA4D6F"/>
    <w:rsid w:val="5F0C1043"/>
    <w:rsid w:val="5FC7299C"/>
    <w:rsid w:val="5FC943AC"/>
    <w:rsid w:val="60524FFB"/>
    <w:rsid w:val="60D513C5"/>
    <w:rsid w:val="61903CAC"/>
    <w:rsid w:val="619F3903"/>
    <w:rsid w:val="624A05B8"/>
    <w:rsid w:val="62574003"/>
    <w:rsid w:val="648E3223"/>
    <w:rsid w:val="6495713E"/>
    <w:rsid w:val="66144CBE"/>
    <w:rsid w:val="669E4292"/>
    <w:rsid w:val="67BB4024"/>
    <w:rsid w:val="682C719B"/>
    <w:rsid w:val="68A70E51"/>
    <w:rsid w:val="68C314A8"/>
    <w:rsid w:val="68D42B85"/>
    <w:rsid w:val="69030DD9"/>
    <w:rsid w:val="6957122A"/>
    <w:rsid w:val="69FC3B4D"/>
    <w:rsid w:val="6A0B0A00"/>
    <w:rsid w:val="6AF23142"/>
    <w:rsid w:val="6B184FC4"/>
    <w:rsid w:val="6B1B3C01"/>
    <w:rsid w:val="6C6C4418"/>
    <w:rsid w:val="6CE06728"/>
    <w:rsid w:val="6D27087A"/>
    <w:rsid w:val="6DC30E5B"/>
    <w:rsid w:val="6F4B669E"/>
    <w:rsid w:val="6F6C06CA"/>
    <w:rsid w:val="702B2008"/>
    <w:rsid w:val="70FC22C7"/>
    <w:rsid w:val="71C6608B"/>
    <w:rsid w:val="72D179BF"/>
    <w:rsid w:val="73894780"/>
    <w:rsid w:val="74231176"/>
    <w:rsid w:val="75421315"/>
    <w:rsid w:val="756B2CFD"/>
    <w:rsid w:val="75874E09"/>
    <w:rsid w:val="75EB4796"/>
    <w:rsid w:val="76257FFE"/>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2"/>
      <w:lang w:val="en-US" w:eastAsia="zh-CN" w:bidi="ar-SA"/>
    </w:rPr>
  </w:style>
  <w:style w:type="paragraph" w:styleId="2">
    <w:name w:val="heading 1"/>
    <w:basedOn w:val="1"/>
    <w:next w:val="1"/>
    <w:qFormat/>
    <w:uiPriority w:val="0"/>
    <w:pPr>
      <w:spacing w:line="480" w:lineRule="atLeast"/>
      <w:outlineLvl w:val="0"/>
    </w:pPr>
    <w:rPr>
      <w:rFonts w:ascii="宋体" w:hAnsi="宋体"/>
      <w:b/>
      <w:sz w:val="30"/>
      <w:szCs w:val="30"/>
    </w:rPr>
  </w:style>
  <w:style w:type="paragraph" w:styleId="3">
    <w:name w:val="heading 2"/>
    <w:basedOn w:val="2"/>
    <w:next w:val="1"/>
    <w:semiHidden/>
    <w:unhideWhenUsed/>
    <w:qFormat/>
    <w:uiPriority w:val="0"/>
    <w:pPr>
      <w:outlineLvl w:val="1"/>
    </w:pPr>
    <w:rPr>
      <w:sz w:val="28"/>
    </w:rPr>
  </w:style>
  <w:style w:type="paragraph" w:styleId="4">
    <w:name w:val="heading 3"/>
    <w:basedOn w:val="1"/>
    <w:next w:val="1"/>
    <w:unhideWhenUsed/>
    <w:qFormat/>
    <w:uiPriority w:val="0"/>
    <w:pPr>
      <w:spacing w:line="480" w:lineRule="atLeast"/>
      <w:outlineLvl w:val="2"/>
    </w:pPr>
    <w:rPr>
      <w:rFonts w:ascii="宋体" w:hAnsi="宋体"/>
      <w:sz w:val="24"/>
      <w:szCs w:val="24"/>
    </w:rPr>
  </w:style>
  <w:style w:type="character" w:default="1" w:styleId="21">
    <w:name w:val="Default Paragraph Font"/>
    <w:semiHidden/>
    <w:qFormat/>
    <w:uiPriority w:val="0"/>
  </w:style>
  <w:style w:type="table" w:default="1" w:styleId="19">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next w:val="6"/>
    <w:qFormat/>
    <w:uiPriority w:val="0"/>
    <w:pPr>
      <w:ind w:firstLine="420" w:firstLineChars="200"/>
    </w:pPr>
    <w:rPr>
      <w:szCs w:val="24"/>
    </w:rPr>
  </w:style>
  <w:style w:type="paragraph" w:customStyle="1" w:styleId="6">
    <w:name w:val="样式 正文文本 + 首行缩进:  2 字符"/>
    <w:basedOn w:val="7"/>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styleId="7">
    <w:name w:val="Body Text"/>
    <w:basedOn w:val="1"/>
    <w:qFormat/>
    <w:uiPriority w:val="0"/>
    <w:pPr>
      <w:spacing w:after="120"/>
    </w:pPr>
  </w:style>
  <w:style w:type="paragraph" w:styleId="8">
    <w:name w:val="Body Text Indent"/>
    <w:basedOn w:val="1"/>
    <w:qFormat/>
    <w:uiPriority w:val="0"/>
    <w:pPr>
      <w:spacing w:after="120" w:afterLines="0" w:afterAutospacing="0"/>
      <w:ind w:left="420" w:leftChars="200"/>
    </w:pPr>
  </w:style>
  <w:style w:type="paragraph" w:styleId="9">
    <w:name w:val="toc 3"/>
    <w:basedOn w:val="1"/>
    <w:next w:val="1"/>
    <w:qFormat/>
    <w:uiPriority w:val="0"/>
    <w:pPr>
      <w:widowControl/>
      <w:spacing w:after="100" w:line="259" w:lineRule="auto"/>
      <w:ind w:left="440"/>
      <w:jc w:val="left"/>
    </w:pPr>
    <w:rPr>
      <w:kern w:val="0"/>
      <w:sz w:val="22"/>
    </w:rPr>
  </w:style>
  <w:style w:type="paragraph" w:styleId="10">
    <w:name w:val="Plain Text"/>
    <w:basedOn w:val="1"/>
    <w:qFormat/>
    <w:uiPriority w:val="0"/>
    <w:rPr>
      <w:rFonts w:ascii="宋体" w:hAnsi="Courier New" w:cs="Courier New"/>
      <w:szCs w:val="21"/>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4">
    <w:name w:val="List"/>
    <w:basedOn w:val="1"/>
    <w:qFormat/>
    <w:uiPriority w:val="0"/>
    <w:pPr>
      <w:spacing w:line="360" w:lineRule="exact"/>
      <w:ind w:firstLine="38" w:firstLineChars="18"/>
      <w:jc w:val="left"/>
    </w:pPr>
    <w:rPr>
      <w:rFonts w:ascii="宋体" w:hAnsi="Times New Roman"/>
      <w:szCs w:val="21"/>
    </w:rPr>
  </w:style>
  <w:style w:type="paragraph" w:styleId="15">
    <w:name w:val="toc 2"/>
    <w:basedOn w:val="1"/>
    <w:next w:val="1"/>
    <w:qFormat/>
    <w:uiPriority w:val="0"/>
    <w:pPr>
      <w:ind w:left="420" w:leftChars="200"/>
    </w:pPr>
  </w:style>
  <w:style w:type="paragraph" w:styleId="16">
    <w:name w:val="Normal (Web)"/>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17">
    <w:name w:val="Body Text First Indent"/>
    <w:basedOn w:val="7"/>
    <w:qFormat/>
    <w:uiPriority w:val="0"/>
    <w:pPr>
      <w:ind w:firstLine="420" w:firstLineChars="100"/>
    </w:pPr>
    <w:rPr>
      <w:szCs w:val="24"/>
    </w:rPr>
  </w:style>
  <w:style w:type="paragraph" w:styleId="18">
    <w:name w:val="Body Text First Indent 2"/>
    <w:basedOn w:val="8"/>
    <w:next w:val="1"/>
    <w:qFormat/>
    <w:uiPriority w:val="0"/>
    <w:pPr>
      <w:ind w:firstLine="420" w:firstLineChars="200"/>
    </w:p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2">
    <w:name w:val="样式 样式 样式 四号 左侧:  1.53 厘米 + 首行缩进:  2 字符 + 居中 左侧:  2 字符 首行缩进:  2..."/>
    <w:basedOn w:val="23"/>
    <w:qFormat/>
    <w:uiPriority w:val="0"/>
    <w:pPr>
      <w:ind w:firstLine="0" w:firstLineChars="0"/>
      <w:jc w:val="center"/>
    </w:pPr>
  </w:style>
  <w:style w:type="paragraph" w:customStyle="1" w:styleId="23">
    <w:name w:val="样式 样式 四号 左侧:  1.53 厘米 + 首行缩进:  2 字符"/>
    <w:basedOn w:val="24"/>
    <w:qFormat/>
    <w:uiPriority w:val="0"/>
    <w:pPr>
      <w:ind w:left="200" w:leftChars="200"/>
    </w:pPr>
    <w:rPr>
      <w:szCs w:val="20"/>
    </w:rPr>
  </w:style>
  <w:style w:type="paragraph" w:customStyle="1" w:styleId="24">
    <w:name w:val="样式 四号 左侧:  1.53 厘米"/>
    <w:basedOn w:val="1"/>
    <w:qFormat/>
    <w:uiPriority w:val="0"/>
    <w:pPr>
      <w:adjustRightInd w:val="0"/>
    </w:pPr>
    <w:rPr>
      <w:w w:val="90"/>
      <w:sz w:val="28"/>
      <w:szCs w:val="28"/>
    </w:rPr>
  </w:style>
  <w:style w:type="paragraph" w:customStyle="1" w:styleId="25">
    <w:name w:val="TOC Heading1"/>
    <w:basedOn w:val="2"/>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6">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7">
    <w:name w:val="列出段落1"/>
    <w:basedOn w:val="1"/>
    <w:qFormat/>
    <w:uiPriority w:val="99"/>
    <w:pPr>
      <w:ind w:firstLine="420" w:firstLineChars="200"/>
    </w:pPr>
  </w:style>
  <w:style w:type="table" w:customStyle="1" w:styleId="28">
    <w:name w:val="TableGrid"/>
    <w:qFormat/>
    <w:uiPriority w:val="0"/>
    <w:tblPr>
      <w:tblLayout w:type="fixed"/>
      <w:tblCellMar>
        <w:top w:w="0" w:type="dxa"/>
        <w:left w:w="0" w:type="dxa"/>
        <w:bottom w:w="0" w:type="dxa"/>
        <w:right w:w="0" w:type="dxa"/>
      </w:tblCellMar>
    </w:tblPr>
  </w:style>
  <w:style w:type="paragraph" w:customStyle="1" w:styleId="29">
    <w:name w:val="(1)"/>
    <w:basedOn w:val="1"/>
    <w:qFormat/>
    <w:uiPriority w:val="0"/>
    <w:rPr>
      <w:sz w:val="24"/>
    </w:rPr>
  </w:style>
  <w:style w:type="paragraph" w:customStyle="1" w:styleId="30">
    <w:name w:val="1"/>
    <w:basedOn w:val="1"/>
    <w:next w:val="10"/>
    <w:qFormat/>
    <w:uiPriority w:val="0"/>
    <w:rPr>
      <w:rFonts w:ascii="宋体" w:hAnsi="Courier New"/>
      <w:color w:val="000000"/>
      <w:kern w:val="44"/>
      <w:sz w:val="24"/>
      <w:szCs w:val="20"/>
    </w:rPr>
  </w:style>
  <w:style w:type="paragraph" w:customStyle="1" w:styleId="31">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2">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3">
    <w:name w:val="A-表格文字"/>
    <w:basedOn w:val="1"/>
    <w:next w:val="1"/>
    <w:qFormat/>
    <w:uiPriority w:val="0"/>
    <w:pPr>
      <w:autoSpaceDE w:val="0"/>
      <w:autoSpaceDN w:val="0"/>
      <w:adjustRightInd w:val="0"/>
      <w:jc w:val="center"/>
      <w:textAlignment w:val="center"/>
    </w:pPr>
    <w:rPr>
      <w:szCs w:val="21"/>
    </w:rPr>
  </w:style>
  <w:style w:type="paragraph" w:customStyle="1" w:styleId="34">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只爱你</cp:lastModifiedBy>
  <cp:lastPrinted>2019-07-16T07:21:00Z</cp:lastPrinted>
  <dcterms:modified xsi:type="dcterms:W3CDTF">2020-04-15T07:48:55Z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