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default" w:ascii="Times New Roman" w:hAnsi="Times New Roman" w:cs="Times New Roman"/>
          <w:sz w:val="36"/>
          <w:szCs w:val="36"/>
          <w:lang w:val="en-US" w:eastAsia="zh-CN"/>
        </w:rPr>
      </w:pPr>
      <w:bookmarkStart w:id="1" w:name="_Hlk496950128"/>
      <w:r>
        <w:rPr>
          <w:rFonts w:hint="eastAsia" w:ascii="Times New Roman" w:hAnsi="Times New Roman" w:cs="Times New Roman"/>
          <w:sz w:val="36"/>
          <w:szCs w:val="36"/>
          <w:lang w:val="en-US" w:eastAsia="zh-CN"/>
        </w:rPr>
        <w:t>河北津华运输机械制造有限公司</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val="en-US" w:eastAsia="zh-CN"/>
        </w:rPr>
        <w:t>输送机械生产</w:t>
      </w:r>
      <w:r>
        <w:rPr>
          <w:rFonts w:hint="eastAsia" w:ascii="Times New Roman" w:hAnsi="Times New Roman" w:cs="Times New Roman"/>
          <w:sz w:val="36"/>
          <w:szCs w:val="36"/>
          <w:lang w:eastAsia="zh-CN"/>
        </w:rPr>
        <w:t>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val="en-US" w:eastAsia="zh-CN"/>
        </w:rPr>
        <w:t>河北津华输送机械制造有限公司</w:t>
      </w: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val="en-US" w:eastAsia="zh-CN"/>
        </w:rPr>
        <w:t>河北津华输送机械制造有限公司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default" w:ascii="Times New Roman" w:hAnsi="Times New Roman" w:eastAsia="宋体"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5</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9</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p>
    <w:p>
      <w:pPr>
        <w:pStyle w:val="19"/>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3375"/>
      <w:bookmarkStart w:id="3" w:name="_Toc9675"/>
      <w:bookmarkStart w:id="4" w:name="_Toc10004"/>
      <w:bookmarkStart w:id="5" w:name="_Toc20373"/>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河北津华输送机械制造有限公司位于</w:t>
      </w:r>
      <w:r>
        <w:rPr>
          <w:color w:val="auto"/>
          <w:sz w:val="24"/>
          <w:szCs w:val="24"/>
        </w:rPr>
        <w:t>河北省沧州市沧州市</w:t>
      </w:r>
      <w:r>
        <w:rPr>
          <w:rFonts w:hint="eastAsia"/>
          <w:color w:val="auto"/>
          <w:sz w:val="24"/>
          <w:szCs w:val="24"/>
          <w:lang w:val="en-US" w:eastAsia="zh-CN"/>
        </w:rPr>
        <w:t>盐山县盐山镇白庄村</w:t>
      </w:r>
      <w:r>
        <w:rPr>
          <w:rFonts w:hint="eastAsia" w:ascii="Times New Roman" w:hAnsi="Times New Roman" w:cs="Times New Roman"/>
          <w:sz w:val="24"/>
          <w:szCs w:val="24"/>
          <w:lang w:val="en-US" w:eastAsia="zh-CN"/>
        </w:rPr>
        <w:t>，企业投资160万元建设</w:t>
      </w:r>
      <w:r>
        <w:rPr>
          <w:sz w:val="24"/>
        </w:rPr>
        <w:t>年产</w:t>
      </w:r>
      <w:r>
        <w:rPr>
          <w:rFonts w:hint="eastAsia"/>
          <w:sz w:val="24"/>
        </w:rPr>
        <w:t>80吨输送机械</w:t>
      </w:r>
      <w:r>
        <w:rPr>
          <w:rFonts w:hint="eastAsia"/>
          <w:sz w:val="24"/>
          <w:lang w:val="en-US" w:eastAsia="zh-CN"/>
        </w:rPr>
        <w:t>项目</w:t>
      </w:r>
      <w:r>
        <w:rPr>
          <w:rFonts w:hint="eastAsia" w:ascii="Times New Roman" w:hAnsi="Times New Roman" w:cs="Times New Roman"/>
          <w:sz w:val="24"/>
          <w:szCs w:val="24"/>
          <w:lang w:val="en-US" w:eastAsia="zh-CN"/>
        </w:rPr>
        <w:t>，河北津华输送机械制造有限公司于2019年9月委托</w:t>
      </w: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cs="Times New Roman"/>
          <w:sz w:val="24"/>
          <w:szCs w:val="24"/>
          <w:lang w:val="en-US" w:eastAsia="zh-CN"/>
        </w:rPr>
        <w:t>编制完成了《河北津华输送机械制造有限公司输送机械生产项目环境影响报告表》，于2019年11月1日取得了沧州市生态环境保护局盐山县分局的批复，审批文号为盐环表[2019]144号。并于2020年4月2日取得固定污染源排污登记回执，登记编号为91130925763429753U001Y。</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2020年5月，河北津华输送机械制造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w:t>
      </w:r>
      <w:r>
        <w:rPr>
          <w:rFonts w:hint="eastAsia" w:ascii="Times New Roman" w:hAnsi="Times New Roman" w:cs="Times New Roman"/>
          <w:color w:val="auto"/>
          <w:sz w:val="24"/>
          <w:szCs w:val="24"/>
          <w:lang w:val="en-US" w:eastAsia="zh-CN"/>
        </w:rPr>
        <w:t>，同时河北津华输送机械制造有限公司委托河北中寰检测服务有限公司于</w:t>
      </w:r>
      <w:bookmarkStart w:id="6" w:name="_Hlk496985984"/>
      <w:r>
        <w:rPr>
          <w:rFonts w:hint="eastAsia" w:ascii="Times New Roman" w:hAnsi="Times New Roman" w:cs="Times New Roman"/>
          <w:color w:val="auto"/>
          <w:sz w:val="24"/>
          <w:szCs w:val="24"/>
          <w:highlight w:val="none"/>
          <w:lang w:val="en-US" w:eastAsia="zh-CN"/>
        </w:rPr>
        <w:t>2020年4月23日至24日</w:t>
      </w:r>
      <w:bookmarkEnd w:id="6"/>
      <w:r>
        <w:rPr>
          <w:rFonts w:hint="eastAsia" w:ascii="Times New Roman" w:hAnsi="Times New Roman" w:cs="Times New Roman"/>
          <w:color w:val="auto"/>
          <w:sz w:val="24"/>
          <w:szCs w:val="24"/>
          <w:highlight w:val="none"/>
          <w:lang w:val="en-US" w:eastAsia="zh-CN"/>
        </w:rPr>
        <w:t>进行了竣工验收检测并出具检测报告，报告编号为：HBZH-Y-20200071</w:t>
      </w:r>
      <w:r>
        <w:rPr>
          <w:rFonts w:hint="eastAsia" w:ascii="Times New Roman" w:hAnsi="Times New Roman" w:cs="Times New Roman"/>
          <w:color w:val="auto"/>
          <w:sz w:val="24"/>
          <w:szCs w:val="24"/>
          <w:lang w:val="en-US" w:eastAsia="zh-CN"/>
        </w:rPr>
        <w:t>。</w:t>
      </w:r>
      <w:r>
        <w:rPr>
          <w:rFonts w:hint="eastAsia" w:ascii="Times New Roman" w:hAnsi="Times New Roman" w:cs="Times New Roman"/>
          <w:sz w:val="24"/>
          <w:szCs w:val="24"/>
          <w:lang w:val="en-US" w:eastAsia="zh-CN"/>
        </w:rPr>
        <w:t>河北津华输送机械制造有限公司根据现场调查情况和检测报告按照《建设项目竣工环境保护验收技术指南污染影响类》编制完成竣工环境保护验收报告，为竣工验收提供科学依据。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17755"/>
      <w:bookmarkStart w:id="8" w:name="_Toc23777"/>
      <w:bookmarkStart w:id="9" w:name="_Toc14085"/>
      <w:bookmarkStart w:id="10" w:name="_Toc25774"/>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5229"/>
      <w:bookmarkStart w:id="12" w:name="_Toc30258"/>
      <w:bookmarkStart w:id="13" w:name="_Toc12399"/>
      <w:bookmarkStart w:id="14" w:name="_Toc32325"/>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1240"/>
      <w:bookmarkStart w:id="16" w:name="_Toc17067"/>
      <w:bookmarkStart w:id="17" w:name="_Toc19988"/>
      <w:bookmarkStart w:id="18" w:name="_Toc19837"/>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（3）《环境影响评价技术导则地面水环境》（HJ/T2.3-93）；</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w:t>
      </w:r>
      <w:r>
        <w:rPr>
          <w:rFonts w:hint="eastAsia" w:ascii="Times New Roman" w:hAnsi="Times New Roman" w:cs="Times New Roman"/>
          <w:sz w:val="24"/>
          <w:szCs w:val="24"/>
          <w:lang w:val="en-US" w:eastAsia="zh-CN"/>
        </w:rPr>
        <w:t>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6393"/>
      <w:bookmarkStart w:id="20" w:name="_Toc25083"/>
      <w:bookmarkStart w:id="21" w:name="_Toc31818"/>
      <w:bookmarkStart w:id="22" w:name="_Toc25756"/>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河北津华输送机械制造有限公司输送机械生产项目环境影响报告表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沧州市生态保护局盐山县分局</w:t>
      </w:r>
      <w:r>
        <w:rPr>
          <w:rFonts w:hint="eastAsia"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盐环表[2019]144号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河北津华输送机械制造有限公司输送机械生产项目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2019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河北津华输送机械制造有限公司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eastAsia" w:ascii="Times New Roman" w:hAnsi="Times New Roman" w:cs="Times New Roman"/>
          <w:color w:val="auto"/>
          <w:sz w:val="24"/>
          <w:szCs w:val="24"/>
          <w:highlight w:val="none"/>
          <w:lang w:val="en-US" w:eastAsia="zh-CN"/>
        </w:rPr>
        <w:t>HBZH-Y-20200071</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河北津华输送机械制造有限公司</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13007"/>
      <w:bookmarkStart w:id="24" w:name="_Toc5367"/>
      <w:bookmarkStart w:id="25" w:name="_Toc26991"/>
      <w:bookmarkStart w:id="26" w:name="_Toc20655"/>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11367"/>
      <w:bookmarkStart w:id="28" w:name="_Toc29334"/>
      <w:bookmarkStart w:id="29" w:name="_Toc4417"/>
      <w:bookmarkStart w:id="30" w:name="_Toc22753"/>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497001436"/>
      <w:bookmarkStart w:id="32" w:name="_Toc1249"/>
      <w:bookmarkStart w:id="33" w:name="_Toc1800"/>
      <w:bookmarkStart w:id="34" w:name="_Toc19257"/>
      <w:bookmarkStart w:id="35" w:name="_Toc496979000"/>
      <w:bookmarkStart w:id="36" w:name="_Toc2038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河北津华输送机械制造有限公司输送机械生产项目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河北津华输送机械制造有限公司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张帅</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张帅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color w:val="auto"/>
                <w:sz w:val="24"/>
                <w:szCs w:val="24"/>
              </w:rPr>
              <w:t>沧州市</w:t>
            </w:r>
            <w:r>
              <w:rPr>
                <w:rFonts w:hint="eastAsia"/>
                <w:color w:val="auto"/>
                <w:sz w:val="24"/>
                <w:szCs w:val="24"/>
                <w:lang w:val="en-US" w:eastAsia="zh-CN"/>
              </w:rPr>
              <w:t>盐山县盐山镇白庄村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color w:val="000000" w:themeColor="text1"/>
                <w:sz w:val="24"/>
                <w14:textFill>
                  <w14:solidFill>
                    <w14:schemeClr w14:val="tx1"/>
                  </w14:solidFill>
                </w14:textFill>
              </w:rPr>
              <w:t>15832790178</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color w:val="auto"/>
                <w:sz w:val="24"/>
              </w:rPr>
              <w:t>061</w:t>
            </w:r>
            <w:r>
              <w:rPr>
                <w:rFonts w:hint="eastAsia"/>
                <w:color w:val="auto"/>
                <w:sz w:val="24"/>
                <w:lang w:val="en-US" w:eastAsia="zh-CN"/>
              </w:rPr>
              <w:t>3</w:t>
            </w:r>
            <w:r>
              <w:rPr>
                <w:color w:val="auto"/>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color w:val="auto"/>
                <w:sz w:val="24"/>
              </w:rPr>
              <w:t>C3399其他未列明金属制品制造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160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color w:val="auto"/>
                <w:sz w:val="24"/>
                <w:szCs w:val="24"/>
              </w:rPr>
              <w:t>沧州市</w:t>
            </w:r>
            <w:r>
              <w:rPr>
                <w:rFonts w:hint="eastAsia"/>
                <w:color w:val="auto"/>
                <w:sz w:val="24"/>
                <w:szCs w:val="24"/>
                <w:lang w:val="en-US" w:eastAsia="zh-CN"/>
              </w:rPr>
              <w:t>盐山县盐山镇白庄村</w:t>
            </w:r>
          </w:p>
        </w:tc>
      </w:tr>
    </w:tbl>
    <w:p>
      <w:pPr>
        <w:pStyle w:val="7"/>
        <w:rPr>
          <w:rFonts w:hint="default" w:ascii="Times New Roman" w:hAnsi="Times New Roman" w:eastAsia="宋体" w:cs="Times New Roman"/>
        </w:rPr>
      </w:pPr>
      <w:bookmarkStart w:id="38" w:name="_Toc5505"/>
      <w:bookmarkStart w:id="39" w:name="_Toc17116"/>
      <w:bookmarkStart w:id="40" w:name="_Toc20144"/>
      <w:bookmarkStart w:id="41" w:name="_Toc496979001"/>
      <w:bookmarkStart w:id="42" w:name="_Toc27686"/>
      <w:bookmarkStart w:id="43" w:name="_Toc497001437"/>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w:t>
      </w:r>
      <w:r>
        <w:rPr>
          <w:color w:val="auto"/>
          <w:sz w:val="24"/>
          <w:szCs w:val="24"/>
        </w:rPr>
        <w:t>沧州市</w:t>
      </w:r>
      <w:r>
        <w:rPr>
          <w:rFonts w:hint="eastAsia"/>
          <w:color w:val="auto"/>
          <w:sz w:val="24"/>
          <w:szCs w:val="24"/>
          <w:lang w:val="en-US" w:eastAsia="zh-CN"/>
        </w:rPr>
        <w:t>盐山县盐山镇白庄村</w:t>
      </w:r>
      <w:r>
        <w:rPr>
          <w:rFonts w:hint="eastAsia" w:ascii="Times New Roman" w:hAnsi="Times New Roman" w:cs="Times New Roman"/>
          <w:spacing w:val="0"/>
          <w:kern w:val="0"/>
          <w:sz w:val="24"/>
          <w:szCs w:val="24"/>
          <w:lang w:val="en-US" w:eastAsia="zh-CN"/>
        </w:rPr>
        <w:t>，</w:t>
      </w:r>
      <w:r>
        <w:rPr>
          <w:color w:val="000000" w:themeColor="text1"/>
          <w:sz w:val="24"/>
          <w14:textFill>
            <w14:solidFill>
              <w14:schemeClr w14:val="tx1"/>
            </w14:solidFill>
          </w14:textFill>
        </w:rPr>
        <w:t>项目厂址中心地理坐标为</w:t>
      </w:r>
      <w:r>
        <w:rPr>
          <w:bCs/>
          <w:sz w:val="24"/>
        </w:rPr>
        <w:t>东经11</w:t>
      </w:r>
      <w:r>
        <w:rPr>
          <w:rFonts w:hint="eastAsia"/>
          <w:bCs/>
          <w:sz w:val="24"/>
        </w:rPr>
        <w:t>7</w:t>
      </w:r>
      <w:r>
        <w:rPr>
          <w:bCs/>
          <w:sz w:val="24"/>
        </w:rPr>
        <w:t>°</w:t>
      </w:r>
      <w:r>
        <w:rPr>
          <w:rFonts w:hint="eastAsia"/>
          <w:bCs/>
          <w:sz w:val="24"/>
        </w:rPr>
        <w:t>11</w:t>
      </w:r>
      <w:r>
        <w:rPr>
          <w:bCs/>
          <w:sz w:val="24"/>
        </w:rPr>
        <w:t>′</w:t>
      </w:r>
      <w:r>
        <w:rPr>
          <w:rFonts w:hint="eastAsia"/>
          <w:bCs/>
          <w:sz w:val="24"/>
        </w:rPr>
        <w:t>38.08</w:t>
      </w:r>
      <w:r>
        <w:rPr>
          <w:bCs/>
          <w:sz w:val="24"/>
        </w:rPr>
        <w:t>′′，北纬38°</w:t>
      </w:r>
      <w:r>
        <w:rPr>
          <w:rFonts w:hint="eastAsia"/>
          <w:bCs/>
          <w:sz w:val="24"/>
        </w:rPr>
        <w:t>3</w:t>
      </w:r>
      <w:r>
        <w:rPr>
          <w:bCs/>
          <w:sz w:val="24"/>
        </w:rPr>
        <w:t>′</w:t>
      </w:r>
      <w:r>
        <w:rPr>
          <w:rFonts w:hint="eastAsia"/>
          <w:bCs/>
          <w:sz w:val="24"/>
        </w:rPr>
        <w:t>42.21</w:t>
      </w:r>
      <w:r>
        <w:rPr>
          <w:bCs/>
          <w:sz w:val="24"/>
        </w:rPr>
        <w:t>′′</w:t>
      </w:r>
      <w:r>
        <w:rPr>
          <w:color w:val="000000" w:themeColor="text1"/>
          <w:sz w:val="24"/>
          <w14:textFill>
            <w14:solidFill>
              <w14:schemeClr w14:val="tx1"/>
            </w14:solidFill>
          </w14:textFill>
        </w:rPr>
        <w:t>。</w:t>
      </w:r>
      <w:r>
        <w:rPr>
          <w:sz w:val="24"/>
        </w:rPr>
        <w:t>项目</w:t>
      </w:r>
      <w:r>
        <w:rPr>
          <w:rFonts w:hint="eastAsia"/>
          <w:sz w:val="24"/>
        </w:rPr>
        <w:t>西侧为空地，北侧为住户，南侧为空地，东侧为住户。</w:t>
      </w:r>
      <w:r>
        <w:rPr>
          <w:sz w:val="24"/>
        </w:rPr>
        <w:t>项目周围无自然保护区，无野生动植物及文物保护单位，周围</w:t>
      </w:r>
      <w:r>
        <w:rPr>
          <w:bCs/>
          <w:sz w:val="24"/>
        </w:rPr>
        <w:t>最近环境敏感点为项目厂址</w:t>
      </w:r>
      <w:r>
        <w:rPr>
          <w:rFonts w:hint="eastAsia"/>
          <w:bCs/>
          <w:sz w:val="24"/>
        </w:rPr>
        <w:t>东北侧20m的白庄村</w:t>
      </w:r>
      <w:r>
        <w:rPr>
          <w:bCs/>
          <w:sz w:val="24"/>
        </w:rPr>
        <w:t>，</w:t>
      </w:r>
      <w:r>
        <w:rPr>
          <w:sz w:val="24"/>
        </w:rPr>
        <w:t>项目地理位置图见附图1，周边关系图见附图2。</w:t>
      </w:r>
    </w:p>
    <w:p>
      <w:pPr>
        <w:pStyle w:val="7"/>
        <w:rPr>
          <w:rFonts w:hint="default" w:ascii="Times New Roman" w:hAnsi="Times New Roman" w:eastAsia="宋体" w:cs="Times New Roman"/>
        </w:rPr>
      </w:pPr>
      <w:bookmarkStart w:id="44" w:name="_Toc32226"/>
      <w:bookmarkStart w:id="45" w:name="_Toc20079"/>
      <w:bookmarkStart w:id="46" w:name="_Toc8614"/>
      <w:bookmarkStart w:id="47" w:name="_Toc496979002"/>
      <w:bookmarkStart w:id="48" w:name="_Toc497001438"/>
      <w:bookmarkStart w:id="49" w:name="_Toc29219"/>
      <w:r>
        <w:rPr>
          <w:rFonts w:hint="default" w:ascii="Times New Roman" w:hAnsi="Times New Roman" w:eastAsia="宋体" w:cs="Times New Roman"/>
        </w:rPr>
        <w:t>2.1.3厂区平面布置</w:t>
      </w:r>
      <w:bookmarkEnd w:id="44"/>
      <w:bookmarkEnd w:id="45"/>
      <w:bookmarkEnd w:id="46"/>
      <w:bookmarkEnd w:id="47"/>
      <w:bookmarkEnd w:id="48"/>
      <w:bookmarkEnd w:id="49"/>
    </w:p>
    <w:p>
      <w:pPr>
        <w:pStyle w:val="2"/>
        <w:spacing w:line="360" w:lineRule="auto"/>
        <w:rPr>
          <w:rFonts w:hint="eastAsia" w:ascii="宋体" w:hAnsi="宋体" w:eastAsia="宋体" w:cs="宋体"/>
          <w:sz w:val="24"/>
          <w:szCs w:val="24"/>
        </w:rPr>
      </w:pPr>
      <w:bookmarkStart w:id="50" w:name="_Toc23208"/>
      <w:bookmarkStart w:id="51" w:name="_Toc23037"/>
      <w:bookmarkStart w:id="52" w:name="_Toc27136"/>
      <w:bookmarkStart w:id="53" w:name="_Toc32048"/>
      <w:r>
        <w:rPr>
          <w:rFonts w:hint="eastAsia" w:ascii="宋体" w:hAnsi="宋体" w:eastAsia="宋体" w:cs="宋体"/>
          <w:sz w:val="24"/>
          <w:szCs w:val="24"/>
        </w:rPr>
        <w:t>厂区共设2个大门均位于厂区东侧，厂区东侧为办公区，厂区中部由南向北依次为生产车间2和生产车间3，厂区西部由南向北依次为生产车间1和仓库。具体平面布置见附图3。</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27539"/>
      <w:bookmarkStart w:id="55" w:name="_Toc30677"/>
      <w:bookmarkStart w:id="56" w:name="_Toc10787"/>
      <w:bookmarkStart w:id="57" w:name="_Toc497001440"/>
      <w:bookmarkStart w:id="58" w:name="_Toc496979004"/>
      <w:bookmarkStart w:id="59" w:name="_Toc26634"/>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default" w:ascii="Times New Roman" w:hAnsi="Times New Roman" w:eastAsia="宋体" w:cs="Times New Roman"/>
        </w:rPr>
      </w:pPr>
      <w:bookmarkStart w:id="60" w:name="_Toc26443"/>
      <w:bookmarkStart w:id="61" w:name="_Toc9009"/>
      <w:bookmarkStart w:id="62" w:name="_Toc26546"/>
      <w:bookmarkStart w:id="63" w:name="_Toc26138"/>
      <w:bookmarkStart w:id="64" w:name="_Toc25732"/>
      <w:bookmarkStart w:id="65" w:name="_Toc30045"/>
      <w:r>
        <w:rPr>
          <w:rFonts w:hint="default" w:ascii="Times New Roman" w:hAnsi="Times New Roman" w:eastAsia="宋体" w:cs="Times New Roman"/>
        </w:rPr>
        <w:t>本项目</w:t>
      </w:r>
      <w:bookmarkEnd w:id="60"/>
      <w:bookmarkStart w:id="66" w:name="_Toc496979005"/>
      <w:bookmarkStart w:id="67" w:name="_Toc497001441"/>
      <w:r>
        <w:rPr>
          <w:sz w:val="24"/>
        </w:rPr>
        <w:t>年产</w:t>
      </w:r>
      <w:r>
        <w:rPr>
          <w:rFonts w:hint="eastAsia"/>
          <w:sz w:val="24"/>
        </w:rPr>
        <w:t>80吨输送机械</w:t>
      </w:r>
      <w:r>
        <w:rPr>
          <w:rFonts w:hint="eastAsia" w:ascii="Times New Roman" w:hAnsi="Times New Roman" w:cs="Times New Roman"/>
          <w:lang w:val="en-US" w:eastAsia="zh-CN"/>
        </w:rPr>
        <w:t>。</w:t>
      </w:r>
      <w:bookmarkEnd w:id="61"/>
      <w:bookmarkEnd w:id="62"/>
      <w:bookmarkEnd w:id="63"/>
      <w:bookmarkEnd w:id="64"/>
      <w:bookmarkEnd w:id="65"/>
    </w:p>
    <w:p>
      <w:pPr>
        <w:pStyle w:val="7"/>
        <w:spacing w:line="440" w:lineRule="atLeast"/>
        <w:rPr>
          <w:rFonts w:hint="eastAsia" w:ascii="Times New Roman" w:hAnsi="Times New Roman" w:eastAsia="宋体" w:cs="Times New Roman"/>
          <w:sz w:val="24"/>
          <w:szCs w:val="24"/>
          <w:lang w:eastAsia="zh-CN"/>
        </w:rPr>
      </w:pPr>
      <w:bookmarkStart w:id="68" w:name="_Toc23799"/>
      <w:bookmarkStart w:id="69" w:name="_Toc20908"/>
      <w:bookmarkStart w:id="70" w:name="_Toc21731"/>
      <w:bookmarkStart w:id="71" w:name="_Toc13472"/>
      <w:r>
        <w:rPr>
          <w:rFonts w:hint="default" w:ascii="Times New Roman" w:hAnsi="Times New Roman" w:eastAsia="宋体" w:cs="Times New Roman"/>
        </w:rPr>
        <w:t>2.2.2主要原辅材料</w:t>
      </w:r>
      <w:bookmarkEnd w:id="66"/>
      <w:bookmarkEnd w:id="67"/>
      <w:bookmarkEnd w:id="68"/>
      <w:bookmarkEnd w:id="69"/>
      <w:bookmarkEnd w:id="70"/>
      <w:bookmarkEnd w:id="71"/>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2" w:name="_Toc26045"/>
            <w:bookmarkStart w:id="73" w:name="_Toc4853"/>
            <w:bookmarkStart w:id="74" w:name="_Toc497001442"/>
            <w:bookmarkStart w:id="75" w:name="_Toc496979006"/>
            <w:bookmarkStart w:id="76" w:name="_Toc2160"/>
            <w:bookmarkStart w:id="77" w:name="_Toc5968"/>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钢材</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150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焊条</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0.02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焊丝</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0.2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4</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水</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m</w:t>
            </w:r>
            <w:r>
              <w:rPr>
                <w:color w:val="000000"/>
                <w:szCs w:val="21"/>
                <w:vertAlign w:val="superscript"/>
              </w:rPr>
              <w:t>3</w:t>
            </w:r>
            <w:r>
              <w:rPr>
                <w:color w:val="000000"/>
                <w:szCs w:val="21"/>
              </w:rPr>
              <w: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66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5</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电</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万kWh/a</w:t>
            </w:r>
          </w:p>
        </w:tc>
        <w:tc>
          <w:tcPr>
            <w:tcW w:w="1881"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2"/>
      <w:bookmarkEnd w:id="73"/>
      <w:bookmarkEnd w:id="74"/>
      <w:bookmarkEnd w:id="75"/>
      <w:bookmarkEnd w:id="76"/>
      <w:bookmarkEnd w:id="77"/>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eastAsia" w:ascii="宋体" w:hAnsi="宋体" w:eastAsia="宋体" w:cs="宋体"/>
          <w:sz w:val="24"/>
          <w:szCs w:val="24"/>
        </w:rPr>
        <w:t>本项目</w:t>
      </w:r>
      <w:r>
        <w:rPr>
          <w:rFonts w:hint="eastAsia" w:ascii="宋体" w:hAnsi="宋体" w:eastAsia="宋体" w:cs="宋体"/>
          <w:color w:val="000000" w:themeColor="text1"/>
          <w:sz w:val="24"/>
          <w:szCs w:val="24"/>
          <w14:textFill>
            <w14:solidFill>
              <w14:schemeClr w14:val="tx1"/>
            </w14:solidFill>
          </w14:textFill>
        </w:rPr>
        <w:t>购置</w:t>
      </w:r>
      <w:r>
        <w:rPr>
          <w:rFonts w:hint="eastAsia" w:ascii="宋体" w:hAnsi="宋体" w:cs="宋体"/>
          <w:color w:val="000000" w:themeColor="text1"/>
          <w:sz w:val="24"/>
          <w:szCs w:val="24"/>
          <w:lang w:val="en-US" w:eastAsia="zh-CN"/>
          <w14:textFill>
            <w14:solidFill>
              <w14:schemeClr w14:val="tx1"/>
            </w14:solidFill>
          </w14:textFill>
        </w:rPr>
        <w:t>车床、切割机、二保焊机、电焊机、钻床</w:t>
      </w:r>
      <w:r>
        <w:rPr>
          <w:rFonts w:hint="eastAsia" w:ascii="宋体" w:hAnsi="宋体" w:eastAsia="宋体" w:cs="宋体"/>
          <w:color w:val="000000" w:themeColor="text1"/>
          <w:sz w:val="24"/>
          <w:szCs w:val="24"/>
          <w14:textFill>
            <w14:solidFill>
              <w14:schemeClr w14:val="tx1"/>
            </w14:solidFill>
          </w14:textFill>
        </w:rPr>
        <w:t>等共</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台</w:t>
      </w:r>
      <w:r>
        <w:rPr>
          <w:rFonts w:hint="default" w:ascii="Times New Roman" w:hAnsi="Times New Roman" w:eastAsia="宋体" w:cs="Times New Roman"/>
          <w:sz w:val="24"/>
          <w:szCs w:val="24"/>
        </w:rPr>
        <w:t>，</w:t>
      </w:r>
      <w:r>
        <w:rPr>
          <w:sz w:val="24"/>
        </w:rPr>
        <w:t>年产</w:t>
      </w:r>
      <w:r>
        <w:rPr>
          <w:rFonts w:hint="eastAsia"/>
          <w:sz w:val="24"/>
        </w:rPr>
        <w:t>80吨输送机械</w:t>
      </w:r>
      <w:r>
        <w:rPr>
          <w:rFonts w:hint="default" w:ascii="Times New Roman" w:hAnsi="Times New Roman" w:eastAsia="宋体" w:cs="Times New Roman"/>
          <w:sz w:val="24"/>
          <w:szCs w:val="24"/>
        </w:rPr>
        <w:t>。</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辅助工程、</w:t>
      </w:r>
      <w:r>
        <w:rPr>
          <w:rFonts w:hint="eastAsia" w:ascii="Times New Roman" w:hAnsi="Times New Roman" w:eastAsia="宋体" w:cs="Times New Roman"/>
          <w:sz w:val="24"/>
          <w:szCs w:val="24"/>
          <w:lang w:val="en-US" w:eastAsia="zh-CN"/>
        </w:rPr>
        <w:t>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222"/>
        <w:gridCol w:w="5043"/>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cs="Times New Roman"/>
                <w:color w:val="auto"/>
                <w:sz w:val="21"/>
                <w:szCs w:val="21"/>
                <w:lang w:val="en-US" w:eastAsia="zh-CN"/>
              </w:rPr>
              <w:t>生产线</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color w:val="auto"/>
                <w:szCs w:val="21"/>
                <w:lang w:val="en-US" w:eastAsia="zh-CN"/>
              </w:rPr>
              <w:t>年产80吨输送机械</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pP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生产车间1</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szCs w:val="21"/>
              </w:rPr>
              <w:t>1</w:t>
            </w:r>
            <w:r>
              <w:rPr>
                <w:szCs w:val="21"/>
              </w:rPr>
              <w:t>座，建筑面积</w:t>
            </w:r>
            <w:r>
              <w:rPr>
                <w:rFonts w:hint="eastAsia"/>
                <w:szCs w:val="21"/>
                <w:lang w:val="en-US" w:eastAsia="zh-CN"/>
              </w:rPr>
              <w:t>285</w:t>
            </w:r>
            <w:r>
              <w:rPr>
                <w:szCs w:val="21"/>
              </w:rPr>
              <w:t>m</w:t>
            </w:r>
            <w:r>
              <w:rPr>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生产车间2</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szCs w:val="21"/>
              </w:rPr>
              <w:t>1</w:t>
            </w:r>
            <w:r>
              <w:rPr>
                <w:szCs w:val="21"/>
              </w:rPr>
              <w:t>座，建筑面积</w:t>
            </w:r>
            <w:r>
              <w:rPr>
                <w:rFonts w:hint="eastAsia"/>
                <w:szCs w:val="21"/>
                <w:lang w:val="en-US" w:eastAsia="zh-CN"/>
              </w:rPr>
              <w:t>35</w:t>
            </w:r>
            <w:r>
              <w:rPr>
                <w:szCs w:val="21"/>
              </w:rPr>
              <w:t>m</w:t>
            </w:r>
            <w:r>
              <w:rPr>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生产车间3</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szCs w:val="21"/>
              </w:rPr>
              <w:t>1</w:t>
            </w:r>
            <w:r>
              <w:rPr>
                <w:szCs w:val="21"/>
              </w:rPr>
              <w:t>座，建筑面积</w:t>
            </w:r>
            <w:r>
              <w:rPr>
                <w:rFonts w:hint="eastAsia"/>
                <w:szCs w:val="21"/>
                <w:lang w:val="en-US" w:eastAsia="zh-CN"/>
              </w:rPr>
              <w:t>35</w:t>
            </w:r>
            <w:r>
              <w:rPr>
                <w:szCs w:val="21"/>
              </w:rPr>
              <w:t>m</w:t>
            </w:r>
            <w:r>
              <w:rPr>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辅助工程</w:t>
            </w: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仓库</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szCs w:val="21"/>
              </w:rPr>
            </w:pPr>
            <w:r>
              <w:rPr>
                <w:rFonts w:hint="eastAsia"/>
                <w:szCs w:val="21"/>
              </w:rPr>
              <w:t>1</w:t>
            </w:r>
            <w:r>
              <w:rPr>
                <w:szCs w:val="21"/>
              </w:rPr>
              <w:t>座，建筑面积</w:t>
            </w:r>
            <w:r>
              <w:rPr>
                <w:rFonts w:hint="eastAsia"/>
                <w:szCs w:val="21"/>
                <w:lang w:val="en-US" w:eastAsia="zh-CN"/>
              </w:rPr>
              <w:t>50</w:t>
            </w:r>
            <w:r>
              <w:rPr>
                <w:szCs w:val="21"/>
              </w:rPr>
              <w:t>m</w:t>
            </w:r>
            <w:r>
              <w:rPr>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pPr>
          </w:p>
        </w:tc>
        <w:tc>
          <w:tcPr>
            <w:tcW w:w="1222"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办公区</w:t>
            </w:r>
          </w:p>
        </w:tc>
        <w:tc>
          <w:tcPr>
            <w:tcW w:w="5043"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cs="Times New Roman"/>
                <w:color w:val="auto"/>
                <w:sz w:val="21"/>
                <w:szCs w:val="21"/>
                <w:lang w:val="en-US" w:eastAsia="zh-CN"/>
              </w:rPr>
            </w:pPr>
            <w:r>
              <w:rPr>
                <w:rFonts w:hint="eastAsia"/>
                <w:szCs w:val="21"/>
              </w:rPr>
              <w:t>1</w:t>
            </w:r>
            <w:r>
              <w:rPr>
                <w:szCs w:val="21"/>
              </w:rPr>
              <w:t>座，建筑面积</w:t>
            </w:r>
            <w:r>
              <w:rPr>
                <w:rFonts w:hint="eastAsia"/>
                <w:szCs w:val="21"/>
                <w:lang w:val="en-US" w:eastAsia="zh-CN"/>
              </w:rPr>
              <w:t>145</w:t>
            </w:r>
            <w:r>
              <w:rPr>
                <w:szCs w:val="21"/>
              </w:rPr>
              <w:t>m</w:t>
            </w:r>
            <w:r>
              <w:rPr>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cs="Times New Roman"/>
                <w:color w:val="auto"/>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供水</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bCs/>
                <w:color w:val="000000" w:themeColor="text1"/>
                <w:kern w:val="2"/>
                <w:szCs w:val="21"/>
                <w14:textFill>
                  <w14:solidFill>
                    <w14:schemeClr w14:val="tx1"/>
                  </w14:solidFill>
                </w14:textFill>
              </w:rPr>
              <w:t>由当地供水系统提供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供电</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color w:val="auto"/>
                <w:szCs w:val="21"/>
              </w:rPr>
              <w:t>由</w:t>
            </w:r>
            <w:r>
              <w:rPr>
                <w:rFonts w:hint="eastAsia"/>
                <w:color w:val="auto"/>
                <w:szCs w:val="21"/>
                <w:lang w:val="en-US" w:eastAsia="zh-CN"/>
              </w:rPr>
              <w:t>当地</w:t>
            </w:r>
            <w:r>
              <w:rPr>
                <w:color w:val="auto"/>
                <w:szCs w:val="21"/>
              </w:rPr>
              <w:t>供电系统提供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供热</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eastAsia"/>
                <w:szCs w:val="21"/>
              </w:rPr>
              <w:t>无</w:t>
            </w:r>
            <w:r>
              <w:rPr>
                <w:szCs w:val="21"/>
              </w:rPr>
              <w:t>生产用热，冬季生活取暖采用空调</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eastAsia"/>
                <w:sz w:val="21"/>
                <w:szCs w:val="21"/>
              </w:rPr>
              <w:t>焊接烟尘经移动式焊接烟尘净化器处理后无组织排放</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eastAsia"/>
                <w:szCs w:val="21"/>
              </w:rPr>
              <w:t>无生产废水</w:t>
            </w:r>
            <w:r>
              <w:rPr>
                <w:szCs w:val="21"/>
              </w:rPr>
              <w:t>，生活污水泼洒厂区抑尘。</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szCs w:val="21"/>
              </w:rPr>
              <w:t>选用低噪声设备，采用基础减振、厂房隔声、合理布局等措施</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1222"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固体废物</w:t>
            </w:r>
          </w:p>
        </w:tc>
        <w:tc>
          <w:tcPr>
            <w:tcW w:w="5043"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color w:val="auto"/>
                <w:sz w:val="21"/>
                <w:szCs w:val="21"/>
              </w:rPr>
            </w:pPr>
            <w:r>
              <w:rPr>
                <w:rFonts w:hint="eastAsia"/>
                <w:szCs w:val="21"/>
              </w:rPr>
              <w:t>生产过程产生的边角料、焊接工序产生的废焊条、打孔工序产生的废钢屑和焊接烟尘净化器收集的粉尘收集后外售；含油抹布和生活垃圾由环卫部门定期清运处理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2"/>
        <w:rPr>
          <w:rFonts w:hint="default"/>
        </w:rPr>
      </w:pPr>
    </w:p>
    <w:p>
      <w:pPr>
        <w:pStyle w:val="7"/>
        <w:rPr>
          <w:rFonts w:hint="default" w:ascii="Times New Roman" w:hAnsi="Times New Roman" w:eastAsia="宋体" w:cs="Times New Roman"/>
        </w:rPr>
      </w:pPr>
      <w:bookmarkStart w:id="78" w:name="_Toc1691"/>
      <w:bookmarkStart w:id="79" w:name="_Toc27810"/>
      <w:bookmarkStart w:id="80" w:name="_Toc497001443"/>
      <w:bookmarkStart w:id="81" w:name="_Toc17854"/>
      <w:bookmarkStart w:id="82" w:name="_Toc30584"/>
      <w:bookmarkStart w:id="83" w:name="_Toc496979007"/>
      <w:r>
        <w:rPr>
          <w:rFonts w:hint="default" w:ascii="Times New Roman" w:hAnsi="Times New Roman" w:eastAsia="宋体" w:cs="Times New Roman"/>
        </w:rPr>
        <w:t>2.2.4生产设备</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4" w:name="_Toc23184"/>
            <w:bookmarkStart w:id="85" w:name="_Toc25900"/>
            <w:bookmarkStart w:id="86" w:name="_Toc376"/>
            <w:bookmarkStart w:id="87" w:name="_Toc9178"/>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autoSpaceDE w:val="0"/>
              <w:autoSpaceDN w:val="0"/>
              <w:adjustRightInd w:val="0"/>
              <w:snapToGrid w:val="0"/>
              <w:spacing w:line="360" w:lineRule="exact"/>
              <w:jc w:val="center"/>
              <w:rPr>
                <w:rFonts w:hint="eastAsia" w:ascii="Times New Roman" w:hAnsi="Times New Roman" w:eastAsia="宋体" w:cs="Times New Roman"/>
                <w:kern w:val="0"/>
                <w:szCs w:val="21"/>
                <w:lang w:eastAsia="zh-CN"/>
              </w:rPr>
            </w:pPr>
            <w:r>
              <w:rPr>
                <w:rFonts w:hint="eastAsia"/>
                <w:color w:val="000000"/>
                <w:szCs w:val="21"/>
                <w:lang w:val="en-US" w:eastAsia="zh-CN"/>
              </w:rPr>
              <w:t>车床</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b w:val="0"/>
                <w:bCs w:val="0"/>
                <w:color w:val="auto"/>
                <w:kern w:val="0"/>
                <w:szCs w:val="21"/>
                <w:lang w:val="en-US" w:eastAsia="zh-CN"/>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4</w:t>
            </w:r>
          </w:p>
        </w:tc>
        <w:tc>
          <w:tcPr>
            <w:tcW w:w="1778"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autoSpaceDE w:val="0"/>
              <w:autoSpaceDN w:val="0"/>
              <w:adjustRightInd w:val="0"/>
              <w:snapToGrid w:val="0"/>
              <w:spacing w:line="360" w:lineRule="exact"/>
              <w:jc w:val="center"/>
              <w:rPr>
                <w:rFonts w:hint="default" w:ascii="Times New Roman" w:hAnsi="Times New Roman" w:eastAsia="宋体" w:cs="Times New Roman"/>
                <w:kern w:val="0"/>
                <w:szCs w:val="21"/>
                <w:lang w:val="en-US" w:eastAsia="zh-CN"/>
              </w:rPr>
            </w:pPr>
            <w:r>
              <w:rPr>
                <w:rFonts w:hint="eastAsia" w:ascii="Times New Roman" w:hAnsi="Times New Roman" w:cs="Times New Roman"/>
                <w:color w:val="000000"/>
                <w:sz w:val="21"/>
                <w:szCs w:val="21"/>
                <w:lang w:val="en-US" w:eastAsia="zh-CN"/>
              </w:rPr>
              <w:t>切割机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color w:val="000000"/>
                <w:kern w:val="0"/>
                <w:szCs w:val="21"/>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widowControl/>
              <w:spacing w:line="360" w:lineRule="exact"/>
              <w:jc w:val="center"/>
              <w:textAlignment w:val="center"/>
              <w:rPr>
                <w:rFonts w:hint="default" w:eastAsia="宋体"/>
                <w:kern w:val="0"/>
                <w:sz w:val="21"/>
                <w:szCs w:val="21"/>
                <w:lang w:val="en-US" w:eastAsia="zh-CN"/>
              </w:rPr>
            </w:pPr>
            <w:r>
              <w:rPr>
                <w:rFonts w:hint="eastAsia" w:ascii="Times New Roman" w:hAnsi="Times New Roman" w:cs="Times New Roman"/>
                <w:color w:val="000000"/>
                <w:kern w:val="0"/>
                <w:sz w:val="21"/>
                <w:szCs w:val="21"/>
                <w:lang w:val="en-US" w:eastAsia="zh-CN" w:bidi="ar"/>
              </w:rPr>
              <w:t>二保焊机</w:t>
            </w:r>
          </w:p>
        </w:tc>
        <w:tc>
          <w:tcPr>
            <w:tcW w:w="1617" w:type="dxa"/>
            <w:tcBorders>
              <w:tl2br w:val="nil"/>
              <w:tr2bl w:val="nil"/>
            </w:tcBorders>
            <w:vAlign w:val="center"/>
          </w:tcPr>
          <w:p>
            <w:pPr>
              <w:widowControl/>
              <w:jc w:val="center"/>
              <w:rPr>
                <w:rFonts w:hint="default" w:ascii="Times New Roman" w:hAnsi="Times New Roman" w:eastAsia="宋体" w:cs="Times New Roman"/>
                <w:b w:val="0"/>
                <w:bCs w:val="0"/>
                <w:color w:val="auto"/>
                <w:kern w:val="0"/>
                <w:szCs w:val="21"/>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jc w:val="center"/>
              <w:textAlignment w:val="center"/>
              <w:rPr>
                <w:rFonts w:hint="eastAsia" w:ascii="Times New Roman" w:hAnsi="Times New Roman" w:cs="Times New Roman"/>
                <w:kern w:val="0"/>
                <w:szCs w:val="21"/>
                <w:lang w:val="en-US" w:eastAsia="zh-CN"/>
              </w:rPr>
            </w:pPr>
            <w:r>
              <w:rPr>
                <w:color w:val="000000"/>
                <w:kern w:val="0"/>
                <w:sz w:val="22"/>
                <w:szCs w:val="22"/>
                <w:lang w:bidi="ar"/>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widowControl/>
              <w:spacing w:line="360" w:lineRule="exact"/>
              <w:jc w:val="center"/>
              <w:textAlignment w:val="center"/>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电焊机</w:t>
            </w:r>
          </w:p>
        </w:tc>
        <w:tc>
          <w:tcPr>
            <w:tcW w:w="1617" w:type="dxa"/>
            <w:tcBorders>
              <w:tl2br w:val="nil"/>
              <w:tr2bl w:val="nil"/>
            </w:tcBorders>
            <w:vAlign w:val="center"/>
          </w:tcPr>
          <w:p>
            <w:pPr>
              <w:widowControl/>
              <w:jc w:val="center"/>
              <w:rPr>
                <w:rFonts w:hint="eastAsia" w:ascii="Times New Roman" w:hAnsi="Times New Roman" w:eastAsia="宋体" w:cs="Times New Roman"/>
                <w:b w:val="0"/>
                <w:bCs w:val="0"/>
                <w:color w:val="auto"/>
                <w:kern w:val="0"/>
                <w:szCs w:val="21"/>
                <w:lang w:val="en-US" w:eastAsia="zh-CN"/>
              </w:rPr>
            </w:pPr>
            <w:r>
              <w:rPr>
                <w:rFonts w:hint="eastAsia" w:ascii="Times New Roman" w:hAnsi="Times New Roman" w:cs="Times New Roman"/>
                <w:b w:val="0"/>
                <w:bCs w:val="0"/>
                <w:color w:val="auto"/>
                <w:kern w:val="0"/>
                <w:szCs w:val="21"/>
                <w:lang w:val="en-US" w:eastAsia="zh-CN"/>
              </w:rPr>
              <w:t>台</w:t>
            </w:r>
          </w:p>
        </w:tc>
        <w:tc>
          <w:tcPr>
            <w:tcW w:w="1785" w:type="dxa"/>
            <w:tcBorders>
              <w:tl2br w:val="nil"/>
              <w:tr2bl w:val="nil"/>
            </w:tcBorders>
            <w:vAlign w:val="center"/>
          </w:tcPr>
          <w:p>
            <w:pPr>
              <w:widowControl/>
              <w:jc w:val="center"/>
              <w:textAlignment w:val="center"/>
              <w:rPr>
                <w:rFonts w:hint="eastAsia" w:eastAsia="宋体"/>
                <w:color w:val="000000"/>
                <w:kern w:val="0"/>
                <w:sz w:val="22"/>
                <w:szCs w:val="22"/>
                <w:lang w:val="en-US" w:eastAsia="zh-CN" w:bidi="ar"/>
              </w:rPr>
            </w:pPr>
            <w:r>
              <w:rPr>
                <w:rFonts w:hint="eastAsia"/>
                <w:color w:val="000000"/>
                <w:kern w:val="0"/>
                <w:sz w:val="22"/>
                <w:szCs w:val="22"/>
                <w:lang w:val="en-US" w:eastAsia="zh-CN" w:bidi="ar"/>
              </w:rPr>
              <w:t>2</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5</w:t>
            </w:r>
          </w:p>
        </w:tc>
        <w:tc>
          <w:tcPr>
            <w:tcW w:w="2277" w:type="dxa"/>
            <w:tcBorders>
              <w:tl2br w:val="nil"/>
              <w:tr2bl w:val="nil"/>
            </w:tcBorders>
            <w:vAlign w:val="center"/>
          </w:tcPr>
          <w:p>
            <w:pPr>
              <w:widowControl/>
              <w:spacing w:line="360" w:lineRule="exact"/>
              <w:jc w:val="center"/>
              <w:textAlignment w:val="center"/>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钻床</w:t>
            </w:r>
          </w:p>
        </w:tc>
        <w:tc>
          <w:tcPr>
            <w:tcW w:w="1617" w:type="dxa"/>
            <w:tcBorders>
              <w:tl2br w:val="nil"/>
              <w:tr2bl w:val="nil"/>
            </w:tcBorders>
            <w:vAlign w:val="center"/>
          </w:tcPr>
          <w:p>
            <w:pPr>
              <w:widowControl/>
              <w:jc w:val="center"/>
              <w:rPr>
                <w:rFonts w:hint="eastAsia" w:ascii="Times New Roman" w:hAnsi="Times New Roman" w:eastAsia="宋体" w:cs="Times New Roman"/>
                <w:b w:val="0"/>
                <w:bCs w:val="0"/>
                <w:color w:val="auto"/>
                <w:kern w:val="0"/>
                <w:szCs w:val="21"/>
                <w:lang w:val="en-US" w:eastAsia="zh-CN"/>
              </w:rPr>
            </w:pPr>
            <w:r>
              <w:rPr>
                <w:rFonts w:hint="eastAsia" w:ascii="Times New Roman" w:hAnsi="Times New Roman" w:cs="Times New Roman"/>
                <w:b w:val="0"/>
                <w:bCs w:val="0"/>
                <w:color w:val="auto"/>
                <w:kern w:val="0"/>
                <w:szCs w:val="21"/>
                <w:lang w:val="en-US" w:eastAsia="zh-CN"/>
              </w:rPr>
              <w:t>台</w:t>
            </w:r>
          </w:p>
        </w:tc>
        <w:tc>
          <w:tcPr>
            <w:tcW w:w="1785" w:type="dxa"/>
            <w:tcBorders>
              <w:tl2br w:val="nil"/>
              <w:tr2bl w:val="nil"/>
            </w:tcBorders>
            <w:vAlign w:val="center"/>
          </w:tcPr>
          <w:p>
            <w:pPr>
              <w:widowControl/>
              <w:jc w:val="center"/>
              <w:textAlignment w:val="center"/>
              <w:rPr>
                <w:rFonts w:hint="eastAsia" w:eastAsia="宋体"/>
                <w:color w:val="000000"/>
                <w:kern w:val="0"/>
                <w:sz w:val="22"/>
                <w:szCs w:val="22"/>
                <w:lang w:val="en-US" w:eastAsia="zh-CN" w:bidi="ar"/>
              </w:rPr>
            </w:pPr>
            <w:r>
              <w:rPr>
                <w:rFonts w:hint="eastAsia"/>
                <w:color w:val="000000"/>
                <w:kern w:val="0"/>
                <w:sz w:val="22"/>
                <w:szCs w:val="22"/>
                <w:lang w:val="en-US" w:eastAsia="zh-CN" w:bidi="ar"/>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w:t>
      </w:r>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eastAsia" w:ascii="Times New Roman" w:hAnsi="Times New Roman" w:eastAsia="宋体" w:cs="Times New Roman"/>
          <w:sz w:val="24"/>
          <w:szCs w:val="24"/>
          <w:lang w:eastAsia="zh-CN"/>
        </w:rPr>
      </w:pPr>
      <w:r>
        <w:drawing>
          <wp:anchor distT="0" distB="0" distL="114300" distR="114300" simplePos="0" relativeHeight="2374996992" behindDoc="0" locked="0" layoutInCell="1" allowOverlap="1">
            <wp:simplePos x="0" y="0"/>
            <wp:positionH relativeFrom="column">
              <wp:posOffset>133350</wp:posOffset>
            </wp:positionH>
            <wp:positionV relativeFrom="paragraph">
              <wp:posOffset>4445</wp:posOffset>
            </wp:positionV>
            <wp:extent cx="5273040" cy="882650"/>
            <wp:effectExtent l="0" t="0" r="3810" b="1270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5273040" cy="882650"/>
                    </a:xfrm>
                    <a:prstGeom prst="rect">
                      <a:avLst/>
                    </a:prstGeom>
                    <a:noFill/>
                    <a:ln>
                      <a:noFill/>
                    </a:ln>
                  </pic:spPr>
                </pic:pic>
              </a:graphicData>
            </a:graphic>
          </wp:anchor>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8" w:name="_Toc12284"/>
      <w:bookmarkStart w:id="89" w:name="_Toc12629"/>
      <w:bookmarkStart w:id="90" w:name="_Toc2746"/>
      <w:bookmarkStart w:id="91" w:name="_Toc29955"/>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工艺流程简述：</w:t>
      </w:r>
    </w:p>
    <w:p>
      <w:pPr>
        <w:pStyle w:val="2"/>
        <w:spacing w:line="360" w:lineRule="auto"/>
        <w:ind w:left="239" w:leftChars="114"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（1）切割：利用切割机对钢材进行切割。</w:t>
      </w:r>
    </w:p>
    <w:p>
      <w:pPr>
        <w:pStyle w:val="2"/>
        <w:spacing w:line="360" w:lineRule="auto"/>
        <w:ind w:left="239" w:leftChars="114"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（2）车床加工：利用车床按产品要求进行加工。</w:t>
      </w:r>
    </w:p>
    <w:p>
      <w:pPr>
        <w:pStyle w:val="2"/>
        <w:spacing w:line="360" w:lineRule="auto"/>
        <w:ind w:left="239" w:leftChars="114"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（3）打孔：利用钻床对工件进行打孔。</w:t>
      </w:r>
    </w:p>
    <w:p>
      <w:pPr>
        <w:pStyle w:val="2"/>
        <w:spacing w:line="360" w:lineRule="auto"/>
        <w:ind w:left="239" w:leftChars="114"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（4）焊接：根据产品要求利用电焊机或二保焊机进行焊接，即为成品入库待销。</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8"/>
      <w:bookmarkEnd w:id="89"/>
      <w:bookmarkEnd w:id="90"/>
      <w:bookmarkEnd w:id="91"/>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人，实行白班工作制，每天8小时，年工作日为300天。</w:t>
      </w:r>
    </w:p>
    <w:p>
      <w:pPr>
        <w:pStyle w:val="6"/>
        <w:rPr>
          <w:rFonts w:hint="default" w:ascii="Times New Roman" w:hAnsi="Times New Roman" w:eastAsia="宋体" w:cs="Times New Roman"/>
        </w:rPr>
      </w:pPr>
      <w:bookmarkStart w:id="92" w:name="_Toc18609"/>
      <w:bookmarkStart w:id="93" w:name="_Toc4180"/>
      <w:bookmarkStart w:id="94" w:name="_Toc23560"/>
      <w:bookmarkStart w:id="95" w:name="_Toc172"/>
      <w:r>
        <w:rPr>
          <w:rFonts w:hint="default" w:ascii="Times New Roman" w:hAnsi="Times New Roman" w:eastAsia="宋体" w:cs="Times New Roman"/>
        </w:rPr>
        <w:t>2.5公用工程</w:t>
      </w:r>
      <w:bookmarkEnd w:id="92"/>
      <w:bookmarkEnd w:id="93"/>
      <w:bookmarkEnd w:id="94"/>
      <w:bookmarkEnd w:id="95"/>
    </w:p>
    <w:p>
      <w:pPr>
        <w:pStyle w:val="7"/>
        <w:spacing w:line="440" w:lineRule="atLeast"/>
        <w:rPr>
          <w:rFonts w:hint="default" w:ascii="Times New Roman" w:hAnsi="Times New Roman" w:eastAsia="宋体" w:cs="Times New Roman"/>
          <w:color w:val="auto"/>
        </w:rPr>
      </w:pPr>
      <w:bookmarkStart w:id="96" w:name="_Toc30661"/>
      <w:bookmarkStart w:id="97" w:name="_Toc23987"/>
      <w:bookmarkStart w:id="98" w:name="_Toc496979011"/>
      <w:bookmarkStart w:id="99" w:name="_Toc30587"/>
      <w:bookmarkStart w:id="100" w:name="_Toc497001447"/>
      <w:bookmarkStart w:id="101" w:name="_Toc11895"/>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6"/>
      <w:bookmarkEnd w:id="97"/>
      <w:bookmarkEnd w:id="98"/>
      <w:bookmarkEnd w:id="99"/>
      <w:bookmarkEnd w:id="100"/>
      <w:bookmarkEnd w:id="101"/>
    </w:p>
    <w:p>
      <w:pPr>
        <w:pStyle w:val="7"/>
        <w:spacing w:line="440" w:lineRule="atLeast"/>
        <w:ind w:firstLine="480" w:firstLineChars="200"/>
        <w:rPr>
          <w:rFonts w:hint="eastAsia" w:ascii="Times New Roman" w:hAnsi="Times New Roman" w:eastAsia="宋体" w:cs="Times New Roman"/>
          <w:color w:val="auto"/>
          <w:lang w:eastAsia="zh-CN"/>
        </w:rPr>
      </w:pPr>
      <w:bookmarkStart w:id="102" w:name="_Toc922"/>
      <w:bookmarkStart w:id="103" w:name="_Toc496979012"/>
      <w:bookmarkStart w:id="104" w:name="_Toc497001448"/>
      <w:r>
        <w:rPr>
          <w:rFonts w:hint="default" w:ascii="Times New Roman" w:hAnsi="Times New Roman" w:eastAsia="宋体" w:cs="Times New Roman"/>
          <w:color w:val="auto"/>
        </w:rPr>
        <w:t>1）给水：项目</w:t>
      </w:r>
      <w:r>
        <w:rPr>
          <w:bCs/>
          <w:color w:val="000000" w:themeColor="text1"/>
          <w:kern w:val="2"/>
          <w:szCs w:val="21"/>
          <w14:textFill>
            <w14:solidFill>
              <w14:schemeClr w14:val="tx1"/>
            </w14:solidFill>
          </w14:textFill>
        </w:rPr>
        <w:t>由当地供水系统提供</w:t>
      </w:r>
      <w:r>
        <w:rPr>
          <w:rFonts w:hint="default" w:ascii="Times New Roman" w:hAnsi="Times New Roman" w:eastAsia="宋体" w:cs="Times New Roman"/>
          <w:color w:val="auto"/>
        </w:rPr>
        <w:t>。</w:t>
      </w:r>
    </w:p>
    <w:p>
      <w:pPr>
        <w:pStyle w:val="7"/>
        <w:spacing w:line="440" w:lineRule="atLeast"/>
        <w:ind w:firstLine="480" w:firstLineChars="200"/>
        <w:rPr>
          <w:rFonts w:ascii="Times New Roman" w:hAnsi="Times New Roman" w:eastAsia="宋体"/>
          <w:color w:val="auto"/>
          <w:kern w:val="28"/>
          <w:sz w:val="24"/>
        </w:rPr>
      </w:pPr>
      <w:bookmarkStart w:id="105"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5"/>
      <w:r>
        <w:rPr>
          <w:rFonts w:hint="eastAsia" w:ascii="Times New Roman" w:hAnsi="Times New Roman" w:eastAsia="宋体"/>
          <w:color w:val="auto"/>
          <w:kern w:val="28"/>
          <w:sz w:val="24"/>
          <w:lang w:eastAsia="zh-CN"/>
        </w:rPr>
        <w:t>本项目</w:t>
      </w:r>
      <w:r>
        <w:rPr>
          <w:rFonts w:hint="eastAsia"/>
          <w:bCs/>
          <w:color w:val="auto"/>
          <w:kern w:val="2"/>
          <w:szCs w:val="21"/>
          <w:lang w:val="en-US" w:eastAsia="zh-CN"/>
        </w:rPr>
        <w:t>无生产用水</w:t>
      </w:r>
      <w:r>
        <w:rPr>
          <w:bCs/>
          <w:color w:val="auto"/>
          <w:kern w:val="2"/>
          <w:szCs w:val="21"/>
        </w:rPr>
        <w:t>；生活用水</w:t>
      </w:r>
      <w:r>
        <w:rPr>
          <w:rFonts w:hint="eastAsia"/>
          <w:bCs/>
          <w:color w:val="auto"/>
          <w:kern w:val="2"/>
          <w:szCs w:val="21"/>
          <w:lang w:val="en-US" w:eastAsia="zh-CN"/>
        </w:rPr>
        <w:t>厂区泼洒抑尘，不外排</w:t>
      </w:r>
      <w:r>
        <w:rPr>
          <w:rFonts w:hint="eastAsia" w:ascii="Times New Roman" w:hAnsi="Times New Roman"/>
          <w:color w:val="auto"/>
          <w:kern w:val="28"/>
          <w:sz w:val="24"/>
          <w:lang w:eastAsia="zh-CN"/>
        </w:rPr>
        <w:t>。</w:t>
      </w:r>
    </w:p>
    <w:p>
      <w:pPr>
        <w:pStyle w:val="7"/>
        <w:spacing w:line="440" w:lineRule="atLeast"/>
        <w:rPr>
          <w:rFonts w:hint="default" w:ascii="Times New Roman" w:hAnsi="Times New Roman" w:eastAsia="宋体" w:cs="Times New Roman"/>
          <w:color w:val="auto"/>
        </w:rPr>
      </w:pPr>
      <w:bookmarkStart w:id="106" w:name="_Toc26592"/>
      <w:bookmarkStart w:id="107" w:name="_Toc24223"/>
      <w:bookmarkStart w:id="108" w:name="_Toc21823"/>
      <w:r>
        <w:rPr>
          <w:rFonts w:hint="default" w:ascii="Times New Roman" w:hAnsi="Times New Roman" w:eastAsia="宋体" w:cs="Times New Roman"/>
          <w:color w:val="auto"/>
        </w:rPr>
        <w:t>2.5.2供电</w:t>
      </w:r>
      <w:bookmarkEnd w:id="102"/>
      <w:bookmarkEnd w:id="103"/>
      <w:bookmarkEnd w:id="104"/>
      <w:bookmarkEnd w:id="106"/>
      <w:bookmarkEnd w:id="107"/>
      <w:bookmarkEnd w:id="108"/>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项目用电</w:t>
      </w:r>
      <w:r>
        <w:rPr>
          <w:color w:val="auto"/>
          <w:sz w:val="24"/>
          <w:szCs w:val="24"/>
        </w:rPr>
        <w:t>由</w:t>
      </w:r>
      <w:r>
        <w:rPr>
          <w:rFonts w:hint="eastAsia"/>
          <w:color w:val="auto"/>
          <w:sz w:val="24"/>
          <w:szCs w:val="24"/>
          <w:lang w:val="en-US" w:eastAsia="zh-CN"/>
        </w:rPr>
        <w:t>当地</w:t>
      </w:r>
      <w:r>
        <w:rPr>
          <w:color w:val="auto"/>
          <w:sz w:val="24"/>
          <w:szCs w:val="24"/>
        </w:rPr>
        <w:t>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9" w:name="_Toc2253"/>
      <w:bookmarkStart w:id="110" w:name="_Toc11980"/>
      <w:bookmarkStart w:id="111" w:name="_Toc138"/>
      <w:bookmarkStart w:id="112" w:name="_Toc27473"/>
      <w:r>
        <w:rPr>
          <w:rFonts w:hint="default" w:ascii="Times New Roman" w:hAnsi="Times New Roman" w:eastAsia="宋体" w:cs="Times New Roman"/>
          <w:color w:val="auto"/>
        </w:rPr>
        <w:t>2.5.3供暖</w:t>
      </w:r>
      <w:bookmarkEnd w:id="109"/>
      <w:bookmarkEnd w:id="110"/>
      <w:bookmarkEnd w:id="111"/>
      <w:bookmarkEnd w:id="112"/>
    </w:p>
    <w:p>
      <w:pPr>
        <w:spacing w:line="360" w:lineRule="auto"/>
        <w:ind w:firstLine="480" w:firstLineChars="200"/>
        <w:rPr>
          <w:rFonts w:hint="eastAsia" w:ascii="Times New Roman" w:hAnsi="Times New Roman" w:eastAsia="宋体" w:cs="Times New Roman"/>
          <w:lang w:val="en-US" w:eastAsia="zh-CN"/>
        </w:rPr>
      </w:pPr>
      <w:r>
        <w:rPr>
          <w:rFonts w:hint="default" w:ascii="Times New Roman" w:hAnsi="Times New Roman" w:eastAsia="宋体" w:cs="Times New Roman"/>
          <w:color w:val="auto"/>
          <w:sz w:val="24"/>
          <w:szCs w:val="24"/>
        </w:rPr>
        <w:t>本项目</w:t>
      </w:r>
      <w:bookmarkStart w:id="113" w:name="_Toc23930"/>
      <w:bookmarkStart w:id="114" w:name="_Toc14595"/>
      <w:bookmarkStart w:id="115" w:name="_Toc12064"/>
      <w:bookmarkStart w:id="116" w:name="_Toc21958"/>
      <w:r>
        <w:rPr>
          <w:rFonts w:hint="eastAsia" w:ascii="Times New Roman" w:hAnsi="Times New Roman" w:cs="Times New Roman"/>
          <w:color w:val="auto"/>
          <w:sz w:val="24"/>
          <w:szCs w:val="24"/>
          <w:lang w:val="en-US" w:eastAsia="zh-CN"/>
        </w:rPr>
        <w:t>无生产用热，</w:t>
      </w:r>
      <w:r>
        <w:rPr>
          <w:color w:val="auto"/>
          <w:sz w:val="24"/>
          <w:szCs w:val="24"/>
        </w:rPr>
        <w:t>冬季办公室取暖采用空调</w:t>
      </w:r>
      <w:r>
        <w:rPr>
          <w:rFonts w:hint="eastAsia"/>
          <w:color w:val="auto"/>
          <w:sz w:val="24"/>
          <w:szCs w:val="24"/>
          <w:lang w:eastAsia="zh-CN"/>
        </w:rPr>
        <w:t>。</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cs="Times New Roman"/>
          <w:sz w:val="24"/>
          <w:szCs w:val="24"/>
          <w:lang w:val="en-US" w:eastAsia="zh-CN"/>
        </w:rPr>
        <w:t>编制完成了《河北津华输送机械制造有限公司输送机械生产项目环境影响报告表》，于2019年11月1日取得了沧州市生态环境保护局盐山县分局的批复，审批文号为盐环表[2019]144号</w:t>
      </w:r>
      <w:r>
        <w:rPr>
          <w:rFonts w:hint="eastAsia" w:ascii="Times New Roman" w:hAnsi="Times New Roman" w:eastAsia="宋体"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7" w:name="_Toc31951"/>
      <w:bookmarkStart w:id="118" w:name="_Toc29987"/>
      <w:bookmarkStart w:id="119" w:name="_Toc27205"/>
      <w:bookmarkStart w:id="120" w:name="_Toc6019"/>
      <w:r>
        <w:rPr>
          <w:rFonts w:hint="default" w:ascii="Times New Roman" w:hAnsi="Times New Roman" w:eastAsia="宋体" w:cs="Times New Roman"/>
          <w:szCs w:val="22"/>
        </w:rPr>
        <w:t>2.7项目投资</w:t>
      </w:r>
      <w:bookmarkEnd w:id="117"/>
      <w:bookmarkEnd w:id="118"/>
      <w:bookmarkEnd w:id="119"/>
      <w:bookmarkEnd w:id="120"/>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21" w:name="_Toc3229"/>
      <w:bookmarkStart w:id="122" w:name="_Toc21008"/>
      <w:bookmarkStart w:id="123"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160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5</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3.13</w:t>
      </w:r>
      <w:r>
        <w:rPr>
          <w:rFonts w:hint="default" w:ascii="Times New Roman" w:hAnsi="Times New Roman" w:eastAsia="宋体" w:cs="Times New Roman"/>
          <w:b w:val="0"/>
          <w:bCs/>
          <w:color w:val="auto"/>
          <w:kern w:val="2"/>
          <w:sz w:val="24"/>
          <w:szCs w:val="24"/>
          <w:lang w:val="en-US" w:eastAsia="zh-CN" w:bidi="ar-SA"/>
        </w:rPr>
        <w:t>%。</w:t>
      </w:r>
      <w:bookmarkStart w:id="124"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160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5</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3.13</w:t>
      </w:r>
      <w:r>
        <w:rPr>
          <w:rFonts w:hint="eastAsia" w:ascii="Times New Roman" w:hAnsi="Times New Roman" w:eastAsia="宋体" w:cs="Times New Roman"/>
          <w:b w:val="0"/>
          <w:bCs/>
          <w:i w:val="0"/>
          <w:iCs w:val="0"/>
          <w:color w:val="auto"/>
          <w:kern w:val="2"/>
          <w:sz w:val="24"/>
          <w:szCs w:val="24"/>
          <w:lang w:val="en-US" w:eastAsia="zh-CN" w:bidi="ar-SA"/>
        </w:rPr>
        <w:t>%。</w:t>
      </w:r>
      <w:bookmarkEnd w:id="121"/>
      <w:bookmarkEnd w:id="122"/>
      <w:bookmarkEnd w:id="123"/>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5" w:name="_Toc2981"/>
      <w:bookmarkStart w:id="126" w:name="_Toc22160"/>
      <w:bookmarkStart w:id="127" w:name="_Toc3625"/>
      <w:r>
        <w:rPr>
          <w:rFonts w:hint="default" w:ascii="Times New Roman" w:hAnsi="Times New Roman" w:eastAsia="宋体" w:cs="Times New Roman"/>
        </w:rPr>
        <w:t>2.8项目变更情况说明</w:t>
      </w:r>
      <w:bookmarkEnd w:id="124"/>
      <w:bookmarkEnd w:id="125"/>
      <w:bookmarkEnd w:id="126"/>
      <w:bookmarkEnd w:id="127"/>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rPr>
      </w:pPr>
      <w:bookmarkStart w:id="128" w:name="_Toc7013"/>
      <w:bookmarkStart w:id="129" w:name="_Toc3130"/>
      <w:bookmarkStart w:id="130" w:name="_Toc30604"/>
      <w:bookmarkStart w:id="131" w:name="_Toc18868"/>
      <w:r>
        <w:rPr>
          <w:rFonts w:hint="eastAsia" w:ascii="Times New Roman" w:hAnsi="Times New Roman" w:eastAsia="宋体" w:cs="Times New Roman"/>
          <w:b w:val="0"/>
          <w:bCs/>
          <w:color w:val="auto"/>
          <w:kern w:val="2"/>
          <w:sz w:val="24"/>
          <w:szCs w:val="24"/>
          <w:lang w:val="en-US" w:eastAsia="zh-CN" w:bidi="ar-SA"/>
        </w:rPr>
        <w:t>建设内容与环评及批复文件要求基本一致</w:t>
      </w:r>
      <w:r>
        <w:rPr>
          <w:rFonts w:hint="default" w:ascii="Times New Roman" w:hAnsi="Times New Roman" w:eastAsia="宋体" w:cs="Times New Roman"/>
          <w:b w:val="0"/>
          <w:bCs/>
          <w:color w:val="auto"/>
          <w:kern w:val="2"/>
          <w:sz w:val="24"/>
          <w:szCs w:val="24"/>
          <w:lang w:val="en-US" w:eastAsia="zh-CN" w:bidi="ar-SA"/>
        </w:rPr>
        <w:t>。</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8"/>
      <w:bookmarkEnd w:id="129"/>
      <w:bookmarkEnd w:id="130"/>
      <w:bookmarkEnd w:id="131"/>
    </w:p>
    <w:p>
      <w:pPr>
        <w:jc w:val="center"/>
        <w:rPr>
          <w:rFonts w:hint="default" w:ascii="Times New Roman" w:hAnsi="Times New Roman" w:eastAsia="宋体" w:cs="Times New Roman"/>
          <w:b/>
          <w:color w:val="auto"/>
          <w:sz w:val="24"/>
          <w:szCs w:val="24"/>
        </w:rPr>
      </w:pPr>
    </w:p>
    <w:p>
      <w:pPr>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p>
    <w:tbl>
      <w:tblPr>
        <w:tblStyle w:val="20"/>
        <w:tblW w:w="1061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683"/>
        <w:gridCol w:w="875"/>
        <w:gridCol w:w="878"/>
        <w:gridCol w:w="1915"/>
        <w:gridCol w:w="1841"/>
        <w:gridCol w:w="2212"/>
        <w:gridCol w:w="221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60" w:hRule="atLeast"/>
          <w:jc w:val="center"/>
        </w:trPr>
        <w:tc>
          <w:tcPr>
            <w:tcW w:w="683" w:type="dxa"/>
            <w:noWrap w:val="0"/>
            <w:vAlign w:val="center"/>
          </w:tcPr>
          <w:p>
            <w:pPr>
              <w:tabs>
                <w:tab w:val="left" w:pos="6405"/>
              </w:tabs>
              <w:adjustRightInd w:val="0"/>
              <w:snapToGrid w:val="0"/>
              <w:jc w:val="center"/>
              <w:rPr>
                <w:szCs w:val="21"/>
              </w:rPr>
            </w:pPr>
            <w:r>
              <w:rPr>
                <w:szCs w:val="21"/>
              </w:rPr>
              <w:t>时期</w:t>
            </w:r>
          </w:p>
        </w:tc>
        <w:tc>
          <w:tcPr>
            <w:tcW w:w="875" w:type="dxa"/>
            <w:noWrap w:val="0"/>
            <w:vAlign w:val="center"/>
          </w:tcPr>
          <w:p>
            <w:pPr>
              <w:tabs>
                <w:tab w:val="left" w:pos="6405"/>
              </w:tabs>
              <w:adjustRightInd w:val="0"/>
              <w:snapToGrid w:val="0"/>
              <w:jc w:val="center"/>
              <w:rPr>
                <w:szCs w:val="21"/>
              </w:rPr>
            </w:pPr>
            <w:r>
              <w:rPr>
                <w:szCs w:val="21"/>
              </w:rPr>
              <w:t>项目</w:t>
            </w:r>
          </w:p>
        </w:tc>
        <w:tc>
          <w:tcPr>
            <w:tcW w:w="878" w:type="dxa"/>
            <w:noWrap w:val="0"/>
            <w:vAlign w:val="center"/>
          </w:tcPr>
          <w:p>
            <w:pPr>
              <w:tabs>
                <w:tab w:val="left" w:pos="6405"/>
              </w:tabs>
              <w:adjustRightInd w:val="0"/>
              <w:snapToGrid w:val="0"/>
              <w:jc w:val="center"/>
              <w:rPr>
                <w:szCs w:val="21"/>
              </w:rPr>
            </w:pPr>
            <w:r>
              <w:rPr>
                <w:szCs w:val="21"/>
              </w:rPr>
              <w:t>污染源</w:t>
            </w:r>
          </w:p>
        </w:tc>
        <w:tc>
          <w:tcPr>
            <w:tcW w:w="1915" w:type="dxa"/>
            <w:noWrap w:val="0"/>
            <w:vAlign w:val="center"/>
          </w:tcPr>
          <w:p>
            <w:pPr>
              <w:tabs>
                <w:tab w:val="left" w:pos="6405"/>
              </w:tabs>
              <w:adjustRightInd w:val="0"/>
              <w:snapToGrid w:val="0"/>
              <w:jc w:val="center"/>
              <w:rPr>
                <w:szCs w:val="21"/>
              </w:rPr>
            </w:pPr>
            <w:r>
              <w:rPr>
                <w:szCs w:val="21"/>
              </w:rPr>
              <w:t>环保设施</w:t>
            </w:r>
          </w:p>
          <w:p>
            <w:pPr>
              <w:tabs>
                <w:tab w:val="left" w:pos="6405"/>
              </w:tabs>
              <w:adjustRightInd w:val="0"/>
              <w:snapToGrid w:val="0"/>
              <w:jc w:val="center"/>
              <w:rPr>
                <w:szCs w:val="21"/>
              </w:rPr>
            </w:pPr>
            <w:r>
              <w:rPr>
                <w:szCs w:val="21"/>
              </w:rPr>
              <w:t>措施</w:t>
            </w:r>
          </w:p>
        </w:tc>
        <w:tc>
          <w:tcPr>
            <w:tcW w:w="1841" w:type="dxa"/>
            <w:noWrap w:val="0"/>
            <w:vAlign w:val="center"/>
          </w:tcPr>
          <w:p>
            <w:pPr>
              <w:pStyle w:val="31"/>
              <w:tabs>
                <w:tab w:val="left" w:pos="6405"/>
              </w:tabs>
              <w:adjustRightInd w:val="0"/>
              <w:snapToGrid w:val="0"/>
              <w:jc w:val="center"/>
              <w:rPr>
                <w:rFonts w:ascii="Times New Roman" w:hAnsi="Times New Roman"/>
                <w:color w:val="auto"/>
                <w:kern w:val="2"/>
                <w:sz w:val="21"/>
                <w:szCs w:val="21"/>
              </w:rPr>
            </w:pPr>
            <w:r>
              <w:rPr>
                <w:rFonts w:ascii="Times New Roman" w:hAnsi="Times New Roman"/>
                <w:color w:val="auto"/>
                <w:kern w:val="2"/>
                <w:sz w:val="21"/>
                <w:szCs w:val="21"/>
              </w:rPr>
              <w:t>验收指标</w:t>
            </w:r>
          </w:p>
        </w:tc>
        <w:tc>
          <w:tcPr>
            <w:tcW w:w="2212" w:type="dxa"/>
            <w:noWrap w:val="0"/>
            <w:vAlign w:val="center"/>
          </w:tcPr>
          <w:p>
            <w:pPr>
              <w:tabs>
                <w:tab w:val="left" w:pos="6405"/>
              </w:tabs>
              <w:adjustRightInd w:val="0"/>
              <w:snapToGrid w:val="0"/>
              <w:jc w:val="center"/>
              <w:rPr>
                <w:szCs w:val="21"/>
              </w:rPr>
            </w:pPr>
            <w:r>
              <w:rPr>
                <w:szCs w:val="21"/>
              </w:rPr>
              <w:t>验收标准</w:t>
            </w:r>
          </w:p>
        </w:tc>
        <w:tc>
          <w:tcPr>
            <w:tcW w:w="2212" w:type="dxa"/>
            <w:noWrap w:val="0"/>
            <w:vAlign w:val="center"/>
          </w:tcPr>
          <w:p>
            <w:pPr>
              <w:tabs>
                <w:tab w:val="left" w:pos="6405"/>
              </w:tabs>
              <w:adjustRightInd w:val="0"/>
              <w:snapToGrid w:val="0"/>
              <w:jc w:val="center"/>
              <w:rPr>
                <w:rFonts w:hint="eastAsia" w:eastAsia="宋体"/>
                <w:szCs w:val="21"/>
                <w:lang w:val="en-US" w:eastAsia="zh-CN"/>
              </w:rPr>
            </w:pPr>
            <w:r>
              <w:rPr>
                <w:rFonts w:hint="eastAsia"/>
                <w:szCs w:val="21"/>
                <w:lang w:val="en-US" w:eastAsia="zh-CN"/>
              </w:rPr>
              <w:t>落实情况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226" w:hRule="atLeast"/>
          <w:jc w:val="center"/>
        </w:trPr>
        <w:tc>
          <w:tcPr>
            <w:tcW w:w="683" w:type="dxa"/>
            <w:vMerge w:val="restart"/>
            <w:noWrap w:val="0"/>
            <w:vAlign w:val="center"/>
          </w:tcPr>
          <w:p>
            <w:pPr>
              <w:tabs>
                <w:tab w:val="left" w:pos="6405"/>
              </w:tabs>
              <w:adjustRightInd w:val="0"/>
              <w:snapToGrid w:val="0"/>
              <w:jc w:val="center"/>
              <w:rPr>
                <w:szCs w:val="21"/>
              </w:rPr>
            </w:pPr>
            <w:r>
              <w:rPr>
                <w:rFonts w:hint="eastAsia"/>
                <w:szCs w:val="21"/>
              </w:rPr>
              <w:t>运营期</w:t>
            </w:r>
          </w:p>
        </w:tc>
        <w:tc>
          <w:tcPr>
            <w:tcW w:w="875" w:type="dxa"/>
            <w:noWrap w:val="0"/>
            <w:vAlign w:val="center"/>
          </w:tcPr>
          <w:p>
            <w:pPr>
              <w:jc w:val="center"/>
              <w:rPr>
                <w:szCs w:val="21"/>
              </w:rPr>
            </w:pPr>
            <w:r>
              <w:rPr>
                <w:rFonts w:hint="eastAsia"/>
                <w:szCs w:val="21"/>
              </w:rPr>
              <w:t>废气</w:t>
            </w:r>
          </w:p>
        </w:tc>
        <w:tc>
          <w:tcPr>
            <w:tcW w:w="878" w:type="dxa"/>
            <w:noWrap w:val="0"/>
            <w:vAlign w:val="center"/>
          </w:tcPr>
          <w:p>
            <w:pPr>
              <w:jc w:val="center"/>
              <w:rPr>
                <w:szCs w:val="21"/>
              </w:rPr>
            </w:pPr>
            <w:r>
              <w:rPr>
                <w:rFonts w:hint="eastAsia"/>
                <w:szCs w:val="21"/>
              </w:rPr>
              <w:t>焊接工序</w:t>
            </w:r>
            <w:r>
              <w:rPr>
                <w:szCs w:val="21"/>
              </w:rPr>
              <w:t>）</w:t>
            </w:r>
          </w:p>
        </w:tc>
        <w:tc>
          <w:tcPr>
            <w:tcW w:w="1915" w:type="dxa"/>
            <w:noWrap w:val="0"/>
            <w:vAlign w:val="center"/>
          </w:tcPr>
          <w:p>
            <w:pPr>
              <w:jc w:val="center"/>
              <w:rPr>
                <w:szCs w:val="21"/>
              </w:rPr>
            </w:pPr>
            <w:r>
              <w:rPr>
                <w:rFonts w:hint="eastAsia"/>
                <w:bCs/>
                <w:szCs w:val="21"/>
                <w:lang w:val="en-US" w:eastAsia="zh-CN"/>
              </w:rPr>
              <w:t>经焊接烟尘净化器后车间</w:t>
            </w:r>
            <w:r>
              <w:rPr>
                <w:bCs/>
                <w:szCs w:val="21"/>
              </w:rPr>
              <w:t>无组织排放</w:t>
            </w:r>
          </w:p>
        </w:tc>
        <w:tc>
          <w:tcPr>
            <w:tcW w:w="1841" w:type="dxa"/>
            <w:noWrap w:val="0"/>
            <w:vAlign w:val="center"/>
          </w:tcPr>
          <w:p>
            <w:pPr>
              <w:autoSpaceDE w:val="0"/>
              <w:autoSpaceDN w:val="0"/>
              <w:jc w:val="center"/>
              <w:rPr>
                <w:szCs w:val="21"/>
              </w:rPr>
            </w:pPr>
            <w:r>
              <w:rPr>
                <w:szCs w:val="21"/>
              </w:rPr>
              <w:t>颗粒物周界外浓度最高点≤1.0mg/m</w:t>
            </w:r>
            <w:r>
              <w:rPr>
                <w:szCs w:val="21"/>
                <w:vertAlign w:val="superscript"/>
              </w:rPr>
              <w:t>3</w:t>
            </w:r>
          </w:p>
        </w:tc>
        <w:tc>
          <w:tcPr>
            <w:tcW w:w="2212" w:type="dxa"/>
            <w:noWrap w:val="0"/>
            <w:vAlign w:val="center"/>
          </w:tcPr>
          <w:p>
            <w:pPr>
              <w:jc w:val="center"/>
              <w:rPr>
                <w:szCs w:val="21"/>
              </w:rPr>
            </w:pPr>
            <w:r>
              <w:rPr>
                <w:szCs w:val="21"/>
              </w:rPr>
              <w:t>《大气污染物综合排放标准》（GB16297-1996）表2无组织排放监控浓度限值</w:t>
            </w:r>
          </w:p>
        </w:tc>
        <w:tc>
          <w:tcPr>
            <w:tcW w:w="2212" w:type="dxa"/>
            <w:noWrap w:val="0"/>
            <w:vAlign w:val="center"/>
          </w:tcPr>
          <w:p>
            <w:pPr>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noWrap w:val="0"/>
            <w:vAlign w:val="center"/>
          </w:tcPr>
          <w:p>
            <w:pPr>
              <w:tabs>
                <w:tab w:val="left" w:pos="6405"/>
              </w:tabs>
              <w:adjustRightInd w:val="0"/>
              <w:snapToGrid w:val="0"/>
              <w:jc w:val="center"/>
              <w:rPr>
                <w:szCs w:val="21"/>
              </w:rPr>
            </w:pPr>
            <w:r>
              <w:rPr>
                <w:szCs w:val="21"/>
              </w:rPr>
              <w:t>废</w:t>
            </w:r>
          </w:p>
          <w:p>
            <w:pPr>
              <w:tabs>
                <w:tab w:val="left" w:pos="6405"/>
              </w:tabs>
              <w:adjustRightInd w:val="0"/>
              <w:snapToGrid w:val="0"/>
              <w:jc w:val="center"/>
              <w:rPr>
                <w:szCs w:val="21"/>
              </w:rPr>
            </w:pPr>
            <w:r>
              <w:rPr>
                <w:szCs w:val="21"/>
              </w:rPr>
              <w:t>水</w:t>
            </w:r>
          </w:p>
        </w:tc>
        <w:tc>
          <w:tcPr>
            <w:tcW w:w="878" w:type="dxa"/>
            <w:noWrap w:val="0"/>
            <w:vAlign w:val="center"/>
          </w:tcPr>
          <w:p>
            <w:pPr>
              <w:tabs>
                <w:tab w:val="left" w:pos="6405"/>
              </w:tabs>
              <w:adjustRightInd w:val="0"/>
              <w:snapToGrid w:val="0"/>
              <w:jc w:val="center"/>
              <w:rPr>
                <w:szCs w:val="21"/>
              </w:rPr>
            </w:pPr>
            <w:r>
              <w:rPr>
                <w:szCs w:val="21"/>
              </w:rPr>
              <w:t>生活污水</w:t>
            </w:r>
          </w:p>
        </w:tc>
        <w:tc>
          <w:tcPr>
            <w:tcW w:w="1915" w:type="dxa"/>
            <w:noWrap w:val="0"/>
            <w:vAlign w:val="center"/>
          </w:tcPr>
          <w:p>
            <w:pPr>
              <w:tabs>
                <w:tab w:val="left" w:pos="6405"/>
              </w:tabs>
              <w:adjustRightInd w:val="0"/>
              <w:snapToGrid w:val="0"/>
              <w:jc w:val="center"/>
              <w:rPr>
                <w:rFonts w:hint="default" w:eastAsia="宋体"/>
                <w:bCs/>
                <w:szCs w:val="21"/>
                <w:lang w:val="en-US" w:eastAsia="zh-CN"/>
              </w:rPr>
            </w:pPr>
            <w:r>
              <w:rPr>
                <w:szCs w:val="21"/>
              </w:rPr>
              <w:t>生活污水泼洒厂区抑尘</w:t>
            </w:r>
            <w:r>
              <w:rPr>
                <w:rFonts w:hint="eastAsia"/>
                <w:szCs w:val="21"/>
                <w:lang w:eastAsia="zh-CN"/>
              </w:rPr>
              <w:t>，</w:t>
            </w:r>
            <w:r>
              <w:rPr>
                <w:rFonts w:hint="eastAsia"/>
                <w:szCs w:val="21"/>
                <w:lang w:val="en-US" w:eastAsia="zh-CN"/>
              </w:rPr>
              <w:t>不外排</w:t>
            </w:r>
          </w:p>
        </w:tc>
        <w:tc>
          <w:tcPr>
            <w:tcW w:w="1841" w:type="dxa"/>
            <w:noWrap w:val="0"/>
            <w:vAlign w:val="center"/>
          </w:tcPr>
          <w:p>
            <w:pPr>
              <w:adjustRightInd w:val="0"/>
              <w:snapToGrid w:val="0"/>
              <w:jc w:val="center"/>
              <w:rPr>
                <w:bCs/>
                <w:szCs w:val="21"/>
              </w:rPr>
            </w:pPr>
            <w:r>
              <w:rPr>
                <w:bCs/>
                <w:szCs w:val="21"/>
              </w:rPr>
              <w:t>生活污水泼洒厂区不外排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default"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87"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noWrap w:val="0"/>
            <w:vAlign w:val="center"/>
          </w:tcPr>
          <w:p>
            <w:pPr>
              <w:tabs>
                <w:tab w:val="left" w:pos="6405"/>
              </w:tabs>
              <w:adjustRightInd w:val="0"/>
              <w:snapToGrid w:val="0"/>
              <w:jc w:val="center"/>
              <w:rPr>
                <w:szCs w:val="21"/>
              </w:rPr>
            </w:pPr>
            <w:r>
              <w:rPr>
                <w:szCs w:val="21"/>
              </w:rPr>
              <w:t>噪</w:t>
            </w:r>
          </w:p>
          <w:p>
            <w:pPr>
              <w:tabs>
                <w:tab w:val="left" w:pos="6405"/>
              </w:tabs>
              <w:adjustRightInd w:val="0"/>
              <w:snapToGrid w:val="0"/>
              <w:jc w:val="center"/>
              <w:rPr>
                <w:szCs w:val="21"/>
              </w:rPr>
            </w:pPr>
            <w:r>
              <w:rPr>
                <w:szCs w:val="21"/>
              </w:rPr>
              <w:t>声</w:t>
            </w:r>
          </w:p>
        </w:tc>
        <w:tc>
          <w:tcPr>
            <w:tcW w:w="878" w:type="dxa"/>
            <w:noWrap w:val="0"/>
            <w:vAlign w:val="center"/>
          </w:tcPr>
          <w:p>
            <w:pPr>
              <w:pStyle w:val="4"/>
              <w:adjustRightInd w:val="0"/>
              <w:jc w:val="center"/>
              <w:rPr>
                <w:rFonts w:hint="eastAsia" w:ascii="宋体" w:hAnsi="宋体" w:eastAsia="宋体" w:cs="宋体"/>
                <w:sz w:val="21"/>
                <w:szCs w:val="21"/>
              </w:rPr>
            </w:pPr>
            <w:r>
              <w:rPr>
                <w:rFonts w:hint="eastAsia" w:ascii="宋体" w:hAnsi="宋体" w:eastAsia="宋体" w:cs="宋体"/>
                <w:sz w:val="21"/>
                <w:szCs w:val="21"/>
              </w:rPr>
              <w:t>生产设备运行噪声</w:t>
            </w:r>
          </w:p>
        </w:tc>
        <w:tc>
          <w:tcPr>
            <w:tcW w:w="1915" w:type="dxa"/>
            <w:noWrap w:val="0"/>
            <w:vAlign w:val="center"/>
          </w:tcPr>
          <w:p>
            <w:pPr>
              <w:pStyle w:val="4"/>
              <w:adjustRightInd w:val="0"/>
              <w:jc w:val="center"/>
              <w:rPr>
                <w:rFonts w:hint="eastAsia" w:ascii="宋体" w:hAnsi="宋体" w:eastAsia="宋体" w:cs="宋体"/>
                <w:sz w:val="21"/>
                <w:szCs w:val="21"/>
              </w:rPr>
            </w:pPr>
            <w:r>
              <w:rPr>
                <w:rFonts w:hint="eastAsia" w:ascii="宋体" w:hAnsi="宋体" w:eastAsia="宋体" w:cs="宋体"/>
                <w:sz w:val="21"/>
                <w:szCs w:val="21"/>
              </w:rPr>
              <w:t>选用低噪声设备，产噪设备加装减振垫、厂房内合理布设</w:t>
            </w:r>
          </w:p>
        </w:tc>
        <w:tc>
          <w:tcPr>
            <w:tcW w:w="1841" w:type="dxa"/>
            <w:noWrap w:val="0"/>
            <w:vAlign w:val="center"/>
          </w:tcPr>
          <w:p>
            <w:pPr>
              <w:tabs>
                <w:tab w:val="left" w:pos="6405"/>
              </w:tabs>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昼间：60B（A）</w:t>
            </w:r>
          </w:p>
          <w:p>
            <w:pPr>
              <w:tabs>
                <w:tab w:val="left" w:pos="6405"/>
              </w:tabs>
              <w:adjustRightInd w:val="0"/>
              <w:snapToGrid w:val="0"/>
              <w:jc w:val="center"/>
              <w:rPr>
                <w:rFonts w:hint="eastAsia" w:ascii="宋体" w:hAnsi="宋体" w:eastAsia="宋体" w:cs="宋体"/>
                <w:sz w:val="21"/>
                <w:szCs w:val="21"/>
              </w:rPr>
            </w:pPr>
            <w:r>
              <w:rPr>
                <w:rFonts w:hint="default" w:ascii="Times New Roman" w:hAnsi="Times New Roman" w:eastAsia="宋体" w:cs="Times New Roman"/>
                <w:sz w:val="21"/>
                <w:szCs w:val="21"/>
              </w:rPr>
              <w:t>夜间：50dB（A</w:t>
            </w:r>
            <w:r>
              <w:rPr>
                <w:rFonts w:hint="eastAsia" w:ascii="宋体" w:hAnsi="宋体" w:eastAsia="宋体" w:cs="宋体"/>
                <w:sz w:val="21"/>
                <w:szCs w:val="21"/>
              </w:rPr>
              <w:t>）</w:t>
            </w:r>
          </w:p>
        </w:tc>
        <w:tc>
          <w:tcPr>
            <w:tcW w:w="2212" w:type="dxa"/>
            <w:noWrap w:val="0"/>
            <w:vAlign w:val="center"/>
          </w:tcPr>
          <w:p>
            <w:pPr>
              <w:jc w:val="center"/>
              <w:rPr>
                <w:szCs w:val="21"/>
              </w:rPr>
            </w:pPr>
            <w:r>
              <w:rPr>
                <w:szCs w:val="21"/>
              </w:rPr>
              <w:t>《工业企业厂界环境噪声排放标准》（GB12348-2008）</w:t>
            </w:r>
          </w:p>
          <w:p>
            <w:pPr>
              <w:adjustRightInd w:val="0"/>
              <w:snapToGrid w:val="0"/>
              <w:jc w:val="center"/>
              <w:rPr>
                <w:szCs w:val="21"/>
                <w:highlight w:val="red"/>
              </w:rPr>
            </w:pPr>
            <w:r>
              <w:rPr>
                <w:szCs w:val="21"/>
              </w:rPr>
              <w:t>中2类标准</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restart"/>
            <w:noWrap w:val="0"/>
            <w:vAlign w:val="center"/>
          </w:tcPr>
          <w:p>
            <w:pPr>
              <w:tabs>
                <w:tab w:val="left" w:pos="6405"/>
              </w:tabs>
              <w:adjustRightInd w:val="0"/>
              <w:snapToGrid w:val="0"/>
              <w:jc w:val="center"/>
              <w:rPr>
                <w:szCs w:val="21"/>
              </w:rPr>
            </w:pPr>
            <w:r>
              <w:rPr>
                <w:szCs w:val="21"/>
              </w:rPr>
              <w:t>固</w:t>
            </w:r>
          </w:p>
          <w:p>
            <w:pPr>
              <w:tabs>
                <w:tab w:val="left" w:pos="6405"/>
              </w:tabs>
              <w:adjustRightInd w:val="0"/>
              <w:snapToGrid w:val="0"/>
              <w:jc w:val="center"/>
              <w:rPr>
                <w:szCs w:val="21"/>
              </w:rPr>
            </w:pPr>
            <w:r>
              <w:rPr>
                <w:szCs w:val="21"/>
              </w:rPr>
              <w:t>废</w:t>
            </w:r>
          </w:p>
        </w:tc>
        <w:tc>
          <w:tcPr>
            <w:tcW w:w="878" w:type="dxa"/>
            <w:noWrap w:val="0"/>
            <w:vAlign w:val="center"/>
          </w:tcPr>
          <w:p>
            <w:pPr>
              <w:tabs>
                <w:tab w:val="left" w:pos="6405"/>
              </w:tabs>
              <w:adjustRightInd w:val="0"/>
              <w:snapToGrid w:val="0"/>
              <w:jc w:val="center"/>
              <w:rPr>
                <w:szCs w:val="21"/>
              </w:rPr>
            </w:pPr>
            <w:r>
              <w:rPr>
                <w:szCs w:val="21"/>
              </w:rPr>
              <w:t>生活垃圾</w:t>
            </w:r>
          </w:p>
        </w:tc>
        <w:tc>
          <w:tcPr>
            <w:tcW w:w="1915" w:type="dxa"/>
            <w:vMerge w:val="restart"/>
            <w:noWrap w:val="0"/>
            <w:vAlign w:val="center"/>
          </w:tcPr>
          <w:p>
            <w:pPr>
              <w:adjustRightInd w:val="0"/>
              <w:snapToGrid w:val="0"/>
              <w:jc w:val="center"/>
              <w:rPr>
                <w:szCs w:val="21"/>
              </w:rPr>
            </w:pPr>
            <w:r>
              <w:rPr>
                <w:szCs w:val="21"/>
              </w:rPr>
              <w:t>垃圾箱收集，由环卫工人运至垃圾处理厂处理</w:t>
            </w:r>
          </w:p>
        </w:tc>
        <w:tc>
          <w:tcPr>
            <w:tcW w:w="1841" w:type="dxa"/>
            <w:noWrap w:val="0"/>
            <w:vAlign w:val="center"/>
          </w:tcPr>
          <w:p>
            <w:pPr>
              <w:adjustRightInd w:val="0"/>
              <w:snapToGrid w:val="0"/>
              <w:jc w:val="center"/>
              <w:rPr>
                <w:szCs w:val="21"/>
              </w:rPr>
            </w:pPr>
            <w:r>
              <w:rPr>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default"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continue"/>
            <w:noWrap w:val="0"/>
            <w:vAlign w:val="center"/>
          </w:tcPr>
          <w:p>
            <w:pPr>
              <w:tabs>
                <w:tab w:val="left" w:pos="6405"/>
              </w:tabs>
              <w:adjustRightInd w:val="0"/>
              <w:snapToGrid w:val="0"/>
              <w:jc w:val="center"/>
              <w:rPr>
                <w:szCs w:val="21"/>
              </w:rPr>
            </w:pPr>
          </w:p>
        </w:tc>
        <w:tc>
          <w:tcPr>
            <w:tcW w:w="878" w:type="dxa"/>
            <w:noWrap w:val="0"/>
            <w:vAlign w:val="center"/>
          </w:tcPr>
          <w:p>
            <w:pPr>
              <w:tabs>
                <w:tab w:val="left" w:pos="6405"/>
              </w:tabs>
              <w:adjustRightInd w:val="0"/>
              <w:snapToGrid w:val="0"/>
              <w:jc w:val="center"/>
              <w:rPr>
                <w:szCs w:val="21"/>
              </w:rPr>
            </w:pPr>
            <w:r>
              <w:rPr>
                <w:bCs/>
              </w:rPr>
              <w:t>设备维护</w:t>
            </w:r>
            <w:r>
              <w:rPr>
                <w:szCs w:val="21"/>
              </w:rPr>
              <w:t>含油抹布</w:t>
            </w:r>
          </w:p>
        </w:tc>
        <w:tc>
          <w:tcPr>
            <w:tcW w:w="1915" w:type="dxa"/>
            <w:vMerge w:val="continue"/>
            <w:noWrap w:val="0"/>
            <w:vAlign w:val="center"/>
          </w:tcPr>
          <w:p>
            <w:pPr>
              <w:adjustRightInd w:val="0"/>
              <w:snapToGrid w:val="0"/>
              <w:jc w:val="center"/>
              <w:rPr>
                <w:szCs w:val="21"/>
              </w:rPr>
            </w:pPr>
          </w:p>
        </w:tc>
        <w:tc>
          <w:tcPr>
            <w:tcW w:w="1841" w:type="dxa"/>
            <w:noWrap w:val="0"/>
            <w:vAlign w:val="center"/>
          </w:tcPr>
          <w:p>
            <w:pPr>
              <w:adjustRightInd w:val="0"/>
              <w:snapToGrid w:val="0"/>
              <w:jc w:val="center"/>
              <w:rPr>
                <w:szCs w:val="21"/>
              </w:rPr>
            </w:pPr>
            <w:r>
              <w:rPr>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continue"/>
            <w:noWrap w:val="0"/>
            <w:vAlign w:val="center"/>
          </w:tcPr>
          <w:p>
            <w:pPr>
              <w:tabs>
                <w:tab w:val="left" w:pos="6405"/>
              </w:tabs>
              <w:adjustRightInd w:val="0"/>
              <w:snapToGrid w:val="0"/>
              <w:jc w:val="center"/>
              <w:rPr>
                <w:szCs w:val="21"/>
              </w:rPr>
            </w:pPr>
          </w:p>
        </w:tc>
        <w:tc>
          <w:tcPr>
            <w:tcW w:w="878" w:type="dxa"/>
            <w:noWrap w:val="0"/>
            <w:vAlign w:val="center"/>
          </w:tcPr>
          <w:p>
            <w:pPr>
              <w:tabs>
                <w:tab w:val="left" w:pos="6405"/>
              </w:tabs>
              <w:adjustRightInd w:val="0"/>
              <w:snapToGrid w:val="0"/>
              <w:jc w:val="center"/>
              <w:rPr>
                <w:bCs/>
              </w:rPr>
            </w:pPr>
            <w:r>
              <w:rPr>
                <w:rFonts w:hint="eastAsia"/>
                <w:bCs/>
              </w:rPr>
              <w:t>焊接工序产生的废焊条</w:t>
            </w:r>
          </w:p>
        </w:tc>
        <w:tc>
          <w:tcPr>
            <w:tcW w:w="1915" w:type="dxa"/>
            <w:noWrap w:val="0"/>
            <w:vAlign w:val="center"/>
          </w:tcPr>
          <w:p>
            <w:pPr>
              <w:adjustRightInd w:val="0"/>
              <w:snapToGrid w:val="0"/>
              <w:jc w:val="center"/>
              <w:rPr>
                <w:szCs w:val="21"/>
              </w:rPr>
            </w:pPr>
            <w:r>
              <w:rPr>
                <w:rFonts w:hint="eastAsia"/>
                <w:szCs w:val="21"/>
              </w:rPr>
              <w:t>收集后外售</w:t>
            </w:r>
          </w:p>
        </w:tc>
        <w:tc>
          <w:tcPr>
            <w:tcW w:w="1841" w:type="dxa"/>
            <w:noWrap w:val="0"/>
            <w:vAlign w:val="center"/>
          </w:tcPr>
          <w:p>
            <w:pPr>
              <w:adjustRightInd w:val="0"/>
              <w:snapToGrid w:val="0"/>
              <w:jc w:val="center"/>
              <w:rPr>
                <w:szCs w:val="21"/>
              </w:rPr>
            </w:pPr>
            <w:r>
              <w:rPr>
                <w:rFonts w:hint="eastAsia"/>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continue"/>
            <w:noWrap w:val="0"/>
            <w:vAlign w:val="center"/>
          </w:tcPr>
          <w:p>
            <w:pPr>
              <w:tabs>
                <w:tab w:val="left" w:pos="6405"/>
              </w:tabs>
              <w:adjustRightInd w:val="0"/>
              <w:snapToGrid w:val="0"/>
              <w:jc w:val="center"/>
              <w:rPr>
                <w:szCs w:val="21"/>
              </w:rPr>
            </w:pPr>
          </w:p>
        </w:tc>
        <w:tc>
          <w:tcPr>
            <w:tcW w:w="878" w:type="dxa"/>
            <w:noWrap w:val="0"/>
            <w:vAlign w:val="center"/>
          </w:tcPr>
          <w:p>
            <w:pPr>
              <w:tabs>
                <w:tab w:val="left" w:pos="6405"/>
              </w:tabs>
              <w:adjustRightInd w:val="0"/>
              <w:snapToGrid w:val="0"/>
              <w:jc w:val="center"/>
              <w:rPr>
                <w:szCs w:val="21"/>
              </w:rPr>
            </w:pPr>
            <w:r>
              <w:rPr>
                <w:rFonts w:hint="eastAsia"/>
                <w:szCs w:val="21"/>
              </w:rPr>
              <w:t>生产过程的</w:t>
            </w:r>
            <w:r>
              <w:rPr>
                <w:szCs w:val="21"/>
              </w:rPr>
              <w:t>边角料</w:t>
            </w:r>
          </w:p>
        </w:tc>
        <w:tc>
          <w:tcPr>
            <w:tcW w:w="1915" w:type="dxa"/>
            <w:noWrap w:val="0"/>
            <w:vAlign w:val="center"/>
          </w:tcPr>
          <w:p>
            <w:pPr>
              <w:adjustRightInd w:val="0"/>
              <w:snapToGrid w:val="0"/>
              <w:jc w:val="center"/>
              <w:rPr>
                <w:szCs w:val="21"/>
              </w:rPr>
            </w:pPr>
            <w:r>
              <w:rPr>
                <w:szCs w:val="21"/>
              </w:rPr>
              <w:t>收集后外售</w:t>
            </w:r>
          </w:p>
        </w:tc>
        <w:tc>
          <w:tcPr>
            <w:tcW w:w="1841" w:type="dxa"/>
            <w:noWrap w:val="0"/>
            <w:vAlign w:val="center"/>
          </w:tcPr>
          <w:p>
            <w:pPr>
              <w:adjustRightInd w:val="0"/>
              <w:snapToGrid w:val="0"/>
              <w:jc w:val="center"/>
              <w:rPr>
                <w:szCs w:val="21"/>
              </w:rPr>
            </w:pPr>
            <w:r>
              <w:rPr>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continue"/>
            <w:noWrap w:val="0"/>
            <w:vAlign w:val="center"/>
          </w:tcPr>
          <w:p>
            <w:pPr>
              <w:tabs>
                <w:tab w:val="left" w:pos="6405"/>
              </w:tabs>
              <w:adjustRightInd w:val="0"/>
              <w:snapToGrid w:val="0"/>
              <w:jc w:val="center"/>
              <w:rPr>
                <w:szCs w:val="21"/>
              </w:rPr>
            </w:pPr>
          </w:p>
        </w:tc>
        <w:tc>
          <w:tcPr>
            <w:tcW w:w="878" w:type="dxa"/>
            <w:noWrap w:val="0"/>
            <w:vAlign w:val="center"/>
          </w:tcPr>
          <w:p>
            <w:pPr>
              <w:tabs>
                <w:tab w:val="left" w:pos="6405"/>
              </w:tabs>
              <w:adjustRightInd w:val="0"/>
              <w:snapToGrid w:val="0"/>
              <w:jc w:val="center"/>
              <w:rPr>
                <w:rFonts w:hint="eastAsia"/>
                <w:szCs w:val="21"/>
              </w:rPr>
            </w:pPr>
            <w:r>
              <w:rPr>
                <w:rFonts w:hint="eastAsia"/>
                <w:szCs w:val="21"/>
              </w:rPr>
              <w:t>打孔工序产生的废钢屑</w:t>
            </w:r>
          </w:p>
        </w:tc>
        <w:tc>
          <w:tcPr>
            <w:tcW w:w="1915" w:type="dxa"/>
            <w:noWrap w:val="0"/>
            <w:vAlign w:val="center"/>
          </w:tcPr>
          <w:p>
            <w:pPr>
              <w:adjustRightInd w:val="0"/>
              <w:snapToGrid w:val="0"/>
              <w:jc w:val="center"/>
              <w:rPr>
                <w:szCs w:val="21"/>
              </w:rPr>
            </w:pPr>
            <w:r>
              <w:rPr>
                <w:szCs w:val="21"/>
              </w:rPr>
              <w:t>收集后外售</w:t>
            </w:r>
          </w:p>
        </w:tc>
        <w:tc>
          <w:tcPr>
            <w:tcW w:w="1841" w:type="dxa"/>
            <w:noWrap w:val="0"/>
            <w:vAlign w:val="center"/>
          </w:tcPr>
          <w:p>
            <w:pPr>
              <w:adjustRightInd w:val="0"/>
              <w:snapToGrid w:val="0"/>
              <w:jc w:val="center"/>
              <w:rPr>
                <w:szCs w:val="21"/>
              </w:rPr>
            </w:pPr>
            <w:r>
              <w:rPr>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835" w:hRule="atLeast"/>
          <w:jc w:val="center"/>
        </w:trPr>
        <w:tc>
          <w:tcPr>
            <w:tcW w:w="683" w:type="dxa"/>
            <w:vMerge w:val="continue"/>
            <w:noWrap w:val="0"/>
            <w:vAlign w:val="center"/>
          </w:tcPr>
          <w:p>
            <w:pPr>
              <w:tabs>
                <w:tab w:val="left" w:pos="6405"/>
              </w:tabs>
              <w:adjustRightInd w:val="0"/>
              <w:snapToGrid w:val="0"/>
              <w:jc w:val="center"/>
              <w:rPr>
                <w:szCs w:val="21"/>
              </w:rPr>
            </w:pPr>
          </w:p>
        </w:tc>
        <w:tc>
          <w:tcPr>
            <w:tcW w:w="875" w:type="dxa"/>
            <w:vMerge w:val="continue"/>
            <w:noWrap w:val="0"/>
            <w:vAlign w:val="center"/>
          </w:tcPr>
          <w:p>
            <w:pPr>
              <w:tabs>
                <w:tab w:val="left" w:pos="6405"/>
              </w:tabs>
              <w:adjustRightInd w:val="0"/>
              <w:snapToGrid w:val="0"/>
              <w:jc w:val="center"/>
              <w:rPr>
                <w:szCs w:val="21"/>
              </w:rPr>
            </w:pPr>
          </w:p>
        </w:tc>
        <w:tc>
          <w:tcPr>
            <w:tcW w:w="878" w:type="dxa"/>
            <w:noWrap w:val="0"/>
            <w:vAlign w:val="center"/>
          </w:tcPr>
          <w:p>
            <w:pPr>
              <w:tabs>
                <w:tab w:val="left" w:pos="6405"/>
              </w:tabs>
              <w:adjustRightInd w:val="0"/>
              <w:snapToGrid w:val="0"/>
              <w:jc w:val="center"/>
              <w:rPr>
                <w:szCs w:val="21"/>
              </w:rPr>
            </w:pPr>
            <w:r>
              <w:rPr>
                <w:rFonts w:hint="eastAsia"/>
                <w:szCs w:val="21"/>
              </w:rPr>
              <w:t>焊接烟尘净化器</w:t>
            </w:r>
            <w:r>
              <w:rPr>
                <w:szCs w:val="21"/>
              </w:rPr>
              <w:t>收集烟尘</w:t>
            </w:r>
          </w:p>
        </w:tc>
        <w:tc>
          <w:tcPr>
            <w:tcW w:w="1915" w:type="dxa"/>
            <w:noWrap w:val="0"/>
            <w:vAlign w:val="center"/>
          </w:tcPr>
          <w:p>
            <w:pPr>
              <w:adjustRightInd w:val="0"/>
              <w:snapToGrid w:val="0"/>
              <w:jc w:val="center"/>
              <w:rPr>
                <w:szCs w:val="21"/>
              </w:rPr>
            </w:pPr>
            <w:r>
              <w:rPr>
                <w:szCs w:val="21"/>
              </w:rPr>
              <w:t>收集后外售</w:t>
            </w:r>
          </w:p>
        </w:tc>
        <w:tc>
          <w:tcPr>
            <w:tcW w:w="1841" w:type="dxa"/>
            <w:noWrap w:val="0"/>
            <w:vAlign w:val="center"/>
          </w:tcPr>
          <w:p>
            <w:pPr>
              <w:adjustRightInd w:val="0"/>
              <w:snapToGrid w:val="0"/>
              <w:jc w:val="center"/>
              <w:rPr>
                <w:szCs w:val="21"/>
              </w:rPr>
            </w:pPr>
            <w:r>
              <w:rPr>
                <w:szCs w:val="21"/>
              </w:rPr>
              <w:t>不外排</w:t>
            </w:r>
          </w:p>
        </w:tc>
        <w:tc>
          <w:tcPr>
            <w:tcW w:w="2212" w:type="dxa"/>
            <w:noWrap w:val="0"/>
            <w:vAlign w:val="center"/>
          </w:tcPr>
          <w:p>
            <w:pPr>
              <w:adjustRightInd w:val="0"/>
              <w:snapToGrid w:val="0"/>
              <w:jc w:val="center"/>
              <w:rPr>
                <w:szCs w:val="21"/>
              </w:rPr>
            </w:pPr>
            <w:r>
              <w:rPr>
                <w:szCs w:val="21"/>
              </w:rPr>
              <w:t>—</w:t>
            </w:r>
          </w:p>
        </w:tc>
        <w:tc>
          <w:tcPr>
            <w:tcW w:w="2212"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落实</w:t>
            </w:r>
          </w:p>
        </w:tc>
      </w:tr>
    </w:tbl>
    <w:p>
      <w:pPr>
        <w:pStyle w:val="2"/>
        <w:rPr>
          <w:rFonts w:hint="default"/>
        </w:rPr>
      </w:pPr>
    </w:p>
    <w:p>
      <w:pPr>
        <w:pStyle w:val="6"/>
        <w:rPr>
          <w:rFonts w:hint="default" w:ascii="Times New Roman" w:hAnsi="Times New Roman" w:eastAsia="宋体" w:cs="Times New Roman"/>
        </w:rPr>
      </w:pPr>
      <w:bookmarkStart w:id="132" w:name="_Toc24447"/>
      <w:bookmarkStart w:id="133" w:name="_Toc1554"/>
      <w:bookmarkStart w:id="134" w:name="_Toc1887"/>
      <w:bookmarkStart w:id="135" w:name="_Toc5108"/>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default" w:ascii="宋体" w:hAnsi="宋体" w:eastAsia="宋体" w:cs="宋体"/>
          <w:sz w:val="24"/>
          <w:szCs w:val="24"/>
          <w:lang w:val="en-US"/>
        </w:rPr>
      </w:pPr>
      <w:r>
        <w:rPr>
          <w:rFonts w:hint="eastAsia" w:ascii="宋体" w:hAnsi="宋体" w:eastAsia="宋体" w:cs="宋体"/>
          <w:sz w:val="24"/>
          <w:szCs w:val="24"/>
        </w:rPr>
        <w:t>项目位于</w:t>
      </w:r>
      <w:r>
        <w:rPr>
          <w:rFonts w:hint="eastAsia" w:ascii="宋体" w:hAnsi="宋体" w:eastAsia="宋体" w:cs="宋体"/>
          <w:color w:val="auto"/>
          <w:sz w:val="24"/>
          <w:szCs w:val="24"/>
        </w:rPr>
        <w:t>河北省沧州市</w:t>
      </w:r>
      <w:r>
        <w:rPr>
          <w:rFonts w:hint="eastAsia" w:ascii="宋体" w:hAnsi="宋体" w:cs="宋体"/>
          <w:color w:val="auto"/>
          <w:sz w:val="24"/>
          <w:szCs w:val="24"/>
          <w:lang w:val="en-US" w:eastAsia="zh-CN"/>
        </w:rPr>
        <w:t>盐山县盐山镇白庄村</w:t>
      </w:r>
      <w:r>
        <w:rPr>
          <w:rFonts w:hint="eastAsia" w:ascii="宋体" w:hAnsi="宋体" w:eastAsia="宋体" w:cs="宋体"/>
          <w:spacing w:val="0"/>
          <w:kern w:val="0"/>
          <w:sz w:val="24"/>
          <w:szCs w:val="24"/>
          <w:lang w:val="en-US" w:eastAsia="zh-CN"/>
        </w:rPr>
        <w:t>，</w:t>
      </w:r>
      <w:r>
        <w:rPr>
          <w:rFonts w:hint="eastAsia" w:ascii="宋体" w:hAnsi="宋体" w:eastAsia="宋体" w:cs="宋体"/>
          <w:sz w:val="24"/>
          <w:szCs w:val="24"/>
          <w:lang w:eastAsia="zh-CN"/>
        </w:rPr>
        <w:t>总投资</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60万元，</w:t>
      </w:r>
      <w:r>
        <w:rPr>
          <w:rFonts w:hint="eastAsia" w:ascii="宋体" w:hAnsi="宋体" w:eastAsia="宋体" w:cs="宋体"/>
          <w:color w:val="000000" w:themeColor="text1"/>
          <w:sz w:val="24"/>
          <w:szCs w:val="24"/>
          <w14:textFill>
            <w14:solidFill>
              <w14:schemeClr w14:val="tx1"/>
            </w14:solidFill>
          </w14:textFill>
        </w:rPr>
        <w:t>项目主体工程为新增土地200平方米，建设车间等配套及辅助设施等共200平方米；购置</w:t>
      </w:r>
      <w:r>
        <w:rPr>
          <w:rFonts w:hint="eastAsia" w:ascii="宋体" w:hAnsi="宋体" w:cs="宋体"/>
          <w:color w:val="000000" w:themeColor="text1"/>
          <w:sz w:val="24"/>
          <w:szCs w:val="24"/>
          <w:lang w:val="en-US" w:eastAsia="zh-CN"/>
          <w14:textFill>
            <w14:solidFill>
              <w14:schemeClr w14:val="tx1"/>
            </w14:solidFill>
          </w14:textFill>
        </w:rPr>
        <w:t>车床、切割机、二保焊机、电焊机、钻床</w:t>
      </w:r>
      <w:r>
        <w:rPr>
          <w:rFonts w:hint="eastAsia" w:ascii="宋体" w:hAnsi="宋体" w:eastAsia="宋体" w:cs="宋体"/>
          <w:color w:val="000000" w:themeColor="text1"/>
          <w:sz w:val="24"/>
          <w:szCs w:val="24"/>
          <w14:textFill>
            <w14:solidFill>
              <w14:schemeClr w14:val="tx1"/>
            </w14:solidFill>
          </w14:textFill>
        </w:rPr>
        <w:t>等共</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台</w:t>
      </w:r>
      <w:r>
        <w:rPr>
          <w:rFonts w:hint="eastAsia" w:ascii="宋体" w:hAnsi="宋体" w:eastAsia="宋体" w:cs="宋体"/>
          <w:sz w:val="24"/>
          <w:szCs w:val="24"/>
          <w:lang w:val="en-US" w:eastAsia="zh-CN"/>
        </w:rPr>
        <w:t>，</w:t>
      </w:r>
      <w:r>
        <w:rPr>
          <w:sz w:val="24"/>
        </w:rPr>
        <w:t>年产</w:t>
      </w:r>
      <w:r>
        <w:rPr>
          <w:rFonts w:hint="eastAsia"/>
          <w:sz w:val="24"/>
        </w:rPr>
        <w:t>80吨输送机械</w:t>
      </w:r>
      <w:r>
        <w:rPr>
          <w:rFonts w:hint="default" w:ascii="Times New Roman" w:hAnsi="Times New Roman" w:eastAsia="宋体" w:cs="Times New Roman"/>
          <w:sz w:val="24"/>
          <w:szCs w:val="24"/>
        </w:rPr>
        <w:t>。</w:t>
      </w:r>
      <w:r>
        <w:rPr>
          <w:rFonts w:hint="eastAsia" w:ascii="宋体" w:hAnsi="宋体" w:eastAsia="宋体" w:cs="宋体"/>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本项目废气主要为</w:t>
      </w:r>
      <w:r>
        <w:rPr>
          <w:rFonts w:hint="eastAsia" w:ascii="Times New Roman" w:hAnsi="Times New Roman"/>
          <w:color w:val="auto"/>
          <w:spacing w:val="-6"/>
          <w:sz w:val="24"/>
          <w:szCs w:val="24"/>
          <w:lang w:val="en-US" w:eastAsia="zh-CN"/>
        </w:rPr>
        <w:t>焊接</w:t>
      </w:r>
      <w:r>
        <w:rPr>
          <w:rFonts w:hint="eastAsia" w:ascii="Times New Roman" w:hAnsi="Times New Roman" w:eastAsia="宋体"/>
          <w:color w:val="auto"/>
          <w:spacing w:val="-6"/>
          <w:sz w:val="24"/>
          <w:szCs w:val="24"/>
          <w:lang w:val="zh-CN" w:eastAsia="zh-CN"/>
        </w:rPr>
        <w:t>工序产生的废气。废气经</w:t>
      </w:r>
      <w:r>
        <w:rPr>
          <w:rFonts w:hint="eastAsia" w:ascii="Times New Roman" w:hAnsi="Times New Roman"/>
          <w:color w:val="auto"/>
          <w:spacing w:val="-6"/>
          <w:sz w:val="24"/>
          <w:szCs w:val="24"/>
          <w:lang w:val="en-US" w:eastAsia="zh-CN"/>
        </w:rPr>
        <w:t>焊接烟尘净化器处理后无组织排放</w:t>
      </w:r>
      <w:r>
        <w:rPr>
          <w:rFonts w:hint="eastAsia" w:ascii="宋体" w:hAnsi="宋体" w:eastAsia="宋体" w:cs="宋体"/>
          <w:color w:val="auto"/>
          <w:spacing w:val="-6"/>
          <w:sz w:val="24"/>
          <w:szCs w:val="24"/>
          <w:lang w:val="zh-CN" w:eastAsia="zh-CN"/>
        </w:rPr>
        <w:t>。</w:t>
      </w:r>
      <w:r>
        <w:rPr>
          <w:rFonts w:hint="eastAsia" w:ascii="宋体" w:hAnsi="宋体" w:eastAsia="宋体" w:cs="宋体"/>
          <w:color w:val="auto"/>
          <w:sz w:val="24"/>
          <w:szCs w:val="24"/>
        </w:rPr>
        <w:t>为具体</w:t>
      </w:r>
      <w:r>
        <w:rPr>
          <w:rFonts w:hint="default" w:ascii="Times New Roman" w:hAnsi="Times New Roman" w:eastAsia="宋体" w:cs="Times New Roman"/>
          <w:color w:val="auto"/>
          <w:sz w:val="24"/>
          <w:szCs w:val="24"/>
        </w:rPr>
        <w:t>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w:t>
      </w:r>
      <w:r>
        <w:rPr>
          <w:rFonts w:hint="eastAsia"/>
          <w:bCs/>
          <w:color w:val="auto"/>
          <w:kern w:val="2"/>
          <w:sz w:val="24"/>
          <w:szCs w:val="24"/>
          <w:lang w:val="en-US" w:eastAsia="zh-CN"/>
        </w:rPr>
        <w:t>无生产用水</w:t>
      </w:r>
      <w:r>
        <w:rPr>
          <w:bCs/>
          <w:color w:val="auto"/>
          <w:kern w:val="2"/>
          <w:sz w:val="24"/>
          <w:szCs w:val="24"/>
        </w:rPr>
        <w:t>；生活用水</w:t>
      </w:r>
      <w:r>
        <w:rPr>
          <w:rFonts w:hint="eastAsia"/>
          <w:bCs/>
          <w:color w:val="auto"/>
          <w:kern w:val="2"/>
          <w:sz w:val="24"/>
          <w:szCs w:val="24"/>
          <w:lang w:val="en-US" w:eastAsia="zh-CN"/>
        </w:rPr>
        <w:t>厂区泼洒抑尘不外排</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default" w:ascii="Times New Roman" w:hAnsi="Times New Roman" w:cs="Times New Roman"/>
          <w:sz w:val="24"/>
          <w:szCs w:val="24"/>
        </w:rPr>
        <w:t>生产过程产生的边角料、焊接工序产生的废焊条、打孔工序产生的废钢屑和焊接烟尘净化器收集的粉尘</w:t>
      </w:r>
      <w:r>
        <w:rPr>
          <w:rFonts w:hint="eastAsia" w:ascii="Times New Roman" w:hAnsi="Times New Roman" w:cs="Times New Roman"/>
          <w:sz w:val="24"/>
          <w:szCs w:val="24"/>
          <w:lang w:val="en-US" w:eastAsia="zh-CN"/>
        </w:rPr>
        <w:t>均</w:t>
      </w:r>
      <w:r>
        <w:rPr>
          <w:rFonts w:hint="default" w:ascii="Times New Roman" w:hAnsi="Times New Roman" w:cs="Times New Roman"/>
          <w:sz w:val="24"/>
          <w:szCs w:val="24"/>
        </w:rPr>
        <w:t>收集后外售；含油抹布和生活垃圾</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均</w:t>
      </w:r>
      <w:r>
        <w:rPr>
          <w:sz w:val="24"/>
          <w:szCs w:val="24"/>
        </w:rPr>
        <w:t>垃圾箱收集，由环卫工人运至垃圾处理厂处理</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7" w:name="_Toc8056"/>
      <w:bookmarkStart w:id="138" w:name="_Toc2185"/>
      <w:bookmarkStart w:id="139" w:name="_Toc12475"/>
      <w:r>
        <w:rPr>
          <w:rFonts w:hint="default" w:ascii="Times New Roman" w:hAnsi="Times New Roman" w:eastAsia="宋体" w:cs="Times New Roman"/>
        </w:rPr>
        <w:t>3主要污染源及治理措施</w:t>
      </w:r>
      <w:bookmarkEnd w:id="136"/>
      <w:bookmarkEnd w:id="137"/>
      <w:bookmarkEnd w:id="138"/>
      <w:bookmarkEnd w:id="139"/>
    </w:p>
    <w:p>
      <w:pPr>
        <w:pStyle w:val="6"/>
        <w:rPr>
          <w:rFonts w:hint="eastAsia" w:ascii="宋体" w:hAnsi="宋体" w:eastAsia="宋体" w:cs="宋体"/>
          <w:b/>
          <w:bCs w:val="0"/>
          <w:color w:val="auto"/>
        </w:rPr>
      </w:pPr>
      <w:bookmarkStart w:id="140" w:name="_Toc10538"/>
      <w:bookmarkStart w:id="141" w:name="_Toc381"/>
      <w:bookmarkStart w:id="142" w:name="_Toc12186"/>
      <w:bookmarkStart w:id="143" w:name="_Toc31233"/>
      <w:r>
        <w:rPr>
          <w:rFonts w:hint="eastAsia" w:ascii="宋体" w:hAnsi="宋体" w:eastAsia="宋体" w:cs="宋体"/>
          <w:b/>
          <w:bCs w:val="0"/>
          <w:color w:val="auto"/>
        </w:rPr>
        <w:t>3.1施工期主要污染源及治理措施</w:t>
      </w:r>
      <w:bookmarkEnd w:id="140"/>
      <w:bookmarkEnd w:id="141"/>
      <w:bookmarkEnd w:id="142"/>
      <w:bookmarkEnd w:id="143"/>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480" w:firstLineChars="200"/>
        <w:jc w:val="both"/>
        <w:textAlignment w:val="auto"/>
        <w:outlineLvl w:val="1"/>
        <w:rPr>
          <w:rFonts w:hint="eastAsia" w:ascii="宋体" w:hAnsi="宋体" w:eastAsia="宋体" w:cs="宋体"/>
          <w:b w:val="0"/>
          <w:bCs/>
          <w:color w:val="000000"/>
          <w:sz w:val="24"/>
        </w:rPr>
      </w:pPr>
      <w:bookmarkStart w:id="144" w:name="_Toc25292"/>
      <w:bookmarkStart w:id="145" w:name="_Toc22056"/>
      <w:bookmarkStart w:id="146" w:name="_Toc28537"/>
      <w:bookmarkStart w:id="147" w:name="_Toc23781"/>
      <w:r>
        <w:rPr>
          <w:rFonts w:hint="eastAsia" w:ascii="宋体" w:hAnsi="宋体" w:eastAsia="宋体" w:cs="宋体"/>
          <w:b w:val="0"/>
          <w:bCs/>
          <w:color w:val="000000"/>
          <w:sz w:val="24"/>
        </w:rPr>
        <w:t>本项目施工期不进行土建工程，设备安装在原有车间内进行，因此施工期环境影响很小</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eastAsia" w:ascii="宋体" w:hAnsi="宋体" w:eastAsia="宋体" w:cs="宋体"/>
          <w:b/>
          <w:bCs w:val="0"/>
        </w:rPr>
        <w:t>3.2运</w:t>
      </w:r>
      <w:r>
        <w:rPr>
          <w:rFonts w:hint="eastAsia" w:ascii="宋体" w:hAnsi="宋体" w:eastAsia="宋体" w:cs="宋体"/>
          <w:b/>
          <w:bCs w:val="0"/>
          <w:lang w:val="en-US" w:eastAsia="zh-CN"/>
        </w:rPr>
        <w:t>营</w:t>
      </w:r>
      <w:r>
        <w:rPr>
          <w:rFonts w:hint="eastAsia" w:ascii="宋体" w:hAnsi="宋体" w:eastAsia="宋体" w:cs="宋体"/>
          <w:b/>
          <w:bCs w:val="0"/>
        </w:rPr>
        <w:t>期主要污染源及治理措施</w:t>
      </w:r>
      <w:bookmarkEnd w:id="144"/>
      <w:bookmarkEnd w:id="145"/>
      <w:bookmarkEnd w:id="146"/>
      <w:bookmarkEnd w:id="14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6979024"/>
      <w:bookmarkStart w:id="149" w:name="_Toc497001461"/>
      <w:bookmarkStart w:id="150" w:name="_Toc8524"/>
      <w:bookmarkStart w:id="151" w:name="_Toc8094"/>
      <w:bookmarkStart w:id="152" w:name="_Toc3760"/>
      <w:bookmarkStart w:id="153" w:name="_Toc3932"/>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w:t>
      </w:r>
      <w:r>
        <w:rPr>
          <w:rFonts w:hint="eastAsia" w:ascii="Times New Roman" w:hAnsi="Times New Roman"/>
          <w:color w:val="auto"/>
          <w:spacing w:val="-6"/>
          <w:sz w:val="24"/>
          <w:szCs w:val="24"/>
          <w:lang w:val="en-US" w:eastAsia="zh-CN"/>
        </w:rPr>
        <w:t>焊接</w:t>
      </w:r>
      <w:r>
        <w:rPr>
          <w:rFonts w:hint="eastAsia" w:ascii="Times New Roman" w:hAnsi="Times New Roman" w:eastAsia="宋体"/>
          <w:color w:val="auto"/>
          <w:spacing w:val="-6"/>
          <w:sz w:val="24"/>
          <w:szCs w:val="24"/>
          <w:lang w:val="zh-CN" w:eastAsia="zh-CN"/>
        </w:rPr>
        <w:t>工序产生的废气。废气经</w:t>
      </w:r>
      <w:r>
        <w:rPr>
          <w:rFonts w:hint="eastAsia" w:ascii="Times New Roman" w:hAnsi="Times New Roman"/>
          <w:color w:val="auto"/>
          <w:spacing w:val="-6"/>
          <w:sz w:val="24"/>
          <w:szCs w:val="24"/>
          <w:lang w:val="en-US" w:eastAsia="zh-CN"/>
        </w:rPr>
        <w:t>焊接烟尘净化器处理后无组织排放</w:t>
      </w:r>
      <w:r>
        <w:rPr>
          <w:rFonts w:hint="eastAsia" w:ascii="Times New Roman" w:hAnsi="Times New Roman" w:eastAsia="宋体"/>
          <w:color w:val="auto"/>
          <w:spacing w:val="-6"/>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6473"/>
      <w:bookmarkStart w:id="155" w:name="_Toc22928"/>
      <w:bookmarkStart w:id="156" w:name="_Toc18379"/>
      <w:bookmarkStart w:id="157"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58" w:name="_Toc27955"/>
      <w:bookmarkStart w:id="159" w:name="_Toc20585"/>
      <w:bookmarkStart w:id="160" w:name="_Toc496979025"/>
      <w:bookmarkStart w:id="161" w:name="_Toc497001462"/>
      <w:r>
        <w:rPr>
          <w:rFonts w:hint="eastAsia" w:ascii="Times New Roman" w:hAnsi="Times New Roman" w:eastAsia="宋体" w:cs="Times New Roman"/>
          <w:color w:val="auto"/>
          <w:sz w:val="24"/>
          <w:szCs w:val="24"/>
          <w:lang w:val="zh-CN" w:eastAsia="zh-CN"/>
        </w:rPr>
        <w:t>本项目</w:t>
      </w:r>
      <w:r>
        <w:rPr>
          <w:rFonts w:hint="eastAsia"/>
          <w:bCs/>
          <w:color w:val="auto"/>
          <w:kern w:val="2"/>
          <w:sz w:val="24"/>
          <w:szCs w:val="24"/>
          <w:lang w:val="en-US" w:eastAsia="zh-CN"/>
        </w:rPr>
        <w:t>无生产用水</w:t>
      </w:r>
      <w:r>
        <w:rPr>
          <w:bCs/>
          <w:color w:val="auto"/>
          <w:kern w:val="2"/>
          <w:sz w:val="24"/>
          <w:szCs w:val="24"/>
        </w:rPr>
        <w:t>；生活用水</w:t>
      </w:r>
      <w:r>
        <w:rPr>
          <w:rFonts w:hint="eastAsia"/>
          <w:bCs/>
          <w:color w:val="auto"/>
          <w:kern w:val="2"/>
          <w:sz w:val="24"/>
          <w:szCs w:val="24"/>
          <w:lang w:val="en-US" w:eastAsia="zh-CN"/>
        </w:rPr>
        <w:t>厂区泼洒抑尘不外排</w:t>
      </w:r>
      <w:r>
        <w:rPr>
          <w:rFonts w:hint="eastAsia" w:ascii="Times New Roman" w:hAnsi="Times New Roman" w:eastAsia="宋体" w:cs="Times New Roman"/>
          <w:color w:val="auto"/>
          <w:sz w:val="24"/>
          <w:szCs w:val="24"/>
          <w:lang w:val="zh-CN" w:eastAsia="zh-CN"/>
        </w:rPr>
        <w:t>。</w:t>
      </w:r>
    </w:p>
    <w:bookmarkEnd w:id="158"/>
    <w:bookmarkEnd w:id="159"/>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62" w:name="_Toc571"/>
      <w:bookmarkStart w:id="163" w:name="_Toc32691"/>
      <w:bookmarkStart w:id="164" w:name="_Toc18436"/>
      <w:bookmarkStart w:id="165" w:name="_Toc30198"/>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62"/>
      <w:bookmarkEnd w:id="163"/>
      <w:bookmarkEnd w:id="164"/>
      <w:bookmarkEnd w:id="165"/>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项目噪声污染源主要为</w:t>
      </w:r>
      <w:r>
        <w:rPr>
          <w:rFonts w:hint="eastAsia" w:ascii="Times New Roman" w:hAnsi="Times New Roman" w:cstheme="minorEastAsia"/>
          <w:kern w:val="2"/>
          <w:sz w:val="24"/>
          <w:szCs w:val="24"/>
          <w:lang w:val="en-US" w:eastAsia="zh-CN" w:bidi="ar-SA"/>
        </w:rPr>
        <w:t>切割机、车床</w:t>
      </w:r>
      <w:r>
        <w:rPr>
          <w:rFonts w:hint="eastAsia" w:ascii="Times New Roman" w:hAnsi="Times New Roman" w:eastAsia="宋体" w:cstheme="minorEastAsia"/>
          <w:kern w:val="2"/>
          <w:sz w:val="24"/>
          <w:szCs w:val="24"/>
          <w:lang w:val="en-US" w:eastAsia="zh-CN" w:bidi="ar-SA"/>
        </w:rPr>
        <w:t>等生产工艺设备运转时产生的噪声。通过加装基础减振、厂房隔声等措施降噪。</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6" w:name="_Toc16750"/>
      <w:bookmarkStart w:id="167" w:name="_Toc2397"/>
      <w:bookmarkStart w:id="168" w:name="_Toc5318"/>
      <w:bookmarkStart w:id="169" w:name="_Toc147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6"/>
      <w:bookmarkEnd w:id="167"/>
      <w:bookmarkEnd w:id="168"/>
      <w:bookmarkEnd w:id="169"/>
    </w:p>
    <w:p>
      <w:pPr>
        <w:pStyle w:val="11"/>
        <w:adjustRightInd w:val="0"/>
        <w:snapToGrid w:val="0"/>
        <w:spacing w:line="360" w:lineRule="auto"/>
        <w:ind w:firstLine="480" w:firstLineChars="200"/>
        <w:jc w:val="left"/>
        <w:rPr>
          <w:rFonts w:hint="default" w:ascii="Times New Roman" w:hAnsi="Times New Roman" w:eastAsia="宋体" w:cs="Times New Roman"/>
          <w:sz w:val="24"/>
          <w:szCs w:val="24"/>
        </w:rPr>
      </w:pPr>
      <w:bookmarkStart w:id="170" w:name="_Toc3310"/>
      <w:bookmarkStart w:id="171" w:name="_Toc9823"/>
      <w:bookmarkStart w:id="172" w:name="_Toc4008"/>
      <w:r>
        <w:rPr>
          <w:rFonts w:hint="default" w:ascii="Times New Roman" w:hAnsi="Times New Roman" w:cs="Times New Roman"/>
          <w:sz w:val="24"/>
          <w:szCs w:val="24"/>
        </w:rPr>
        <w:t>生产过程产生的边角料、焊接工序产生的废焊条、打孔工序产生的废钢屑和焊接烟尘净化器收集的粉尘收集后外售；含油抹布和生活垃圾</w:t>
      </w:r>
      <w:bookmarkEnd w:id="170"/>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均</w:t>
      </w:r>
      <w:r>
        <w:rPr>
          <w:sz w:val="24"/>
          <w:szCs w:val="24"/>
        </w:rPr>
        <w:t>垃圾箱收集，由环卫工人运至垃圾处理厂处理</w:t>
      </w:r>
      <w:r>
        <w:rPr>
          <w:rFonts w:hint="default" w:ascii="Times New Roman" w:hAnsi="Times New Roman" w:eastAsia="宋体" w:cs="Times New Roman"/>
          <w:sz w:val="24"/>
          <w:szCs w:val="24"/>
        </w:rPr>
        <w:t>。</w:t>
      </w:r>
    </w:p>
    <w:bookmarkEnd w:id="160"/>
    <w:bookmarkEnd w:id="161"/>
    <w:bookmarkEnd w:id="171"/>
    <w:bookmarkEnd w:id="172"/>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3" w:name="_Toc19788"/>
      <w:bookmarkStart w:id="174" w:name="_Toc14411"/>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5" w:name="_Toc32061"/>
      <w:bookmarkStart w:id="176" w:name="_Toc25824"/>
      <w:r>
        <w:rPr>
          <w:rFonts w:hint="default" w:ascii="Times New Roman" w:hAnsi="Times New Roman" w:eastAsia="宋体" w:cs="Times New Roman"/>
        </w:rPr>
        <w:t>4环评主要结论及环评批复要求</w:t>
      </w:r>
      <w:bookmarkEnd w:id="173"/>
      <w:bookmarkEnd w:id="174"/>
      <w:bookmarkEnd w:id="175"/>
      <w:bookmarkEnd w:id="176"/>
    </w:p>
    <w:p>
      <w:pPr>
        <w:pStyle w:val="6"/>
        <w:rPr>
          <w:rFonts w:hint="default" w:ascii="Times New Roman" w:hAnsi="Times New Roman" w:eastAsia="宋体" w:cs="Times New Roman"/>
          <w:sz w:val="24"/>
          <w:szCs w:val="24"/>
        </w:rPr>
      </w:pPr>
      <w:bookmarkStart w:id="177" w:name="_Toc19580"/>
      <w:bookmarkStart w:id="178" w:name="_Toc17594"/>
      <w:bookmarkStart w:id="179" w:name="_Toc25915"/>
      <w:bookmarkStart w:id="180" w:name="_Toc21108"/>
      <w:r>
        <w:rPr>
          <w:rFonts w:hint="default" w:ascii="Times New Roman" w:hAnsi="Times New Roman" w:eastAsia="宋体" w:cs="Times New Roman"/>
          <w:sz w:val="24"/>
          <w:szCs w:val="24"/>
        </w:rPr>
        <w:t>4.1建设项目环评报告表的主要结论与建议</w:t>
      </w:r>
      <w:bookmarkEnd w:id="177"/>
      <w:bookmarkEnd w:id="178"/>
      <w:bookmarkEnd w:id="179"/>
      <w:bookmarkEnd w:id="180"/>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81" w:name="_Toc22609"/>
      <w:bookmarkStart w:id="182" w:name="_Toc26870"/>
      <w:bookmarkStart w:id="183" w:name="_Toc17583"/>
      <w:bookmarkStart w:id="184" w:name="_Toc496979030"/>
      <w:bookmarkStart w:id="185" w:name="_Toc29423"/>
      <w:bookmarkStart w:id="186" w:name="_Toc497001467"/>
      <w:r>
        <w:rPr>
          <w:rFonts w:hint="default" w:ascii="Times New Roman" w:hAnsi="Times New Roman" w:eastAsia="宋体" w:cs="Times New Roman"/>
          <w:b/>
          <w:bCs/>
        </w:rPr>
        <w:t>4.1.1主要结论</w:t>
      </w:r>
      <w:bookmarkEnd w:id="181"/>
      <w:bookmarkEnd w:id="182"/>
      <w:bookmarkEnd w:id="183"/>
      <w:bookmarkEnd w:id="184"/>
      <w:bookmarkEnd w:id="185"/>
      <w:bookmarkEnd w:id="186"/>
    </w:p>
    <w:p>
      <w:pPr>
        <w:adjustRightInd w:val="0"/>
        <w:snapToGrid w:val="0"/>
        <w:spacing w:line="360" w:lineRule="auto"/>
        <w:ind w:firstLine="480" w:firstLineChars="200"/>
        <w:jc w:val="left"/>
        <w:rPr>
          <w:b w:val="0"/>
          <w:bCs/>
          <w:sz w:val="24"/>
        </w:rPr>
      </w:pPr>
      <w:bookmarkStart w:id="187" w:name="_Toc25204"/>
      <w:r>
        <w:rPr>
          <w:b w:val="0"/>
          <w:bCs/>
          <w:sz w:val="24"/>
        </w:rPr>
        <w:t>1、建设项目概况</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1.1项目概述</w:t>
      </w:r>
    </w:p>
    <w:p>
      <w:pPr>
        <w:adjustRightInd w:val="0"/>
        <w:snapToGrid w:val="0"/>
        <w:spacing w:line="360" w:lineRule="auto"/>
        <w:ind w:firstLine="480" w:firstLineChars="200"/>
        <w:jc w:val="left"/>
        <w:rPr>
          <w:rFonts w:hint="default" w:eastAsia="宋体"/>
          <w:b w:val="0"/>
          <w:bCs/>
          <w:color w:val="auto"/>
          <w:sz w:val="24"/>
          <w:lang w:val="en-US" w:eastAsia="zh-CN"/>
        </w:rPr>
      </w:pPr>
      <w:r>
        <w:rPr>
          <w:b w:val="0"/>
          <w:bCs/>
          <w:sz w:val="24"/>
        </w:rPr>
        <w:t>项目名称：年产</w:t>
      </w:r>
      <w:r>
        <w:rPr>
          <w:rFonts w:hint="eastAsia"/>
          <w:b w:val="0"/>
          <w:bCs/>
          <w:sz w:val="24"/>
          <w:lang w:val="en-US" w:eastAsia="zh-CN"/>
        </w:rPr>
        <w:t>80</w:t>
      </w:r>
      <w:r>
        <w:rPr>
          <w:b w:val="0"/>
          <w:bCs/>
          <w:sz w:val="24"/>
        </w:rPr>
        <w:t>吨</w:t>
      </w:r>
      <w:r>
        <w:rPr>
          <w:rFonts w:hint="eastAsia"/>
          <w:b w:val="0"/>
          <w:bCs/>
          <w:sz w:val="24"/>
          <w:lang w:val="en-US" w:eastAsia="zh-CN"/>
        </w:rPr>
        <w:t>输送机械</w:t>
      </w:r>
    </w:p>
    <w:p>
      <w:pPr>
        <w:pStyle w:val="11"/>
        <w:adjustRightInd w:val="0"/>
        <w:snapToGrid w:val="0"/>
        <w:spacing w:line="360" w:lineRule="auto"/>
        <w:ind w:firstLine="480" w:firstLineChars="200"/>
        <w:jc w:val="left"/>
        <w:rPr>
          <w:rFonts w:hint="default" w:ascii="Times New Roman" w:hAnsi="Times New Roman" w:eastAsia="宋体"/>
          <w:b w:val="0"/>
          <w:bCs/>
          <w:color w:val="auto"/>
          <w:sz w:val="24"/>
          <w:szCs w:val="24"/>
          <w:lang w:val="en-US" w:eastAsia="zh-CN"/>
        </w:rPr>
      </w:pPr>
      <w:r>
        <w:rPr>
          <w:rFonts w:ascii="Times New Roman" w:hAnsi="Times New Roman"/>
          <w:b w:val="0"/>
          <w:bCs/>
          <w:sz w:val="24"/>
        </w:rPr>
        <w:t>建设单位：</w:t>
      </w:r>
      <w:r>
        <w:rPr>
          <w:rFonts w:hint="eastAsia" w:ascii="Times New Roman" w:hAnsi="Times New Roman"/>
          <w:b w:val="0"/>
          <w:bCs/>
          <w:color w:val="auto"/>
          <w:sz w:val="24"/>
          <w:szCs w:val="24"/>
          <w:lang w:val="en-US" w:eastAsia="zh-CN"/>
        </w:rPr>
        <w:t>河北津华输送机械制造有限公司</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建设性质：新建</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color w:val="auto"/>
          <w:sz w:val="24"/>
        </w:rPr>
        <w:t>建设规模：项目建筑面积</w:t>
      </w:r>
      <w:r>
        <w:rPr>
          <w:rFonts w:hint="eastAsia" w:ascii="Times New Roman" w:hAnsi="Times New Roman"/>
          <w:b w:val="0"/>
          <w:bCs/>
          <w:color w:val="auto"/>
          <w:sz w:val="24"/>
          <w:lang w:val="en-US" w:eastAsia="zh-CN"/>
        </w:rPr>
        <w:t>550</w:t>
      </w:r>
      <w:r>
        <w:rPr>
          <w:rFonts w:ascii="Times New Roman" w:hAnsi="Times New Roman"/>
          <w:b w:val="0"/>
          <w:bCs/>
          <w:color w:val="auto"/>
          <w:sz w:val="24"/>
        </w:rPr>
        <w:t>m</w:t>
      </w:r>
      <w:r>
        <w:rPr>
          <w:rFonts w:ascii="Times New Roman" w:hAnsi="Times New Roman"/>
          <w:b w:val="0"/>
          <w:bCs/>
          <w:color w:val="auto"/>
          <w:sz w:val="24"/>
          <w:vertAlign w:val="superscript"/>
        </w:rPr>
        <w:t>2</w:t>
      </w:r>
      <w:r>
        <w:rPr>
          <w:rFonts w:ascii="Times New Roman" w:hAnsi="Times New Roman"/>
          <w:b w:val="0"/>
          <w:bCs/>
          <w:color w:val="auto"/>
          <w:sz w:val="24"/>
        </w:rPr>
        <w:t>，</w:t>
      </w:r>
      <w:r>
        <w:rPr>
          <w:rFonts w:ascii="Times New Roman" w:hAnsi="Times New Roman"/>
          <w:b w:val="0"/>
          <w:bCs/>
          <w:color w:val="000000" w:themeColor="text1"/>
          <w:sz w:val="24"/>
          <w14:textFill>
            <w14:solidFill>
              <w14:schemeClr w14:val="tx1"/>
            </w14:solidFill>
          </w14:textFill>
        </w:rPr>
        <w:t>年产</w:t>
      </w:r>
      <w:r>
        <w:rPr>
          <w:rFonts w:hint="eastAsia" w:ascii="Times New Roman" w:hAnsi="Times New Roman"/>
          <w:b w:val="0"/>
          <w:bCs/>
          <w:color w:val="000000" w:themeColor="text1"/>
          <w:sz w:val="24"/>
          <w:lang w:val="en-US" w:eastAsia="zh-CN"/>
          <w14:textFill>
            <w14:solidFill>
              <w14:schemeClr w14:val="tx1"/>
            </w14:solidFill>
          </w14:textFill>
        </w:rPr>
        <w:t>80吨输送机械</w:t>
      </w:r>
      <w:r>
        <w:rPr>
          <w:rFonts w:ascii="Times New Roman" w:hAnsi="Times New Roman"/>
          <w:b w:val="0"/>
          <w:bCs/>
          <w:color w:val="000000" w:themeColor="text1"/>
          <w:sz w:val="24"/>
          <w14:textFill>
            <w14:solidFill>
              <w14:schemeClr w14:val="tx1"/>
            </w14:solidFill>
          </w14:textFill>
        </w:rPr>
        <w:t>。</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sz w:val="24"/>
        </w:rPr>
        <w:t>工程投资：项目总投资</w:t>
      </w:r>
      <w:r>
        <w:rPr>
          <w:rFonts w:hint="eastAsia" w:ascii="Times New Roman" w:hAnsi="Times New Roman"/>
          <w:b w:val="0"/>
          <w:bCs/>
          <w:sz w:val="24"/>
          <w:lang w:val="en-US" w:eastAsia="zh-CN"/>
        </w:rPr>
        <w:t>1</w:t>
      </w:r>
      <w:r>
        <w:rPr>
          <w:rFonts w:ascii="Times New Roman" w:hAnsi="Times New Roman"/>
          <w:b w:val="0"/>
          <w:bCs/>
          <w:sz w:val="24"/>
        </w:rPr>
        <w:t>60万元，其中环保投资5万元，占总投资的</w:t>
      </w:r>
      <w:r>
        <w:rPr>
          <w:rFonts w:hint="eastAsia" w:ascii="Times New Roman" w:hAnsi="Times New Roman"/>
          <w:b w:val="0"/>
          <w:bCs/>
          <w:sz w:val="24"/>
          <w:lang w:val="en-US" w:eastAsia="zh-CN"/>
        </w:rPr>
        <w:t>3.13</w:t>
      </w:r>
      <w:r>
        <w:rPr>
          <w:rFonts w:ascii="Times New Roman" w:hAnsi="Times New Roman"/>
          <w:b w:val="0"/>
          <w:bCs/>
          <w:sz w:val="24"/>
        </w:rPr>
        <w:t>%。</w:t>
      </w:r>
    </w:p>
    <w:p>
      <w:pPr>
        <w:adjustRightInd w:val="0"/>
        <w:snapToGrid w:val="0"/>
        <w:spacing w:line="360" w:lineRule="auto"/>
        <w:ind w:firstLine="482"/>
        <w:rPr>
          <w:b w:val="0"/>
          <w:bCs/>
          <w:color w:val="auto"/>
          <w:sz w:val="24"/>
        </w:rPr>
      </w:pPr>
      <w:r>
        <w:rPr>
          <w:b w:val="0"/>
          <w:bCs/>
          <w:color w:val="auto"/>
          <w:sz w:val="24"/>
          <w:szCs w:val="24"/>
        </w:rPr>
        <w:t>劳动定员及工作时制：</w:t>
      </w:r>
      <w:r>
        <w:rPr>
          <w:b w:val="0"/>
          <w:bCs/>
          <w:color w:val="auto"/>
          <w:sz w:val="24"/>
        </w:rPr>
        <w:t>项目劳动定员</w:t>
      </w:r>
      <w:r>
        <w:rPr>
          <w:rFonts w:hint="eastAsia"/>
          <w:b w:val="0"/>
          <w:bCs/>
          <w:color w:val="auto"/>
          <w:sz w:val="24"/>
          <w:lang w:val="en-US" w:eastAsia="zh-CN"/>
        </w:rPr>
        <w:t>11</w:t>
      </w:r>
      <w:r>
        <w:rPr>
          <w:b w:val="0"/>
          <w:bCs/>
          <w:color w:val="auto"/>
          <w:sz w:val="24"/>
        </w:rPr>
        <w:t>人，年工作时间300天，每日一班，每班工作8小时。</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1.2项目选址</w:t>
      </w:r>
    </w:p>
    <w:p>
      <w:pPr>
        <w:adjustRightInd w:val="0"/>
        <w:snapToGrid w:val="0"/>
        <w:spacing w:line="360" w:lineRule="auto"/>
        <w:ind w:firstLine="480" w:firstLineChars="200"/>
        <w:rPr>
          <w:b w:val="0"/>
          <w:bCs/>
          <w:color w:val="auto"/>
          <w:sz w:val="24"/>
        </w:rPr>
      </w:pPr>
      <w:r>
        <w:rPr>
          <w:b w:val="0"/>
          <w:bCs/>
          <w:color w:val="auto"/>
          <w:sz w:val="24"/>
        </w:rPr>
        <w:t>项目位于</w:t>
      </w:r>
      <w:r>
        <w:rPr>
          <w:b w:val="0"/>
          <w:bCs/>
          <w:color w:val="auto"/>
          <w:sz w:val="24"/>
          <w:szCs w:val="24"/>
        </w:rPr>
        <w:t>河北省沧州市</w:t>
      </w:r>
      <w:r>
        <w:rPr>
          <w:rFonts w:hint="eastAsia"/>
          <w:b w:val="0"/>
          <w:bCs/>
          <w:color w:val="auto"/>
          <w:sz w:val="24"/>
          <w:szCs w:val="24"/>
          <w:lang w:val="en-US" w:eastAsia="zh-CN"/>
        </w:rPr>
        <w:t>盐山县盐山镇白庄村</w:t>
      </w:r>
      <w:r>
        <w:rPr>
          <w:b w:val="0"/>
          <w:bCs/>
          <w:color w:val="auto"/>
          <w:sz w:val="24"/>
        </w:rPr>
        <w:t>，根据</w:t>
      </w:r>
      <w:r>
        <w:rPr>
          <w:rFonts w:hint="eastAsia"/>
          <w:b w:val="0"/>
          <w:bCs/>
          <w:color w:val="auto"/>
          <w:sz w:val="24"/>
          <w:lang w:val="en-US" w:eastAsia="zh-CN"/>
        </w:rPr>
        <w:t>盐山县盐山镇</w:t>
      </w:r>
      <w:r>
        <w:rPr>
          <w:b w:val="0"/>
          <w:bCs/>
          <w:color w:val="auto"/>
          <w:sz w:val="24"/>
        </w:rPr>
        <w:t>人民政府出具的</w:t>
      </w:r>
      <w:r>
        <w:rPr>
          <w:rFonts w:hint="eastAsia"/>
          <w:b w:val="0"/>
          <w:bCs/>
          <w:color w:val="auto"/>
          <w:sz w:val="24"/>
          <w:lang w:val="en-US" w:eastAsia="zh-CN"/>
        </w:rPr>
        <w:t>河北津华输送机械制造有限公司</w:t>
      </w:r>
      <w:r>
        <w:rPr>
          <w:b w:val="0"/>
          <w:bCs/>
          <w:color w:val="auto"/>
          <w:sz w:val="24"/>
        </w:rPr>
        <w:t>项目的规划选址意见：年产</w:t>
      </w:r>
      <w:r>
        <w:rPr>
          <w:rFonts w:hint="eastAsia"/>
          <w:b w:val="0"/>
          <w:bCs/>
          <w:color w:val="auto"/>
          <w:sz w:val="24"/>
          <w:lang w:val="en-US" w:eastAsia="zh-CN"/>
        </w:rPr>
        <w:t>80</w:t>
      </w:r>
      <w:r>
        <w:rPr>
          <w:b w:val="0"/>
          <w:bCs/>
          <w:color w:val="auto"/>
          <w:sz w:val="24"/>
        </w:rPr>
        <w:t>吨</w:t>
      </w:r>
      <w:r>
        <w:rPr>
          <w:rFonts w:hint="eastAsia"/>
          <w:b w:val="0"/>
          <w:bCs/>
          <w:color w:val="auto"/>
          <w:sz w:val="24"/>
          <w:lang w:val="en-US" w:eastAsia="zh-CN"/>
        </w:rPr>
        <w:t>输送机械</w:t>
      </w:r>
      <w:r>
        <w:rPr>
          <w:b w:val="0"/>
          <w:bCs/>
          <w:color w:val="auto"/>
          <w:sz w:val="24"/>
        </w:rPr>
        <w:t>项目符合</w:t>
      </w:r>
      <w:r>
        <w:rPr>
          <w:rFonts w:hint="eastAsia"/>
          <w:b w:val="0"/>
          <w:bCs/>
          <w:color w:val="auto"/>
          <w:sz w:val="24"/>
          <w:lang w:val="en-US" w:eastAsia="zh-CN"/>
        </w:rPr>
        <w:t>盐山镇</w:t>
      </w:r>
      <w:r>
        <w:rPr>
          <w:b w:val="0"/>
          <w:bCs/>
          <w:color w:val="auto"/>
          <w:sz w:val="24"/>
        </w:rPr>
        <w:t>的规划，同意本项目在此选址建设生产。项目评价范围内无自然保护区、风景名胜区、文物保护单位、饮用水水源保护区等环境敏感区。本项目在正常生产条件下各种污染物能够达标排放，满足防护距离要求，从环境保护角度，项目选址可行。</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1.3建设内容</w:t>
      </w:r>
    </w:p>
    <w:p>
      <w:pPr>
        <w:pStyle w:val="35"/>
        <w:adjustRightInd w:val="0"/>
        <w:snapToGrid w:val="0"/>
        <w:ind w:firstLine="482" w:firstLineChars="0"/>
        <w:rPr>
          <w:b w:val="0"/>
          <w:bCs/>
        </w:rPr>
      </w:pPr>
      <w:r>
        <w:rPr>
          <w:rFonts w:hint="eastAsia"/>
          <w:b w:val="0"/>
          <w:bCs/>
          <w:color w:val="000000" w:themeColor="text1"/>
          <w14:textFill>
            <w14:solidFill>
              <w14:schemeClr w14:val="tx1"/>
            </w14:solidFill>
          </w14:textFill>
        </w:rPr>
        <w:t>项目占地面积867m²，主体工程为生产车间及输送机械生产线</w:t>
      </w:r>
      <w:r>
        <w:rPr>
          <w:b w:val="0"/>
          <w:bCs/>
          <w:color w:val="000000" w:themeColor="text1"/>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购置</w:t>
      </w:r>
      <w:r>
        <w:rPr>
          <w:rFonts w:hint="eastAsia" w:ascii="宋体" w:hAnsi="宋体" w:cs="宋体"/>
          <w:color w:val="000000" w:themeColor="text1"/>
          <w:sz w:val="24"/>
          <w:szCs w:val="24"/>
          <w:lang w:val="en-US" w:eastAsia="zh-CN"/>
          <w14:textFill>
            <w14:solidFill>
              <w14:schemeClr w14:val="tx1"/>
            </w14:solidFill>
          </w14:textFill>
        </w:rPr>
        <w:t>车床、切割机、二保焊机、电焊机、钻床</w:t>
      </w:r>
      <w:r>
        <w:rPr>
          <w:rFonts w:hint="eastAsia" w:ascii="宋体" w:hAnsi="宋体" w:eastAsia="宋体" w:cs="宋体"/>
          <w:color w:val="000000" w:themeColor="text1"/>
          <w:sz w:val="24"/>
          <w:szCs w:val="24"/>
          <w14:textFill>
            <w14:solidFill>
              <w14:schemeClr w14:val="tx1"/>
            </w14:solidFill>
          </w14:textFill>
        </w:rPr>
        <w:t>等共</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台</w:t>
      </w:r>
      <w:r>
        <w:rPr>
          <w:b w:val="0"/>
          <w:bCs/>
          <w:color w:val="000000" w:themeColor="text1"/>
          <w14:textFill>
            <w14:solidFill>
              <w14:schemeClr w14:val="tx1"/>
            </w14:solidFill>
          </w14:textFill>
        </w:rPr>
        <w:t>；公用工程为供电、供水、供热等设施；环保工程为废气、降噪、固废措施等。项目产品、工艺、设备均未列入《产业结构调整指导目录（2019年本）》淘汰类及限制类，也未列入《河北省环境敏感区支持、限制及禁止建设项目名录（2015年修订）》禁止类与限制类之列，该项目已在</w:t>
      </w:r>
      <w:r>
        <w:rPr>
          <w:rFonts w:hint="eastAsia"/>
          <w:b w:val="0"/>
          <w:bCs/>
          <w:color w:val="000000" w:themeColor="text1"/>
          <w:lang w:val="en-US" w:eastAsia="zh-CN"/>
          <w14:textFill>
            <w14:solidFill>
              <w14:schemeClr w14:val="tx1"/>
            </w14:solidFill>
          </w14:textFill>
        </w:rPr>
        <w:t>盐山县发展和改革局</w:t>
      </w:r>
      <w:r>
        <w:rPr>
          <w:b w:val="0"/>
          <w:bCs/>
          <w:color w:val="000000" w:themeColor="text1"/>
          <w14:textFill>
            <w14:solidFill>
              <w14:schemeClr w14:val="tx1"/>
            </w14:solidFill>
          </w14:textFill>
        </w:rPr>
        <w:t>备案，备案编号为</w:t>
      </w:r>
      <w:r>
        <w:rPr>
          <w:rFonts w:hint="eastAsia"/>
          <w:b w:val="0"/>
          <w:bCs/>
          <w:color w:val="000000" w:themeColor="text1"/>
          <w:lang w:val="en-US" w:eastAsia="zh-CN"/>
          <w14:textFill>
            <w14:solidFill>
              <w14:schemeClr w14:val="tx1"/>
            </w14:solidFill>
          </w14:textFill>
        </w:rPr>
        <w:t>盐发改工备字</w:t>
      </w:r>
      <w:r>
        <w:rPr>
          <w:b w:val="0"/>
          <w:bCs/>
          <w:color w:val="000000" w:themeColor="text1"/>
          <w14:textFill>
            <w14:solidFill>
              <w14:schemeClr w14:val="tx1"/>
            </w14:solidFill>
          </w14:textFill>
        </w:rPr>
        <w:t>[2019]</w:t>
      </w:r>
      <w:r>
        <w:rPr>
          <w:rFonts w:hint="eastAsia"/>
          <w:b w:val="0"/>
          <w:bCs/>
          <w:color w:val="000000" w:themeColor="text1"/>
          <w:lang w:val="en-US" w:eastAsia="zh-CN"/>
          <w14:textFill>
            <w14:solidFill>
              <w14:schemeClr w14:val="tx1"/>
            </w14:solidFill>
          </w14:textFill>
        </w:rPr>
        <w:t>198</w:t>
      </w:r>
      <w:r>
        <w:rPr>
          <w:b w:val="0"/>
          <w:bCs/>
          <w:color w:val="000000" w:themeColor="text1"/>
          <w14:textFill>
            <w14:solidFill>
              <w14:schemeClr w14:val="tx1"/>
            </w14:solidFill>
          </w14:textFill>
        </w:rPr>
        <w:t>号，（项目代码：2019-13092</w:t>
      </w:r>
      <w:r>
        <w:rPr>
          <w:rFonts w:hint="eastAsia"/>
          <w:b w:val="0"/>
          <w:bCs/>
          <w:color w:val="000000" w:themeColor="text1"/>
          <w:lang w:val="en-US" w:eastAsia="zh-CN"/>
          <w14:textFill>
            <w14:solidFill>
              <w14:schemeClr w14:val="tx1"/>
            </w14:solidFill>
          </w14:textFill>
        </w:rPr>
        <w:t>5</w:t>
      </w:r>
      <w:r>
        <w:rPr>
          <w:b w:val="0"/>
          <w:bCs/>
          <w:color w:val="000000" w:themeColor="text1"/>
          <w14:textFill>
            <w14:solidFill>
              <w14:schemeClr w14:val="tx1"/>
            </w14:solidFill>
          </w14:textFill>
        </w:rPr>
        <w:t>-</w:t>
      </w:r>
      <w:r>
        <w:rPr>
          <w:rFonts w:hint="eastAsia"/>
          <w:b w:val="0"/>
          <w:bCs/>
          <w:color w:val="000000" w:themeColor="text1"/>
          <w:lang w:val="en-US" w:eastAsia="zh-CN"/>
          <w14:textFill>
            <w14:solidFill>
              <w14:schemeClr w14:val="tx1"/>
            </w14:solidFill>
          </w14:textFill>
        </w:rPr>
        <w:t>41</w:t>
      </w:r>
      <w:r>
        <w:rPr>
          <w:b w:val="0"/>
          <w:bCs/>
          <w:color w:val="000000" w:themeColor="text1"/>
          <w14:textFill>
            <w14:solidFill>
              <w14:schemeClr w14:val="tx1"/>
            </w14:solidFill>
          </w14:textFill>
        </w:rPr>
        <w:t>-03-00</w:t>
      </w:r>
      <w:r>
        <w:rPr>
          <w:rFonts w:hint="eastAsia"/>
          <w:b w:val="0"/>
          <w:bCs/>
          <w:color w:val="000000" w:themeColor="text1"/>
          <w:lang w:val="en-US" w:eastAsia="zh-CN"/>
          <w14:textFill>
            <w14:solidFill>
              <w14:schemeClr w14:val="tx1"/>
            </w14:solidFill>
          </w14:textFill>
        </w:rPr>
        <w:t>0253</w:t>
      </w:r>
      <w:r>
        <w:rPr>
          <w:b w:val="0"/>
          <w:bCs/>
          <w:color w:val="000000" w:themeColor="text1"/>
          <w14:textFill>
            <w14:solidFill>
              <w14:schemeClr w14:val="tx1"/>
            </w14:solidFill>
          </w14:textFill>
        </w:rPr>
        <w:t>）</w:t>
      </w:r>
      <w:r>
        <w:rPr>
          <w:b w:val="0"/>
          <w:bCs/>
        </w:rPr>
        <w:t>符合国家产业政策。</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1.4项目衔接</w:t>
      </w:r>
    </w:p>
    <w:p>
      <w:pPr>
        <w:adjustRightInd w:val="0"/>
        <w:snapToGrid w:val="0"/>
        <w:spacing w:line="360" w:lineRule="auto"/>
        <w:ind w:firstLine="480" w:firstLineChars="200"/>
        <w:rPr>
          <w:b w:val="0"/>
          <w:bCs/>
          <w:color w:val="auto"/>
          <w:sz w:val="24"/>
        </w:rPr>
      </w:pPr>
      <w:r>
        <w:rPr>
          <w:b w:val="0"/>
          <w:bCs/>
          <w:sz w:val="24"/>
          <w:szCs w:val="24"/>
        </w:rPr>
        <w:t>项目</w:t>
      </w:r>
      <w:r>
        <w:rPr>
          <w:b w:val="0"/>
          <w:bCs/>
          <w:kern w:val="2"/>
          <w:sz w:val="24"/>
        </w:rPr>
        <w:t>电源引</w:t>
      </w:r>
      <w:r>
        <w:rPr>
          <w:b w:val="0"/>
          <w:bCs/>
          <w:sz w:val="24"/>
          <w:szCs w:val="24"/>
        </w:rPr>
        <w:t>自</w:t>
      </w:r>
      <w:r>
        <w:rPr>
          <w:rFonts w:hint="eastAsia"/>
          <w:b w:val="0"/>
          <w:bCs/>
          <w:sz w:val="24"/>
          <w:szCs w:val="24"/>
          <w:lang w:val="en-US" w:eastAsia="zh-CN"/>
        </w:rPr>
        <w:t>当地</w:t>
      </w:r>
      <w:r>
        <w:rPr>
          <w:b w:val="0"/>
          <w:bCs/>
          <w:sz w:val="24"/>
          <w:szCs w:val="24"/>
        </w:rPr>
        <w:t>供电系统</w:t>
      </w:r>
      <w:r>
        <w:rPr>
          <w:b w:val="0"/>
          <w:bCs/>
          <w:kern w:val="2"/>
          <w:sz w:val="24"/>
          <w:szCs w:val="24"/>
        </w:rPr>
        <w:t>，可满足项目供电需</w:t>
      </w:r>
      <w:r>
        <w:rPr>
          <w:b w:val="0"/>
          <w:bCs/>
          <w:kern w:val="2"/>
          <w:sz w:val="24"/>
        </w:rPr>
        <w:t>求。项目厂区用水由</w:t>
      </w:r>
      <w:r>
        <w:rPr>
          <w:rFonts w:hint="eastAsia"/>
          <w:b w:val="0"/>
          <w:bCs/>
          <w:kern w:val="2"/>
          <w:sz w:val="24"/>
          <w:lang w:val="en-US" w:eastAsia="zh-CN"/>
        </w:rPr>
        <w:t>当地供水系统</w:t>
      </w:r>
      <w:r>
        <w:rPr>
          <w:b w:val="0"/>
          <w:bCs/>
          <w:kern w:val="2"/>
          <w:sz w:val="24"/>
        </w:rPr>
        <w:t>提供；生活污水，厂区</w:t>
      </w:r>
      <w:r>
        <w:rPr>
          <w:rFonts w:hint="eastAsia"/>
          <w:b w:val="0"/>
          <w:bCs/>
          <w:kern w:val="2"/>
          <w:sz w:val="24"/>
          <w:lang w:val="en-US" w:eastAsia="zh-CN"/>
        </w:rPr>
        <w:t>泼洒抑尘不外排</w:t>
      </w:r>
      <w:r>
        <w:rPr>
          <w:b w:val="0"/>
          <w:bCs/>
          <w:color w:val="auto"/>
          <w:sz w:val="24"/>
        </w:rPr>
        <w:t>。项目生产过程中生产用热由电源提供，办公室冬季利用空调供暖。</w:t>
      </w:r>
    </w:p>
    <w:p>
      <w:pPr>
        <w:adjustRightInd w:val="0"/>
        <w:snapToGrid w:val="0"/>
        <w:spacing w:line="360" w:lineRule="auto"/>
        <w:ind w:firstLine="480" w:firstLineChars="200"/>
        <w:rPr>
          <w:b w:val="0"/>
          <w:bCs/>
          <w:sz w:val="24"/>
        </w:rPr>
      </w:pPr>
      <w:r>
        <w:rPr>
          <w:b w:val="0"/>
          <w:bCs/>
          <w:sz w:val="24"/>
        </w:rPr>
        <w:t>2、环境质量现状</w:t>
      </w:r>
    </w:p>
    <w:p>
      <w:pPr>
        <w:adjustRightInd w:val="0"/>
        <w:snapToGrid w:val="0"/>
        <w:spacing w:line="360" w:lineRule="auto"/>
        <w:ind w:firstLine="480" w:firstLineChars="200"/>
        <w:rPr>
          <w:b w:val="0"/>
          <w:bCs/>
          <w:color w:val="auto"/>
          <w:spacing w:val="-4"/>
          <w:sz w:val="24"/>
          <w:szCs w:val="24"/>
        </w:rPr>
      </w:pPr>
      <w:r>
        <w:rPr>
          <w:b w:val="0"/>
          <w:bCs/>
          <w:color w:val="auto"/>
          <w:sz w:val="24"/>
        </w:rPr>
        <w:t>项目所在区域大气环境满足《环境空气质量标准》（GB3095-2012）及修改单</w:t>
      </w:r>
      <w:r>
        <w:rPr>
          <w:b w:val="0"/>
          <w:bCs/>
          <w:sz w:val="24"/>
        </w:rPr>
        <w:t>中二级标准</w:t>
      </w:r>
      <w:r>
        <w:rPr>
          <w:b w:val="0"/>
          <w:bCs/>
          <w:color w:val="auto"/>
          <w:sz w:val="24"/>
        </w:rPr>
        <w:t>；</w:t>
      </w:r>
      <w:r>
        <w:rPr>
          <w:rFonts w:hint="eastAsia"/>
          <w:b w:val="0"/>
          <w:bCs/>
          <w:color w:val="auto"/>
          <w:sz w:val="24"/>
          <w:lang w:val="en-US" w:eastAsia="zh-CN"/>
        </w:rPr>
        <w:t>颗粒物无组织排放</w:t>
      </w:r>
      <w:r>
        <w:rPr>
          <w:sz w:val="24"/>
        </w:rPr>
        <w:t>厂界浓度满足</w:t>
      </w:r>
      <w:r>
        <w:rPr>
          <w:sz w:val="24"/>
          <w:lang w:val="en-GB"/>
        </w:rPr>
        <w:t>《大气污染物综合排放标准》(GB16297-1996)表2中无组织排放浓度要求</w:t>
      </w:r>
      <w:r>
        <w:rPr>
          <w:b w:val="0"/>
          <w:bCs/>
          <w:color w:val="auto"/>
          <w:spacing w:val="-4"/>
          <w:sz w:val="24"/>
          <w:szCs w:val="24"/>
        </w:rPr>
        <w:t>。</w:t>
      </w:r>
    </w:p>
    <w:p>
      <w:pPr>
        <w:adjustRightInd w:val="0"/>
        <w:snapToGrid w:val="0"/>
        <w:spacing w:line="360" w:lineRule="auto"/>
        <w:ind w:firstLine="480" w:firstLineChars="200"/>
        <w:jc w:val="left"/>
        <w:rPr>
          <w:b w:val="0"/>
          <w:bCs/>
          <w:color w:val="auto"/>
          <w:kern w:val="24"/>
          <w:sz w:val="24"/>
        </w:rPr>
      </w:pPr>
      <w:r>
        <w:rPr>
          <w:b w:val="0"/>
          <w:bCs/>
          <w:color w:val="auto"/>
          <w:kern w:val="24"/>
          <w:sz w:val="24"/>
        </w:rPr>
        <w:t>项目所在区域声环境质量满足《声环境质量标准》（GB3096-2008）表1中2类标准要求。</w:t>
      </w:r>
    </w:p>
    <w:p>
      <w:pPr>
        <w:adjustRightInd w:val="0"/>
        <w:snapToGrid w:val="0"/>
        <w:spacing w:line="360" w:lineRule="auto"/>
        <w:ind w:firstLine="480" w:firstLineChars="200"/>
        <w:jc w:val="left"/>
        <w:rPr>
          <w:b w:val="0"/>
          <w:bCs/>
          <w:color w:val="auto"/>
          <w:sz w:val="24"/>
        </w:rPr>
      </w:pPr>
      <w:r>
        <w:rPr>
          <w:b w:val="0"/>
          <w:bCs/>
          <w:color w:val="auto"/>
          <w:sz w:val="24"/>
        </w:rPr>
        <w:t>项目所在区域地下水环境满足《地下水环境质量标准</w:t>
      </w:r>
      <w:r>
        <w:rPr>
          <w:b w:val="0"/>
          <w:bCs/>
          <w:sz w:val="24"/>
        </w:rPr>
        <w:t>》（GB/T14848-2017）III</w:t>
      </w:r>
      <w:r>
        <w:rPr>
          <w:b w:val="0"/>
          <w:bCs/>
          <w:color w:val="auto"/>
          <w:sz w:val="24"/>
        </w:rPr>
        <w:t>类标准。</w:t>
      </w:r>
    </w:p>
    <w:p>
      <w:pPr>
        <w:adjustRightInd w:val="0"/>
        <w:snapToGrid w:val="0"/>
        <w:spacing w:line="360" w:lineRule="auto"/>
        <w:ind w:firstLine="480" w:firstLineChars="200"/>
        <w:jc w:val="left"/>
        <w:rPr>
          <w:b w:val="0"/>
          <w:bCs/>
          <w:sz w:val="24"/>
        </w:rPr>
      </w:pPr>
      <w:r>
        <w:rPr>
          <w:b w:val="0"/>
          <w:bCs/>
          <w:sz w:val="24"/>
        </w:rPr>
        <w:t>3、污染防治措施可行性分析结论</w:t>
      </w:r>
    </w:p>
    <w:p>
      <w:pPr>
        <w:adjustRightInd w:val="0"/>
        <w:snapToGrid w:val="0"/>
        <w:spacing w:line="360" w:lineRule="auto"/>
        <w:ind w:firstLine="480" w:firstLineChars="200"/>
        <w:jc w:val="left"/>
        <w:rPr>
          <w:b w:val="0"/>
          <w:bCs/>
          <w:kern w:val="24"/>
          <w:sz w:val="24"/>
        </w:rPr>
      </w:pPr>
      <w:r>
        <w:rPr>
          <w:b w:val="0"/>
          <w:bCs/>
          <w:kern w:val="24"/>
          <w:sz w:val="24"/>
        </w:rPr>
        <w:t>3.1施工期环境影响分析结论</w:t>
      </w:r>
    </w:p>
    <w:p>
      <w:pPr>
        <w:spacing w:line="360" w:lineRule="auto"/>
        <w:ind w:firstLine="480" w:firstLineChars="200"/>
        <w:rPr>
          <w:b w:val="0"/>
          <w:bCs/>
          <w:kern w:val="24"/>
          <w:sz w:val="24"/>
        </w:rPr>
      </w:pPr>
      <w:r>
        <w:rPr>
          <w:rFonts w:hint="eastAsia"/>
          <w:color w:val="000000"/>
          <w:sz w:val="24"/>
        </w:rPr>
        <w:t>本项目施工期不进行土建工程，设备安装在原有车间内进行，因此施工期环境影响很小</w:t>
      </w:r>
      <w:r>
        <w:rPr>
          <w:b w:val="0"/>
          <w:bCs/>
          <w:sz w:val="24"/>
          <w:szCs w:val="24"/>
        </w:rPr>
        <w:t>。</w:t>
      </w:r>
    </w:p>
    <w:p>
      <w:pPr>
        <w:adjustRightInd w:val="0"/>
        <w:snapToGrid w:val="0"/>
        <w:spacing w:line="360" w:lineRule="auto"/>
        <w:ind w:firstLine="480" w:firstLineChars="200"/>
        <w:jc w:val="left"/>
        <w:rPr>
          <w:b w:val="0"/>
          <w:bCs/>
          <w:kern w:val="24"/>
          <w:sz w:val="24"/>
        </w:rPr>
      </w:pPr>
      <w:r>
        <w:rPr>
          <w:b w:val="0"/>
          <w:bCs/>
          <w:kern w:val="24"/>
          <w:sz w:val="24"/>
        </w:rPr>
        <w:t>3.2运营期环境影响分析结论</w:t>
      </w:r>
    </w:p>
    <w:p>
      <w:pPr>
        <w:pStyle w:val="11"/>
        <w:adjustRightInd w:val="0"/>
        <w:snapToGrid w:val="0"/>
        <w:spacing w:line="360" w:lineRule="auto"/>
        <w:ind w:firstLine="480" w:firstLineChars="200"/>
        <w:jc w:val="left"/>
        <w:rPr>
          <w:rFonts w:ascii="Times New Roman" w:hAnsi="Times New Roman"/>
          <w:b w:val="0"/>
          <w:bCs/>
          <w:kern w:val="0"/>
          <w:sz w:val="24"/>
          <w:szCs w:val="24"/>
        </w:rPr>
      </w:pPr>
      <w:r>
        <w:rPr>
          <w:rFonts w:ascii="Times New Roman" w:hAnsi="Times New Roman"/>
          <w:b w:val="0"/>
          <w:bCs/>
          <w:color w:val="auto"/>
          <w:kern w:val="24"/>
          <w:sz w:val="24"/>
          <w:szCs w:val="24"/>
        </w:rPr>
        <w:t>3.2.1大气环境影响评价结论</w:t>
      </w:r>
    </w:p>
    <w:p>
      <w:pPr>
        <w:pStyle w:val="2"/>
        <w:rPr>
          <w:b w:val="0"/>
          <w:bCs/>
        </w:rPr>
      </w:pPr>
      <w:r>
        <w:rPr>
          <w:b w:val="0"/>
          <w:bCs/>
        </w:rPr>
        <w:t>（</w:t>
      </w: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焊接</w:t>
      </w:r>
      <w:r>
        <w:rPr>
          <w:rFonts w:hint="eastAsia" w:ascii="宋体" w:hAnsi="宋体" w:eastAsia="宋体" w:cs="宋体"/>
          <w:b w:val="0"/>
          <w:bCs/>
          <w:sz w:val="24"/>
          <w:szCs w:val="24"/>
        </w:rPr>
        <w:t>工序</w:t>
      </w:r>
    </w:p>
    <w:p>
      <w:pPr>
        <w:spacing w:line="360" w:lineRule="auto"/>
        <w:ind w:firstLine="480" w:firstLineChars="200"/>
        <w:rPr>
          <w:b w:val="0"/>
          <w:bCs/>
          <w:sz w:val="24"/>
          <w:szCs w:val="24"/>
        </w:rPr>
      </w:pPr>
      <w:r>
        <w:rPr>
          <w:rFonts w:hint="eastAsia"/>
          <w:b w:val="0"/>
          <w:bCs/>
          <w:sz w:val="24"/>
          <w:szCs w:val="24"/>
          <w:lang w:val="en-US" w:eastAsia="zh-CN"/>
        </w:rPr>
        <w:t>焊接</w:t>
      </w:r>
      <w:r>
        <w:rPr>
          <w:b w:val="0"/>
          <w:bCs/>
          <w:sz w:val="24"/>
          <w:szCs w:val="24"/>
        </w:rPr>
        <w:t>工序废气经</w:t>
      </w:r>
      <w:r>
        <w:rPr>
          <w:rFonts w:hint="eastAsia"/>
          <w:b w:val="0"/>
          <w:bCs/>
          <w:sz w:val="24"/>
          <w:szCs w:val="24"/>
          <w:lang w:val="en-US" w:eastAsia="zh-CN"/>
        </w:rPr>
        <w:t>焊接烟尘净化器处理后无组织排放</w:t>
      </w:r>
      <w:r>
        <w:rPr>
          <w:b w:val="0"/>
          <w:bCs/>
          <w:sz w:val="24"/>
          <w:szCs w:val="24"/>
        </w:rPr>
        <w:t>，</w:t>
      </w:r>
      <w:r>
        <w:rPr>
          <w:rFonts w:hint="eastAsia"/>
          <w:b w:val="0"/>
          <w:bCs/>
          <w:color w:val="auto"/>
          <w:sz w:val="24"/>
          <w:lang w:val="en-US" w:eastAsia="zh-CN"/>
        </w:rPr>
        <w:t>颗粒物无组织排放</w:t>
      </w:r>
      <w:r>
        <w:rPr>
          <w:sz w:val="24"/>
        </w:rPr>
        <w:t>厂界浓度满足</w:t>
      </w:r>
      <w:r>
        <w:rPr>
          <w:sz w:val="24"/>
          <w:lang w:val="en-GB"/>
        </w:rPr>
        <w:t>《大气污染物综合排放标准》(GB16297-1996)表2中无组织排放浓度要求</w:t>
      </w:r>
      <w:r>
        <w:rPr>
          <w:b w:val="0"/>
          <w:bCs/>
          <w:sz w:val="24"/>
          <w:szCs w:val="24"/>
        </w:rPr>
        <w:t>，对周围环境影响较小。</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3.2.2水环境影响评价结论</w:t>
      </w:r>
    </w:p>
    <w:p>
      <w:pPr>
        <w:adjustRightInd w:val="0"/>
        <w:snapToGrid w:val="0"/>
        <w:spacing w:line="360" w:lineRule="auto"/>
        <w:ind w:firstLine="480" w:firstLineChars="200"/>
        <w:jc w:val="left"/>
        <w:rPr>
          <w:b w:val="0"/>
          <w:bCs/>
          <w:sz w:val="24"/>
          <w:szCs w:val="24"/>
        </w:rPr>
      </w:pPr>
      <w:r>
        <w:rPr>
          <w:b w:val="0"/>
          <w:bCs/>
          <w:color w:val="auto"/>
          <w:kern w:val="2"/>
          <w:sz w:val="24"/>
          <w:szCs w:val="24"/>
        </w:rPr>
        <w:t>（1）地表水环境影响分析</w:t>
      </w:r>
    </w:p>
    <w:p>
      <w:pPr>
        <w:adjustRightInd w:val="0"/>
        <w:snapToGrid w:val="0"/>
        <w:spacing w:line="360" w:lineRule="auto"/>
        <w:ind w:firstLine="468" w:firstLineChars="195"/>
        <w:rPr>
          <w:b w:val="0"/>
          <w:bCs/>
          <w:sz w:val="24"/>
        </w:rPr>
      </w:pPr>
      <w:r>
        <w:rPr>
          <w:b w:val="0"/>
          <w:bCs/>
          <w:sz w:val="24"/>
          <w:szCs w:val="24"/>
        </w:rPr>
        <w:t>根据工程分析，项目建成后，全厂无生产</w:t>
      </w:r>
      <w:r>
        <w:rPr>
          <w:rFonts w:hint="eastAsia"/>
          <w:b w:val="0"/>
          <w:bCs/>
          <w:sz w:val="24"/>
          <w:szCs w:val="24"/>
          <w:lang w:val="en-US" w:eastAsia="zh-CN"/>
        </w:rPr>
        <w:t>用水</w:t>
      </w:r>
      <w:r>
        <w:rPr>
          <w:b w:val="0"/>
          <w:bCs/>
          <w:sz w:val="24"/>
          <w:szCs w:val="24"/>
        </w:rPr>
        <w:t>，产生的废水主要为职工生活污水，主要污染物为COD、SS和氨氮</w:t>
      </w:r>
      <w:r>
        <w:rPr>
          <w:b w:val="0"/>
          <w:bCs/>
          <w:color w:val="auto"/>
          <w:sz w:val="24"/>
          <w:szCs w:val="24"/>
        </w:rPr>
        <w:t>，</w:t>
      </w:r>
      <w:r>
        <w:rPr>
          <w:b w:val="0"/>
          <w:bCs/>
          <w:sz w:val="24"/>
          <w:szCs w:val="24"/>
        </w:rPr>
        <w:t>厂区</w:t>
      </w:r>
      <w:r>
        <w:rPr>
          <w:rFonts w:hint="eastAsia"/>
          <w:b w:val="0"/>
          <w:bCs/>
          <w:sz w:val="24"/>
          <w:szCs w:val="24"/>
          <w:lang w:val="en-US" w:eastAsia="zh-CN"/>
        </w:rPr>
        <w:t>泼洒抑尘，</w:t>
      </w:r>
      <w:r>
        <w:rPr>
          <w:b w:val="0"/>
          <w:bCs/>
          <w:sz w:val="24"/>
          <w:szCs w:val="24"/>
        </w:rPr>
        <w:t>不外排</w:t>
      </w:r>
      <w:r>
        <w:rPr>
          <w:b w:val="0"/>
          <w:bCs/>
          <w:sz w:val="24"/>
        </w:rPr>
        <w:t>。综上，项目无废水外排，故无需进行地表水评价。项目建设不会对周围水环境产生影响。</w:t>
      </w:r>
    </w:p>
    <w:p>
      <w:pPr>
        <w:adjustRightInd w:val="0"/>
        <w:snapToGrid w:val="0"/>
        <w:spacing w:line="360" w:lineRule="auto"/>
        <w:ind w:firstLine="480" w:firstLineChars="200"/>
        <w:rPr>
          <w:b w:val="0"/>
          <w:bCs/>
          <w:color w:val="auto"/>
          <w:kern w:val="2"/>
          <w:sz w:val="24"/>
          <w:szCs w:val="24"/>
        </w:rPr>
      </w:pPr>
      <w:r>
        <w:rPr>
          <w:b w:val="0"/>
          <w:bCs/>
          <w:color w:val="auto"/>
          <w:sz w:val="24"/>
        </w:rPr>
        <w:t>（2）地下水环境影响分析</w:t>
      </w:r>
    </w:p>
    <w:p>
      <w:pPr>
        <w:adjustRightInd w:val="0"/>
        <w:snapToGrid w:val="0"/>
        <w:spacing w:line="360" w:lineRule="auto"/>
        <w:ind w:firstLine="480" w:firstLineChars="200"/>
        <w:rPr>
          <w:b w:val="0"/>
          <w:bCs/>
          <w:sz w:val="24"/>
        </w:rPr>
      </w:pPr>
      <w:r>
        <w:rPr>
          <w:b w:val="0"/>
          <w:bCs/>
          <w:sz w:val="24"/>
        </w:rPr>
        <w:t>根据《环境影响评价技术导则-地下水环境》（HJ610-2016）中“附录A 地下水环境影响评价行业分类表”，本项目属于</w:t>
      </w:r>
      <w:r>
        <w:rPr>
          <w:rFonts w:hint="eastAsia"/>
          <w:b w:val="0"/>
          <w:bCs/>
          <w:sz w:val="24"/>
          <w:lang w:eastAsia="zh-CN"/>
        </w:rPr>
        <w:t>“</w:t>
      </w:r>
      <w:r>
        <w:rPr>
          <w:rFonts w:hint="eastAsia"/>
          <w:b w:val="0"/>
          <w:bCs/>
          <w:sz w:val="24"/>
          <w:lang w:val="en-US" w:eastAsia="zh-CN"/>
        </w:rPr>
        <w:t>二十二、金属制品业；67、金属制品加工制造，其他（仅切割组装除外）”</w:t>
      </w:r>
      <w:r>
        <w:rPr>
          <w:b w:val="0"/>
          <w:bCs/>
          <w:sz w:val="24"/>
        </w:rPr>
        <w:t>，不需开展地下水环境影响评价。</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rPr>
        <w:t>因此，本项目不会对区域水环境产生明显影响。</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3.2.3 固废环境影响评价结论</w:t>
      </w:r>
    </w:p>
    <w:p>
      <w:pPr>
        <w:pStyle w:val="11"/>
        <w:adjustRightInd w:val="0"/>
        <w:snapToGrid w:val="0"/>
        <w:spacing w:line="360" w:lineRule="auto"/>
        <w:ind w:firstLine="480" w:firstLineChars="200"/>
        <w:jc w:val="left"/>
        <w:rPr>
          <w:rFonts w:ascii="Times New Roman" w:hAnsi="Times New Roman"/>
          <w:b w:val="0"/>
          <w:bCs/>
          <w:sz w:val="24"/>
          <w:szCs w:val="24"/>
        </w:rPr>
      </w:pPr>
      <w:r>
        <w:rPr>
          <w:rFonts w:hint="default" w:ascii="Times New Roman" w:hAnsi="Times New Roman" w:cs="Times New Roman"/>
          <w:sz w:val="24"/>
          <w:szCs w:val="24"/>
        </w:rPr>
        <w:t>生产过程产生的边角料、焊接工序产生的废焊条、打孔工序产生的废钢屑和焊接烟尘净化器收集的粉尘收集后外售；含油抹布和生活垃圾由环卫部门定期清运处理</w:t>
      </w:r>
      <w:r>
        <w:rPr>
          <w:rFonts w:hint="eastAsia" w:ascii="Times New Roman" w:hAnsi="Times New Roman" w:eastAsia="宋体" w:cs="Times New Roman"/>
          <w:kern w:val="2"/>
          <w:sz w:val="24"/>
          <w:szCs w:val="24"/>
          <w:lang w:val="en-US" w:eastAsia="zh-CN" w:bidi="ar-SA"/>
        </w:rPr>
        <w:t>。</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综上所述，以上固废均得到有效处理与处置，对周围环境影响较小。</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3.2.4噪声环境影响评价结论</w:t>
      </w:r>
    </w:p>
    <w:p>
      <w:pPr>
        <w:adjustRightInd w:val="0"/>
        <w:snapToGrid w:val="0"/>
        <w:spacing w:line="360" w:lineRule="auto"/>
        <w:ind w:firstLine="480" w:firstLineChars="200"/>
        <w:rPr>
          <w:b w:val="0"/>
          <w:bCs/>
          <w:color w:val="auto"/>
          <w:sz w:val="24"/>
          <w:szCs w:val="24"/>
        </w:rPr>
      </w:pPr>
      <w:r>
        <w:rPr>
          <w:b w:val="0"/>
          <w:bCs/>
          <w:sz w:val="24"/>
          <w:szCs w:val="24"/>
        </w:rPr>
        <w:t>噪声主要是</w:t>
      </w:r>
      <w:r>
        <w:rPr>
          <w:rFonts w:hint="eastAsia"/>
          <w:b w:val="0"/>
          <w:bCs/>
          <w:sz w:val="24"/>
          <w:szCs w:val="24"/>
          <w:lang w:val="en-US" w:eastAsia="zh-CN"/>
        </w:rPr>
        <w:t>切割机、车床、钻床、电焊机、二保焊机</w:t>
      </w:r>
      <w:r>
        <w:rPr>
          <w:b w:val="0"/>
          <w:bCs/>
          <w:sz w:val="24"/>
          <w:szCs w:val="24"/>
        </w:rPr>
        <w:t>等设备</w:t>
      </w:r>
      <w:r>
        <w:rPr>
          <w:b w:val="0"/>
          <w:bCs/>
          <w:color w:val="auto"/>
          <w:sz w:val="24"/>
          <w:szCs w:val="24"/>
        </w:rPr>
        <w:t>运转时产生的噪声，噪声值在70～90dB(A)。</w:t>
      </w:r>
      <w:r>
        <w:rPr>
          <w:b w:val="0"/>
          <w:bCs/>
          <w:sz w:val="24"/>
        </w:rPr>
        <w:t>采取生产设备合理布局、设置减振垫，厂房隔声等措施并经距离衰减后，项目厂界噪声符合《工业企业厂界环境噪声排放标准》（GB12348-2008）2类标准，项目可行。</w:t>
      </w:r>
    </w:p>
    <w:p>
      <w:pPr>
        <w:pStyle w:val="11"/>
        <w:adjustRightInd w:val="0"/>
        <w:snapToGrid w:val="0"/>
        <w:spacing w:line="360" w:lineRule="auto"/>
        <w:ind w:firstLine="532" w:firstLineChars="222"/>
        <w:jc w:val="left"/>
        <w:rPr>
          <w:rFonts w:ascii="Times New Roman" w:hAnsi="Times New Roman"/>
          <w:b w:val="0"/>
          <w:bCs/>
          <w:kern w:val="0"/>
          <w:sz w:val="24"/>
        </w:rPr>
      </w:pPr>
      <w:r>
        <w:rPr>
          <w:rFonts w:ascii="Times New Roman" w:hAnsi="Times New Roman"/>
          <w:b w:val="0"/>
          <w:bCs/>
          <w:sz w:val="24"/>
        </w:rPr>
        <w:t>4、</w:t>
      </w:r>
      <w:r>
        <w:rPr>
          <w:rFonts w:ascii="Times New Roman" w:hAnsi="Times New Roman"/>
          <w:b w:val="0"/>
          <w:bCs/>
          <w:kern w:val="0"/>
          <w:sz w:val="24"/>
        </w:rPr>
        <w:t>清洁生产分析结论</w:t>
      </w:r>
    </w:p>
    <w:p>
      <w:pPr>
        <w:adjustRightInd w:val="0"/>
        <w:snapToGrid w:val="0"/>
        <w:spacing w:line="360" w:lineRule="auto"/>
        <w:ind w:firstLine="480" w:firstLineChars="200"/>
        <w:jc w:val="left"/>
        <w:rPr>
          <w:b w:val="0"/>
          <w:bCs/>
          <w:sz w:val="24"/>
        </w:rPr>
      </w:pPr>
      <w:r>
        <w:rPr>
          <w:b w:val="0"/>
          <w:bCs/>
          <w:sz w:val="24"/>
        </w:rPr>
        <w:t>项目采用较为成熟的工艺及生产设备，原料相对环保，加热过程采用清洁的电能，污染物产生少并达标排放，资源得到充分利用，故本项目符合清洁生产要求。</w:t>
      </w:r>
    </w:p>
    <w:p>
      <w:pPr>
        <w:pStyle w:val="11"/>
        <w:adjustRightInd w:val="0"/>
        <w:snapToGrid w:val="0"/>
        <w:spacing w:line="360" w:lineRule="auto"/>
        <w:ind w:firstLine="532" w:firstLineChars="222"/>
        <w:jc w:val="left"/>
        <w:rPr>
          <w:rFonts w:ascii="Times New Roman" w:hAnsi="Times New Roman"/>
          <w:b w:val="0"/>
          <w:bCs/>
          <w:sz w:val="24"/>
        </w:rPr>
      </w:pPr>
      <w:r>
        <w:rPr>
          <w:rFonts w:ascii="Times New Roman" w:hAnsi="Times New Roman"/>
          <w:b w:val="0"/>
          <w:bCs/>
          <w:kern w:val="0"/>
          <w:sz w:val="24"/>
        </w:rPr>
        <w:t>5、污染物</w:t>
      </w:r>
      <w:r>
        <w:rPr>
          <w:rFonts w:ascii="Times New Roman" w:hAnsi="Times New Roman"/>
          <w:b w:val="0"/>
          <w:bCs/>
          <w:sz w:val="24"/>
        </w:rPr>
        <w:t>总量控制指标分析结论</w:t>
      </w:r>
    </w:p>
    <w:p>
      <w:pPr>
        <w:adjustRightInd w:val="0"/>
        <w:snapToGrid w:val="0"/>
        <w:spacing w:line="360" w:lineRule="auto"/>
        <w:ind w:firstLine="532" w:firstLineChars="222"/>
        <w:jc w:val="left"/>
        <w:rPr>
          <w:b w:val="0"/>
          <w:bCs/>
          <w:sz w:val="24"/>
        </w:rPr>
      </w:pPr>
      <w:r>
        <w:rPr>
          <w:b w:val="0"/>
          <w:bCs/>
          <w:sz w:val="24"/>
        </w:rPr>
        <w:t>本评控制指标建议值为：COD：0t/a、NH</w:t>
      </w:r>
      <w:r>
        <w:rPr>
          <w:b w:val="0"/>
          <w:bCs/>
          <w:sz w:val="24"/>
          <w:vertAlign w:val="subscript"/>
        </w:rPr>
        <w:t>3</w:t>
      </w:r>
      <w:r>
        <w:rPr>
          <w:b w:val="0"/>
          <w:bCs/>
          <w:sz w:val="24"/>
        </w:rPr>
        <w:t>-N：0t/a、SO</w:t>
      </w:r>
      <w:r>
        <w:rPr>
          <w:b w:val="0"/>
          <w:bCs/>
          <w:sz w:val="24"/>
          <w:vertAlign w:val="subscript"/>
        </w:rPr>
        <w:t>2</w:t>
      </w:r>
      <w:r>
        <w:rPr>
          <w:b w:val="0"/>
          <w:bCs/>
          <w:sz w:val="24"/>
        </w:rPr>
        <w:t>：0t/a、NOx：0t/a</w:t>
      </w:r>
    </w:p>
    <w:p>
      <w:pPr>
        <w:adjustRightInd w:val="0"/>
        <w:snapToGrid w:val="0"/>
        <w:spacing w:line="360" w:lineRule="auto"/>
        <w:ind w:firstLine="532" w:firstLineChars="222"/>
        <w:jc w:val="left"/>
        <w:rPr>
          <w:b w:val="0"/>
          <w:bCs/>
          <w:sz w:val="24"/>
        </w:rPr>
      </w:pPr>
      <w:r>
        <w:rPr>
          <w:b w:val="0"/>
          <w:bCs/>
          <w:sz w:val="24"/>
        </w:rPr>
        <w:t>6、项目实施前后环境质量变化情况</w:t>
      </w:r>
    </w:p>
    <w:p>
      <w:pPr>
        <w:adjustRightInd w:val="0"/>
        <w:snapToGrid w:val="0"/>
        <w:spacing w:line="360" w:lineRule="auto"/>
        <w:ind w:firstLine="480" w:firstLineChars="200"/>
        <w:jc w:val="left"/>
        <w:rPr>
          <w:b w:val="0"/>
          <w:bCs/>
          <w:sz w:val="24"/>
        </w:rPr>
      </w:pPr>
      <w:r>
        <w:rPr>
          <w:b w:val="0"/>
          <w:bCs/>
          <w:sz w:val="24"/>
        </w:rPr>
        <w:t>项目废气经有效的防治措施后均达标排放，经大气扩散后对周围大气环境影响较小，</w:t>
      </w:r>
      <w:r>
        <w:rPr>
          <w:b w:val="0"/>
          <w:bCs/>
          <w:color w:val="auto"/>
          <w:sz w:val="24"/>
        </w:rPr>
        <w:t>项目所在区域环境</w:t>
      </w:r>
      <w:r>
        <w:rPr>
          <w:b w:val="0"/>
          <w:bCs/>
          <w:sz w:val="24"/>
        </w:rPr>
        <w:t>空气质量满足《环境空气质量标准》（GB3095-2012）及修改单表1中二级标准及</w:t>
      </w:r>
      <w:r>
        <w:rPr>
          <w:rFonts w:hint="eastAsia"/>
          <w:b w:val="0"/>
          <w:bCs/>
          <w:sz w:val="24"/>
          <w:lang w:val="en-US" w:eastAsia="zh-CN"/>
        </w:rPr>
        <w:t>厂界浓度满足</w:t>
      </w:r>
      <w:r>
        <w:rPr>
          <w:b w:val="0"/>
          <w:bCs/>
          <w:color w:val="auto"/>
          <w:sz w:val="24"/>
          <w:szCs w:val="24"/>
        </w:rPr>
        <w:t>《</w:t>
      </w:r>
      <w:r>
        <w:rPr>
          <w:rFonts w:hint="eastAsia"/>
          <w:b w:val="0"/>
          <w:bCs/>
          <w:color w:val="auto"/>
          <w:sz w:val="24"/>
          <w:szCs w:val="24"/>
          <w:lang w:val="en-US" w:eastAsia="zh-CN"/>
        </w:rPr>
        <w:t>大气污染物综合排放标准</w:t>
      </w:r>
      <w:r>
        <w:rPr>
          <w:b w:val="0"/>
          <w:bCs/>
          <w:color w:val="auto"/>
          <w:sz w:val="24"/>
          <w:szCs w:val="24"/>
        </w:rPr>
        <w:t>》（</w:t>
      </w:r>
      <w:r>
        <w:rPr>
          <w:rFonts w:hint="eastAsia"/>
          <w:b w:val="0"/>
          <w:bCs/>
          <w:color w:val="auto"/>
          <w:sz w:val="24"/>
          <w:szCs w:val="24"/>
          <w:lang w:val="en-US" w:eastAsia="zh-CN"/>
        </w:rPr>
        <w:t>G</w:t>
      </w:r>
      <w:r>
        <w:rPr>
          <w:b w:val="0"/>
          <w:bCs/>
          <w:color w:val="auto"/>
          <w:sz w:val="24"/>
          <w:szCs w:val="24"/>
        </w:rPr>
        <w:t>B</w:t>
      </w:r>
      <w:r>
        <w:rPr>
          <w:rFonts w:hint="eastAsia"/>
          <w:b w:val="0"/>
          <w:bCs/>
          <w:color w:val="auto"/>
          <w:sz w:val="24"/>
          <w:szCs w:val="24"/>
          <w:lang w:val="en-US" w:eastAsia="zh-CN"/>
        </w:rPr>
        <w:t>16297-1996</w:t>
      </w:r>
      <w:r>
        <w:rPr>
          <w:b w:val="0"/>
          <w:bCs/>
          <w:color w:val="auto"/>
          <w:sz w:val="24"/>
          <w:szCs w:val="24"/>
        </w:rPr>
        <w:t>）表</w:t>
      </w:r>
      <w:r>
        <w:rPr>
          <w:rFonts w:hint="eastAsia"/>
          <w:b w:val="0"/>
          <w:bCs/>
          <w:color w:val="auto"/>
          <w:sz w:val="24"/>
          <w:szCs w:val="24"/>
          <w:lang w:val="en-US" w:eastAsia="zh-CN"/>
        </w:rPr>
        <w:t>2中无组织排放浓度要求</w:t>
      </w:r>
      <w:r>
        <w:rPr>
          <w:b w:val="0"/>
          <w:bCs/>
          <w:color w:val="auto"/>
          <w:spacing w:val="-4"/>
          <w:sz w:val="24"/>
          <w:szCs w:val="24"/>
        </w:rPr>
        <w:t>。</w:t>
      </w:r>
    </w:p>
    <w:p>
      <w:pPr>
        <w:adjustRightInd w:val="0"/>
        <w:snapToGrid w:val="0"/>
        <w:spacing w:line="360" w:lineRule="auto"/>
        <w:ind w:firstLine="480" w:firstLineChars="200"/>
        <w:jc w:val="left"/>
        <w:rPr>
          <w:b w:val="0"/>
          <w:bCs/>
          <w:sz w:val="24"/>
        </w:rPr>
      </w:pPr>
      <w:r>
        <w:rPr>
          <w:b w:val="0"/>
          <w:bCs/>
          <w:sz w:val="24"/>
        </w:rPr>
        <w:t>项目采取有效的降噪措施后厂界噪声达标排放，对周围声环境影响较小，区域声环境质量达到《声环境质量标准》（GB3096-2008）中的2类标准。</w:t>
      </w:r>
    </w:p>
    <w:p>
      <w:pPr>
        <w:adjustRightInd w:val="0"/>
        <w:snapToGrid w:val="0"/>
        <w:spacing w:line="360" w:lineRule="auto"/>
        <w:ind w:firstLine="480" w:firstLineChars="200"/>
        <w:jc w:val="left"/>
        <w:rPr>
          <w:b w:val="0"/>
          <w:bCs/>
          <w:sz w:val="24"/>
        </w:rPr>
      </w:pPr>
      <w:r>
        <w:rPr>
          <w:b w:val="0"/>
          <w:bCs/>
          <w:sz w:val="24"/>
          <w:szCs w:val="24"/>
        </w:rPr>
        <w:t>项目</w:t>
      </w:r>
      <w:r>
        <w:rPr>
          <w:rFonts w:hint="eastAsia"/>
          <w:b w:val="0"/>
          <w:bCs/>
          <w:sz w:val="24"/>
          <w:szCs w:val="24"/>
          <w:lang w:val="en-US" w:eastAsia="zh-CN"/>
        </w:rPr>
        <w:t>无生产用水</w:t>
      </w:r>
      <w:r>
        <w:rPr>
          <w:b w:val="0"/>
          <w:bCs/>
          <w:sz w:val="24"/>
          <w:szCs w:val="24"/>
        </w:rPr>
        <w:t>；</w:t>
      </w:r>
      <w:r>
        <w:rPr>
          <w:b w:val="0"/>
          <w:bCs/>
          <w:color w:val="auto"/>
          <w:sz w:val="24"/>
          <w:szCs w:val="24"/>
        </w:rPr>
        <w:t>厂区</w:t>
      </w:r>
      <w:r>
        <w:rPr>
          <w:rFonts w:hint="eastAsia"/>
          <w:b w:val="0"/>
          <w:bCs/>
          <w:color w:val="auto"/>
          <w:sz w:val="24"/>
          <w:szCs w:val="24"/>
          <w:lang w:val="en-US" w:eastAsia="zh-CN"/>
        </w:rPr>
        <w:t>泼洒抑尘不外排</w:t>
      </w:r>
      <w:r>
        <w:rPr>
          <w:b w:val="0"/>
          <w:bCs/>
          <w:color w:val="auto"/>
          <w:sz w:val="24"/>
          <w:szCs w:val="24"/>
        </w:rPr>
        <w:t>，</w:t>
      </w:r>
      <w:r>
        <w:rPr>
          <w:b w:val="0"/>
          <w:bCs/>
          <w:sz w:val="24"/>
        </w:rPr>
        <w:t>不会对周围水环境造成影响。</w:t>
      </w:r>
    </w:p>
    <w:p>
      <w:pPr>
        <w:adjustRightInd w:val="0"/>
        <w:snapToGrid w:val="0"/>
        <w:spacing w:line="360" w:lineRule="auto"/>
        <w:ind w:firstLine="480" w:firstLineChars="200"/>
        <w:jc w:val="left"/>
        <w:rPr>
          <w:b w:val="0"/>
          <w:bCs/>
          <w:sz w:val="24"/>
          <w:szCs w:val="24"/>
        </w:rPr>
      </w:pPr>
      <w:r>
        <w:rPr>
          <w:b w:val="0"/>
          <w:bCs/>
          <w:sz w:val="24"/>
          <w:szCs w:val="24"/>
        </w:rPr>
        <w:t>项目产生的固体废物得到合理处理处置，不会对周围环境造成影响。</w:t>
      </w:r>
    </w:p>
    <w:p>
      <w:pPr>
        <w:adjustRightInd w:val="0"/>
        <w:snapToGrid w:val="0"/>
        <w:spacing w:line="360" w:lineRule="auto"/>
        <w:ind w:firstLine="480" w:firstLineChars="200"/>
        <w:jc w:val="left"/>
        <w:rPr>
          <w:b w:val="0"/>
          <w:bCs/>
          <w:sz w:val="24"/>
        </w:rPr>
      </w:pPr>
      <w:r>
        <w:rPr>
          <w:b w:val="0"/>
          <w:bCs/>
          <w:sz w:val="24"/>
        </w:rPr>
        <w:t>7、工程可行性结论</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b w:val="0"/>
          <w:bCs/>
          <w:sz w:val="24"/>
          <w:szCs w:val="24"/>
        </w:rPr>
      </w:pPr>
      <w:r>
        <w:rPr>
          <w:b w:val="0"/>
          <w:bCs/>
          <w:sz w:val="24"/>
          <w:szCs w:val="24"/>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7"/>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1、认真执行“三同时”制度，确保各项环保措施落到实处。</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2、加强设备管理及日常维护工作，保证环保设施的稳定运行。</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8" w:name="_Toc16482"/>
      <w:bookmarkStart w:id="189" w:name="_Toc13890"/>
      <w:bookmarkStart w:id="190" w:name="_Toc27551"/>
      <w:bookmarkStart w:id="191" w:name="_Toc3545"/>
      <w:r>
        <w:rPr>
          <w:rFonts w:hint="default" w:ascii="Times New Roman" w:hAnsi="Times New Roman" w:eastAsia="宋体" w:cs="Times New Roman"/>
        </w:rPr>
        <w:t>4.2审批部门审批意见</w:t>
      </w:r>
      <w:bookmarkEnd w:id="188"/>
      <w:bookmarkEnd w:id="189"/>
      <w:bookmarkEnd w:id="190"/>
      <w:bookmarkEnd w:id="19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河北津华输送机械制造有限公司输送机械生产项目环境影响报告表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沧州市生态环境保护局盐山县分局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河北津华输送机械制造有限公司输送机械生产项目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z w:val="24"/>
          <w:szCs w:val="24"/>
          <w:lang w:val="en-US" w:eastAsia="zh-CN"/>
        </w:rPr>
        <w:t>盐环表[2019]144号</w:t>
      </w:r>
    </w:p>
    <w:p>
      <w:pPr>
        <w:pStyle w:val="6"/>
        <w:rPr>
          <w:rFonts w:hint="default" w:ascii="Times New Roman" w:hAnsi="Times New Roman" w:eastAsia="宋体" w:cs="Times New Roman"/>
        </w:rPr>
      </w:pPr>
      <w:bookmarkStart w:id="192" w:name="_Toc17668"/>
      <w:bookmarkStart w:id="193" w:name="_Toc21874"/>
      <w:bookmarkStart w:id="194" w:name="_Toc29925"/>
      <w:bookmarkStart w:id="195" w:name="_Toc2514"/>
      <w:r>
        <w:rPr>
          <w:rFonts w:hint="default" w:ascii="Times New Roman" w:hAnsi="Times New Roman" w:eastAsia="宋体" w:cs="Times New Roman"/>
        </w:rPr>
        <w:t>4.3审批意见落实情况</w:t>
      </w:r>
      <w:bookmarkEnd w:id="192"/>
      <w:bookmarkEnd w:id="193"/>
      <w:bookmarkEnd w:id="194"/>
      <w:bookmarkEnd w:id="19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6" w:name="_Toc497001471"/>
      <w:r>
        <w:rPr>
          <w:rFonts w:hint="default" w:ascii="Times New Roman" w:hAnsi="Times New Roman" w:eastAsia="宋体" w:cs="Times New Roman"/>
          <w:sz w:val="24"/>
          <w:szCs w:val="24"/>
        </w:rPr>
        <w:t>审批意见落实情况详见下表4-1。</w:t>
      </w:r>
      <w:bookmarkEnd w:id="196"/>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7"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河北津华输送机械制造有限公司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eastAsia="zh-CN"/>
              </w:rPr>
              <w:t>建设地点：</w:t>
            </w:r>
            <w:r>
              <w:rPr>
                <w:color w:val="auto"/>
                <w:sz w:val="21"/>
                <w:szCs w:val="21"/>
              </w:rPr>
              <w:t>沧州市</w:t>
            </w:r>
            <w:r>
              <w:rPr>
                <w:rFonts w:hint="eastAsia"/>
                <w:color w:val="auto"/>
                <w:sz w:val="21"/>
                <w:szCs w:val="21"/>
                <w:lang w:val="en-US" w:eastAsia="zh-CN"/>
              </w:rPr>
              <w:t>盐山县盐山镇白庄村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160</w:t>
            </w:r>
            <w:r>
              <w:rPr>
                <w:rFonts w:hint="eastAsia" w:ascii="Times New Roman" w:hAnsi="Times New Roman" w:cs="Times New Roman"/>
                <w:sz w:val="21"/>
                <w:szCs w:val="21"/>
                <w:lang w:val="zh-CN" w:eastAsia="zh-CN"/>
              </w:rPr>
              <w:t>万元，其中环保投5万元，占地面积</w:t>
            </w:r>
            <w:r>
              <w:rPr>
                <w:rFonts w:hint="eastAsia" w:ascii="Times New Roman" w:hAnsi="Times New Roman" w:cs="Times New Roman"/>
                <w:sz w:val="21"/>
                <w:szCs w:val="21"/>
                <w:lang w:val="en-US" w:eastAsia="zh-CN"/>
              </w:rPr>
              <w:t>1830</w:t>
            </w:r>
            <w:r>
              <w:rPr>
                <w:rFonts w:hint="eastAsia" w:ascii="Times New Roman" w:hAnsi="Times New Roman" w:cs="Times New Roman"/>
                <w:sz w:val="21"/>
                <w:szCs w:val="21"/>
                <w:lang w:val="zh-CN" w:eastAsia="zh-CN"/>
              </w:rPr>
              <w:t>平方米</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焊接烟尘经移动式焊接烟尘净化器处理后排放，执行《大气污染物综合排放标准》（GB16297-1996）表2无组织排放监控浓度限值标准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color w:val="auto"/>
                <w:sz w:val="21"/>
                <w:szCs w:val="21"/>
                <w:lang w:val="en-US" w:eastAsia="zh-CN"/>
              </w:rPr>
              <w:t>无生产废水产生，生活污水厂区泼洒抑尘，不得外排</w:t>
            </w:r>
            <w:r>
              <w:rPr>
                <w:rFonts w:hint="eastAsia" w:ascii="Times New Roman" w:hAnsi="Times New Roman" w:cs="Times New Roman"/>
                <w:sz w:val="21"/>
                <w:szCs w:val="21"/>
                <w:lang w:val="zh-CN" w:eastAsia="zh-CN"/>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对噪声源采取有效措施，确保噪声达到《工业企业厂界环境噪声排放标准》（GB12348-2008）2类标准要求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固废执行《一般工业固体废物贮存、处置场污染控制标准》（GB18599-2001）及其修改单中的相关规定，固废按照报告表提出的措施全部综合利用或妥善处置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8" w:name="_Toc21101"/>
      <w:bookmarkStart w:id="199" w:name="_Toc26718"/>
      <w:bookmarkStart w:id="200" w:name="_Toc5137"/>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7"/>
      <w:bookmarkEnd w:id="198"/>
      <w:bookmarkEnd w:id="199"/>
      <w:bookmarkEnd w:id="200"/>
    </w:p>
    <w:p>
      <w:pPr>
        <w:pStyle w:val="6"/>
        <w:rPr>
          <w:rFonts w:hint="default" w:ascii="Times New Roman" w:hAnsi="Times New Roman" w:eastAsia="宋体" w:cs="Times New Roman"/>
        </w:rPr>
      </w:pPr>
      <w:bookmarkStart w:id="201" w:name="_Toc24574"/>
      <w:bookmarkStart w:id="202" w:name="_Toc14578"/>
      <w:bookmarkStart w:id="203" w:name="_Toc26520"/>
      <w:bookmarkStart w:id="204" w:name="_Toc21113"/>
      <w:r>
        <w:rPr>
          <w:rFonts w:hint="default" w:ascii="Times New Roman" w:hAnsi="Times New Roman" w:eastAsia="宋体" w:cs="Times New Roman"/>
        </w:rPr>
        <w:t>5.1污染物排放标准</w:t>
      </w:r>
      <w:bookmarkEnd w:id="201"/>
      <w:bookmarkEnd w:id="202"/>
      <w:bookmarkEnd w:id="203"/>
      <w:bookmarkEnd w:id="204"/>
    </w:p>
    <w:p>
      <w:pPr>
        <w:pStyle w:val="7"/>
        <w:rPr>
          <w:rFonts w:hint="default" w:ascii="Times New Roman" w:hAnsi="Times New Roman" w:eastAsia="宋体" w:cs="Times New Roman"/>
        </w:rPr>
      </w:pPr>
      <w:bookmarkStart w:id="205" w:name="_Toc497001474"/>
      <w:bookmarkStart w:id="206" w:name="_Toc496979035"/>
      <w:bookmarkStart w:id="207" w:name="_Toc11116"/>
      <w:bookmarkStart w:id="208" w:name="_Toc23230"/>
      <w:bookmarkStart w:id="209" w:name="_Toc14938"/>
      <w:bookmarkStart w:id="210" w:name="_Toc8485"/>
      <w:r>
        <w:rPr>
          <w:rFonts w:hint="default" w:ascii="Times New Roman" w:hAnsi="Times New Roman" w:eastAsia="宋体" w:cs="Times New Roman"/>
        </w:rPr>
        <w:t>5.1.1</w:t>
      </w:r>
      <w:bookmarkEnd w:id="205"/>
      <w:bookmarkEnd w:id="206"/>
      <w:r>
        <w:rPr>
          <w:rFonts w:hint="default" w:ascii="Times New Roman" w:hAnsi="Times New Roman" w:eastAsia="宋体" w:cs="Times New Roman"/>
        </w:rPr>
        <w:t>废气</w:t>
      </w:r>
      <w:bookmarkEnd w:id="207"/>
      <w:bookmarkEnd w:id="208"/>
      <w:bookmarkEnd w:id="209"/>
      <w:bookmarkEnd w:id="210"/>
    </w:p>
    <w:p>
      <w:pPr>
        <w:pStyle w:val="7"/>
        <w:ind w:firstLine="480" w:firstLineChars="200"/>
        <w:rPr>
          <w:rFonts w:hint="eastAsia" w:ascii="Times New Roman" w:hAnsi="Times New Roman" w:eastAsia="宋体" w:cs="Times New Roman"/>
          <w:lang w:eastAsia="zh-CN"/>
        </w:rPr>
      </w:pPr>
      <w:bookmarkStart w:id="211" w:name="_Toc29912"/>
      <w:bookmarkStart w:id="212" w:name="_Toc15961"/>
      <w:bookmarkStart w:id="213" w:name="_Toc29236"/>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11"/>
      <w:bookmarkEnd w:id="212"/>
      <w:bookmarkEnd w:id="21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0"/>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5"/>
        <w:gridCol w:w="2627"/>
        <w:gridCol w:w="4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2627"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28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焊接工序无组织废气</w:t>
            </w:r>
          </w:p>
        </w:tc>
        <w:tc>
          <w:tcPr>
            <w:tcW w:w="2627" w:type="dxa"/>
            <w:tcBorders>
              <w:tl2br w:val="nil"/>
              <w:tr2bl w:val="nil"/>
            </w:tcBorders>
            <w:vAlign w:val="center"/>
          </w:tcPr>
          <w:p>
            <w:pPr>
              <w:jc w:val="center"/>
              <w:rPr>
                <w:rFonts w:hint="default" w:ascii="Times New Roman" w:hAnsi="Times New Roman" w:eastAsia="宋体" w:cs="Times New Roman"/>
                <w:color w:val="FF0000"/>
                <w:spacing w:val="0"/>
                <w:sz w:val="21"/>
                <w:szCs w:val="21"/>
                <w:vertAlign w:val="baseline"/>
                <w:lang w:val="en-US" w:eastAsia="zh-CN"/>
              </w:rPr>
            </w:pPr>
            <w:r>
              <w:rPr>
                <w:rFonts w:hint="eastAsia"/>
                <w:szCs w:val="21"/>
                <w:lang w:val="en-US" w:eastAsia="zh-CN"/>
              </w:rPr>
              <w:t>颗粒物周界外浓度最高点≤1.0mg/m³</w:t>
            </w: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default" w:ascii="Times New Roman" w:hAnsi="Times New Roman"/>
                <w:sz w:val="21"/>
                <w:szCs w:val="21"/>
                <w:lang w:val="en-US" w:eastAsia="zh-CN"/>
              </w:rPr>
            </w:pPr>
            <w:r>
              <w:rPr>
                <w:szCs w:val="21"/>
              </w:rPr>
              <w:t>《</w:t>
            </w:r>
            <w:r>
              <w:rPr>
                <w:rFonts w:hint="eastAsia"/>
                <w:szCs w:val="21"/>
                <w:lang w:val="en-US" w:eastAsia="zh-CN"/>
              </w:rPr>
              <w:t>大气污染物综合排放标准</w:t>
            </w:r>
            <w:r>
              <w:rPr>
                <w:szCs w:val="21"/>
              </w:rPr>
              <w:t>》(</w:t>
            </w:r>
            <w:r>
              <w:rPr>
                <w:rFonts w:hint="eastAsia"/>
                <w:szCs w:val="21"/>
                <w:lang w:val="en-US" w:eastAsia="zh-CN"/>
              </w:rPr>
              <w:t>GB16297-1996</w:t>
            </w:r>
            <w:r>
              <w:rPr>
                <w:szCs w:val="21"/>
              </w:rPr>
              <w:t>)表</w:t>
            </w:r>
            <w:r>
              <w:rPr>
                <w:rFonts w:hint="eastAsia"/>
                <w:szCs w:val="21"/>
                <w:lang w:val="en-US" w:eastAsia="zh-CN"/>
              </w:rPr>
              <w:t>2无组织排放监控浓度限值</w:t>
            </w:r>
          </w:p>
        </w:tc>
      </w:tr>
    </w:tbl>
    <w:p>
      <w:pPr>
        <w:pStyle w:val="7"/>
        <w:rPr>
          <w:rFonts w:hint="default" w:ascii="Times New Roman" w:hAnsi="Times New Roman" w:eastAsia="宋体" w:cs="Times New Roman"/>
        </w:rPr>
      </w:pPr>
      <w:bookmarkStart w:id="214" w:name="_Toc12396"/>
      <w:bookmarkStart w:id="215" w:name="_Toc27196"/>
      <w:bookmarkStart w:id="216" w:name="_Toc5747"/>
      <w:bookmarkStart w:id="217" w:name="_Toc497001476"/>
      <w:bookmarkStart w:id="218" w:name="_Toc20210"/>
      <w:bookmarkStart w:id="219" w:name="_Toc496979037"/>
      <w:r>
        <w:rPr>
          <w:rFonts w:hint="default" w:ascii="Times New Roman" w:hAnsi="Times New Roman" w:eastAsia="宋体" w:cs="Times New Roman"/>
        </w:rPr>
        <w:t>5.1.2噪声</w:t>
      </w:r>
      <w:bookmarkEnd w:id="214"/>
      <w:bookmarkEnd w:id="215"/>
      <w:bookmarkEnd w:id="216"/>
      <w:bookmarkEnd w:id="217"/>
      <w:bookmarkEnd w:id="218"/>
      <w:bookmarkEnd w:id="219"/>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20" w:name="_Toc18932"/>
      <w:bookmarkStart w:id="221" w:name="_Toc14398"/>
      <w:bookmarkStart w:id="222" w:name="_Toc497001478"/>
      <w:bookmarkStart w:id="223" w:name="_Toc16968"/>
      <w:bookmarkStart w:id="224" w:name="_Toc26833"/>
      <w:r>
        <w:rPr>
          <w:rFonts w:hint="default" w:ascii="Times New Roman" w:hAnsi="Times New Roman" w:eastAsia="宋体" w:cs="Times New Roman"/>
        </w:rPr>
        <w:t>5.2</w:t>
      </w:r>
      <w:r>
        <w:rPr>
          <w:rFonts w:hint="eastAsia" w:ascii="Times New Roman" w:hAnsi="Times New Roman" w:eastAsia="宋体"/>
        </w:rPr>
        <w:t>总量控制指标</w:t>
      </w:r>
      <w:bookmarkEnd w:id="220"/>
      <w:bookmarkEnd w:id="221"/>
      <w:bookmarkEnd w:id="222"/>
      <w:bookmarkEnd w:id="223"/>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5" w:name="_Toc15883"/>
      <w:bookmarkStart w:id="226" w:name="_Toc12999"/>
      <w:bookmarkStart w:id="227" w:name="_Toc23350"/>
      <w:r>
        <w:rPr>
          <w:rFonts w:hint="default" w:ascii="Times New Roman" w:hAnsi="Times New Roman" w:eastAsia="宋体" w:cs="Times New Roman"/>
        </w:rPr>
        <w:t>6质量保障措施和检测分析方法</w:t>
      </w:r>
      <w:bookmarkEnd w:id="224"/>
      <w:bookmarkEnd w:id="225"/>
      <w:bookmarkEnd w:id="226"/>
      <w:bookmarkEnd w:id="227"/>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河北中寰检测服务有限公司2020</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4</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23</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4月24日</w:t>
      </w:r>
      <w:r>
        <w:rPr>
          <w:rFonts w:hint="default" w:ascii="Times New Roman" w:hAnsi="Times New Roman" w:eastAsia="宋体" w:cs="Times New Roman"/>
          <w:sz w:val="24"/>
          <w:szCs w:val="24"/>
          <w:highlight w:val="none"/>
        </w:rPr>
        <w:t>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8" w:name="_Toc3129"/>
      <w:bookmarkStart w:id="229" w:name="_Toc28206"/>
      <w:bookmarkStart w:id="230" w:name="_Toc11783"/>
      <w:bookmarkStart w:id="231" w:name="_Toc18061"/>
      <w:r>
        <w:rPr>
          <w:rFonts w:hint="default" w:ascii="Times New Roman" w:hAnsi="Times New Roman" w:eastAsia="宋体" w:cs="Times New Roman"/>
        </w:rPr>
        <w:t>6.1质量保障体系</w:t>
      </w:r>
      <w:bookmarkEnd w:id="228"/>
      <w:bookmarkEnd w:id="229"/>
      <w:bookmarkEnd w:id="230"/>
      <w:bookmarkEnd w:id="231"/>
    </w:p>
    <w:p>
      <w:pPr>
        <w:spacing w:line="440" w:lineRule="atLeast"/>
        <w:ind w:firstLine="480" w:firstLineChars="200"/>
        <w:rPr>
          <w:rFonts w:hint="default" w:ascii="Times New Roman" w:hAnsi="Times New Roman" w:eastAsia="宋体" w:cs="Times New Roman"/>
          <w:sz w:val="24"/>
        </w:rPr>
      </w:pPr>
      <w:bookmarkStart w:id="232"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32"/>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3" w:name="_Toc8128"/>
      <w:bookmarkStart w:id="234" w:name="_Toc32733"/>
      <w:bookmarkStart w:id="235" w:name="_Toc3676"/>
      <w:bookmarkStart w:id="236" w:name="_Toc1077"/>
      <w:r>
        <w:rPr>
          <w:rFonts w:hint="default" w:ascii="Times New Roman" w:hAnsi="Times New Roman" w:eastAsia="宋体" w:cs="Times New Roman"/>
        </w:rPr>
        <w:t>6.2检测分析方法</w:t>
      </w:r>
      <w:bookmarkEnd w:id="233"/>
      <w:bookmarkEnd w:id="234"/>
      <w:bookmarkEnd w:id="235"/>
      <w:bookmarkEnd w:id="236"/>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7" w:name="_Toc32561"/>
      <w:bookmarkStart w:id="238" w:name="_Toc6111"/>
      <w:bookmarkStart w:id="239" w:name="_Toc497001482"/>
      <w:bookmarkStart w:id="240" w:name="_Toc4984"/>
      <w:bookmarkStart w:id="241" w:name="_Toc25471"/>
      <w:r>
        <w:rPr>
          <w:rFonts w:hint="default" w:ascii="Times New Roman" w:hAnsi="Times New Roman" w:eastAsia="宋体" w:cs="Times New Roman"/>
        </w:rPr>
        <w:t>6.2.1检测点位、项目及频次</w:t>
      </w:r>
      <w:bookmarkEnd w:id="237"/>
      <w:bookmarkEnd w:id="238"/>
      <w:bookmarkEnd w:id="239"/>
      <w:bookmarkEnd w:id="240"/>
      <w:bookmarkEnd w:id="241"/>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bookmarkStart w:id="338" w:name="_GoBack"/>
      <w:bookmarkEnd w:id="338"/>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上风向1个参照点</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default" w:ascii="Times New Roman" w:hAnsi="Times New Roman" w:eastAsia="宋体" w:cs="Times New Roman"/>
                <w:color w:val="auto"/>
                <w:kern w:val="0"/>
                <w:sz w:val="21"/>
                <w:szCs w:val="21"/>
                <w:lang w:val="en-US"/>
              </w:rPr>
            </w:pPr>
            <w:r>
              <w:rPr>
                <w:rFonts w:hint="eastAsia" w:ascii="Times New Roman" w:hAnsi="Times New Roman" w:cs="Times New Roman"/>
                <w:color w:val="auto"/>
                <w:kern w:val="0"/>
                <w:sz w:val="21"/>
                <w:szCs w:val="21"/>
                <w:lang w:val="en-US" w:eastAsia="zh-CN"/>
              </w:rPr>
              <w:t>4次/天，检测2天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下风向3个监控点</w:t>
            </w:r>
          </w:p>
        </w:tc>
        <w:tc>
          <w:tcPr>
            <w:tcW w:w="1995" w:type="dxa"/>
            <w:vAlign w:val="center"/>
          </w:tcPr>
          <w:p>
            <w:pPr>
              <w:ind w:right="139" w:rightChars="66"/>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cs="Times New Roman"/>
                <w:color w:val="auto"/>
                <w:kern w:val="0"/>
                <w:sz w:val="21"/>
                <w:szCs w:val="21"/>
                <w:lang w:val="en-US" w:eastAsia="zh-CN"/>
              </w:rPr>
              <w:t>4次/天，检测2天</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厂界外1m</w:t>
            </w:r>
          </w:p>
        </w:tc>
        <w:tc>
          <w:tcPr>
            <w:tcW w:w="2328" w:type="dxa"/>
            <w:vAlign w:val="center"/>
          </w:tcPr>
          <w:p>
            <w:pPr>
              <w:ind w:right="139" w:rightChars="66"/>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厂界噪声</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昼间1次，检测两天</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42" w:name="_Toc497001483"/>
      <w:bookmarkStart w:id="243" w:name="_Toc20260"/>
      <w:bookmarkStart w:id="244" w:name="_Toc17272"/>
      <w:bookmarkStart w:id="245" w:name="_Toc8755"/>
      <w:bookmarkStart w:id="246" w:name="_Toc26262"/>
      <w:r>
        <w:rPr>
          <w:rFonts w:hint="default" w:ascii="Times New Roman" w:hAnsi="Times New Roman" w:eastAsia="宋体" w:cs="Times New Roman"/>
        </w:rPr>
        <w:t>6.2.2检测分析方法</w:t>
      </w:r>
      <w:bookmarkEnd w:id="242"/>
      <w:bookmarkEnd w:id="243"/>
      <w:bookmarkEnd w:id="244"/>
      <w:bookmarkEnd w:id="245"/>
      <w:bookmarkEnd w:id="246"/>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default"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color w:val="FF0000"/>
                <w:sz w:val="21"/>
                <w:szCs w:val="21"/>
                <w:lang w:val="en-US" w:eastAsia="zh-CN"/>
              </w:rPr>
            </w:pPr>
            <w:r>
              <w:rPr>
                <w:rFonts w:hint="eastAsia" w:ascii="Times New Roman" w:hAnsi="Times New Roman" w:cs="Times New Roman"/>
                <w:spacing w:val="0"/>
                <w:sz w:val="21"/>
                <w:szCs w:val="21"/>
                <w:lang w:val="en-US" w:eastAsia="zh-CN"/>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cs="Times New Roman"/>
                <w:i w:val="0"/>
                <w:color w:val="000000"/>
                <w:kern w:val="0"/>
                <w:sz w:val="21"/>
                <w:szCs w:val="21"/>
                <w:u w:val="none"/>
                <w:lang w:val="en-US" w:eastAsia="zh-CN" w:bidi="ar"/>
              </w:rPr>
            </w:pPr>
            <w:r>
              <w:rPr>
                <w:rFonts w:hint="default" w:ascii="Times New Roman" w:hAnsi="Times New Roman" w:cs="Times New Roman"/>
                <w:i w:val="0"/>
                <w:color w:val="000000"/>
                <w:kern w:val="0"/>
                <w:sz w:val="21"/>
                <w:szCs w:val="21"/>
                <w:u w:val="none"/>
                <w:lang w:val="en-US" w:eastAsia="zh-CN" w:bidi="ar"/>
              </w:rPr>
              <w:t>《</w:t>
            </w:r>
            <w:r>
              <w:rPr>
                <w:rFonts w:hint="eastAsia" w:ascii="Times New Roman" w:hAnsi="Times New Roman" w:cs="Times New Roman"/>
                <w:i w:val="0"/>
                <w:color w:val="000000"/>
                <w:kern w:val="0"/>
                <w:sz w:val="21"/>
                <w:szCs w:val="21"/>
                <w:u w:val="none"/>
                <w:lang w:val="en-US" w:eastAsia="zh-CN" w:bidi="ar"/>
              </w:rPr>
              <w:t>环境空气 总悬浮颗粒物的测定重量法</w:t>
            </w:r>
            <w:r>
              <w:rPr>
                <w:rFonts w:hint="default" w:ascii="Times New Roman" w:hAnsi="Times New Roman" w:cs="Times New Roman"/>
                <w:i w:val="0"/>
                <w:color w:val="000000"/>
                <w:kern w:val="0"/>
                <w:sz w:val="21"/>
                <w:szCs w:val="21"/>
                <w:u w:val="none"/>
                <w:lang w:val="en-US" w:eastAsia="zh-CN" w:bidi="ar"/>
              </w:rPr>
              <w:t>》</w:t>
            </w:r>
            <w:r>
              <w:rPr>
                <w:rFonts w:hint="eastAsia" w:ascii="Times New Roman" w:hAnsi="Times New Roman" w:cs="Times New Roman"/>
                <w:i w:val="0"/>
                <w:color w:val="000000"/>
                <w:kern w:val="0"/>
                <w:sz w:val="21"/>
                <w:szCs w:val="21"/>
                <w:u w:val="none"/>
                <w:lang w:val="en-US" w:eastAsia="zh-CN" w:bidi="ar"/>
              </w:rPr>
              <w:t>GB/T15432-1995及修改单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color w:val="FF0000"/>
                <w:sz w:val="21"/>
                <w:szCs w:val="21"/>
                <w:lang w:val="en-US" w:eastAsia="zh-CN"/>
              </w:rPr>
            </w:pP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eastAsia="宋体" w:cs="Times New Roman"/>
                <w:color w:val="FF0000"/>
                <w:sz w:val="21"/>
                <w:szCs w:val="21"/>
                <w:lang w:val="en-US"/>
              </w:rPr>
            </w:pPr>
            <w:r>
              <w:rPr>
                <w:rFonts w:hint="default" w:ascii="Times New Roman" w:hAnsi="Times New Roman" w:cs="Times New Roman"/>
                <w:spacing w:val="0"/>
                <w:sz w:val="21"/>
                <w:szCs w:val="21"/>
                <w:lang w:val="en-US" w:eastAsia="zh-CN"/>
              </w:rPr>
              <w:t>0.0</w:t>
            </w:r>
            <w:r>
              <w:rPr>
                <w:rFonts w:hint="eastAsia" w:ascii="Times New Roman" w:hAnsi="Times New Roman" w:cs="Times New Roman"/>
                <w:spacing w:val="0"/>
                <w:sz w:val="21"/>
                <w:szCs w:val="21"/>
                <w:lang w:val="en-US" w:eastAsia="zh-CN"/>
              </w:rPr>
              <w:t>01</w:t>
            </w:r>
            <w:r>
              <w:rPr>
                <w:rFonts w:hint="default" w:ascii="Times New Roman" w:hAnsi="Times New Roman" w:cs="Times New Roman"/>
                <w:spacing w:val="0"/>
                <w:sz w:val="21"/>
                <w:szCs w:val="21"/>
                <w:lang w:val="en-US" w:eastAsia="zh-CN"/>
              </w:rPr>
              <w:t>mg/m³</w:t>
            </w:r>
          </w:p>
        </w:tc>
        <w:tc>
          <w:tcPr>
            <w:tcW w:w="3249" w:type="dxa"/>
            <w:tcBorders>
              <w:tl2br w:val="nil"/>
              <w:tr2bl w:val="nil"/>
            </w:tcBorders>
            <w:vAlign w:val="center"/>
          </w:tcPr>
          <w:p>
            <w:pPr>
              <w:pStyle w:val="2"/>
              <w:jc w:val="center"/>
              <w:rPr>
                <w:rFonts w:hint="default" w:ascii="Times New Roman" w:hAnsi="Times New Roman" w:cs="Times New Roman"/>
                <w:lang w:val="en-US" w:eastAsia="zh-CN"/>
              </w:rPr>
            </w:pPr>
            <w:r>
              <w:rPr>
                <w:rFonts w:hint="eastAsia" w:ascii="Times New Roman" w:hAnsi="Times New Roman" w:cs="Times New Roman"/>
                <w:sz w:val="21"/>
                <w:szCs w:val="21"/>
                <w:lang w:val="en-US" w:eastAsia="zh-CN"/>
              </w:rPr>
              <w:t>ZR-3920环境空气颗粒物综合采样器/YQC005/006/007/008ME155DU/02电子天平/YQA021</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default"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AWA5688多功能声级计YQC067</w:t>
            </w:r>
          </w:p>
        </w:tc>
      </w:tr>
    </w:tbl>
    <w:p>
      <w:pPr>
        <w:pStyle w:val="7"/>
        <w:spacing w:beforeLines="50" w:afterLines="50"/>
        <w:rPr>
          <w:rFonts w:hint="default" w:ascii="Times New Roman" w:hAnsi="Times New Roman" w:eastAsia="宋体" w:cs="Times New Roman"/>
        </w:rPr>
      </w:pPr>
      <w:bookmarkStart w:id="247" w:name="_Toc29080"/>
      <w:bookmarkStart w:id="248" w:name="_Toc28512"/>
      <w:bookmarkStart w:id="249" w:name="_Toc19386"/>
      <w:bookmarkStart w:id="250" w:name="_Toc12330"/>
      <w:r>
        <w:rPr>
          <w:rFonts w:hint="default" w:ascii="Times New Roman" w:hAnsi="Times New Roman" w:eastAsia="宋体" w:cs="Times New Roman"/>
        </w:rPr>
        <w:t>6.2.3检测点位示意图</w:t>
      </w:r>
      <w:bookmarkEnd w:id="247"/>
      <w:bookmarkEnd w:id="248"/>
      <w:bookmarkEnd w:id="249"/>
      <w:bookmarkEnd w:id="250"/>
    </w:p>
    <w:p>
      <w:pPr>
        <w:pStyle w:val="5"/>
        <w:spacing w:line="440" w:lineRule="atLeast"/>
        <w:rPr>
          <w:rFonts w:hint="default" w:ascii="Times New Roman" w:hAnsi="Times New Roman" w:eastAsia="宋体" w:cs="Times New Roman"/>
        </w:rPr>
      </w:pPr>
      <w:bookmarkStart w:id="251" w:name="_Toc4189"/>
      <w:r>
        <w:drawing>
          <wp:anchor distT="0" distB="0" distL="114300" distR="114300" simplePos="0" relativeHeight="2374998016" behindDoc="0" locked="0" layoutInCell="1" allowOverlap="1">
            <wp:simplePos x="0" y="0"/>
            <wp:positionH relativeFrom="column">
              <wp:posOffset>-69215</wp:posOffset>
            </wp:positionH>
            <wp:positionV relativeFrom="paragraph">
              <wp:posOffset>316865</wp:posOffset>
            </wp:positionV>
            <wp:extent cx="5270500" cy="3400425"/>
            <wp:effectExtent l="0" t="0" r="6350" b="9525"/>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tretch>
                      <a:fillRect/>
                    </a:stretch>
                  </pic:blipFill>
                  <pic:spPr>
                    <a:xfrm>
                      <a:off x="0" y="0"/>
                      <a:ext cx="5270500" cy="3400425"/>
                    </a:xfrm>
                    <a:prstGeom prst="rect">
                      <a:avLst/>
                    </a:prstGeom>
                    <a:noFill/>
                    <a:ln>
                      <a:noFill/>
                    </a:ln>
                  </pic:spPr>
                </pic:pic>
              </a:graphicData>
            </a:graphic>
          </wp:anchor>
        </w:drawing>
      </w: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52" w:name="_Toc22345"/>
      <w:bookmarkStart w:id="253" w:name="_Toc2862"/>
      <w:bookmarkStart w:id="254" w:name="_Toc19136"/>
      <w:r>
        <w:rPr>
          <w:rFonts w:hint="default" w:ascii="Times New Roman" w:hAnsi="Times New Roman" w:eastAsia="宋体" w:cs="Times New Roman"/>
        </w:rPr>
        <w:t>7验收检测结果及分析</w:t>
      </w:r>
      <w:bookmarkEnd w:id="251"/>
      <w:bookmarkEnd w:id="252"/>
      <w:bookmarkEnd w:id="253"/>
      <w:bookmarkEnd w:id="254"/>
    </w:p>
    <w:p>
      <w:pPr>
        <w:pStyle w:val="6"/>
        <w:spacing w:line="440" w:lineRule="atLeast"/>
        <w:rPr>
          <w:rFonts w:hint="default" w:ascii="Times New Roman" w:hAnsi="Times New Roman" w:eastAsia="宋体" w:cs="Times New Roman"/>
        </w:rPr>
      </w:pPr>
      <w:bookmarkStart w:id="255" w:name="_Toc11364"/>
      <w:bookmarkStart w:id="256" w:name="_Toc20500"/>
      <w:bookmarkStart w:id="257" w:name="_Toc10665"/>
      <w:bookmarkStart w:id="258" w:name="_Toc32720"/>
      <w:r>
        <w:rPr>
          <w:rFonts w:hint="default" w:ascii="Times New Roman" w:hAnsi="Times New Roman" w:eastAsia="宋体" w:cs="Times New Roman"/>
        </w:rPr>
        <w:t>7.1检测结果</w:t>
      </w:r>
      <w:bookmarkEnd w:id="255"/>
      <w:bookmarkEnd w:id="256"/>
      <w:bookmarkEnd w:id="257"/>
      <w:bookmarkEnd w:id="258"/>
    </w:p>
    <w:p>
      <w:pPr>
        <w:pStyle w:val="7"/>
        <w:rPr>
          <w:rFonts w:hint="default" w:ascii="Times New Roman" w:hAnsi="Times New Roman" w:eastAsia="宋体" w:cs="Times New Roman"/>
        </w:rPr>
      </w:pPr>
      <w:bookmarkStart w:id="259" w:name="_Toc19935"/>
      <w:bookmarkStart w:id="260" w:name="_Toc32125"/>
      <w:bookmarkStart w:id="261" w:name="_Toc6032"/>
      <w:bookmarkStart w:id="262" w:name="_Toc497001488"/>
      <w:bookmarkStart w:id="263" w:name="_Toc3464"/>
      <w:r>
        <w:rPr>
          <w:rFonts w:hint="default" w:ascii="Times New Roman" w:hAnsi="Times New Roman" w:eastAsia="宋体" w:cs="Times New Roman"/>
        </w:rPr>
        <w:t>7.1.1废气检测结果</w:t>
      </w:r>
      <w:bookmarkEnd w:id="259"/>
      <w:bookmarkEnd w:id="260"/>
      <w:bookmarkEnd w:id="261"/>
      <w:bookmarkEnd w:id="262"/>
      <w:bookmarkEnd w:id="263"/>
    </w:p>
    <w:p>
      <w:pPr>
        <w:ind w:firstLine="1687" w:firstLineChars="700"/>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4" w:name="_Toc3240"/>
      <w:bookmarkStart w:id="265" w:name="_Toc8796"/>
      <w:bookmarkStart w:id="266" w:name="_Toc7541"/>
      <w:bookmarkStart w:id="267" w:name="_Toc6567"/>
      <w:bookmarkStart w:id="268" w:name="_Toc497001489"/>
    </w:p>
    <w:p>
      <w:pPr>
        <w:pStyle w:val="3"/>
      </w:pPr>
      <w:r>
        <w:drawing>
          <wp:anchor distT="0" distB="0" distL="114300" distR="114300" simplePos="0" relativeHeight="2374999040" behindDoc="0" locked="0" layoutInCell="1" allowOverlap="1">
            <wp:simplePos x="0" y="0"/>
            <wp:positionH relativeFrom="column">
              <wp:posOffset>121920</wp:posOffset>
            </wp:positionH>
            <wp:positionV relativeFrom="paragraph">
              <wp:posOffset>138430</wp:posOffset>
            </wp:positionV>
            <wp:extent cx="5057775" cy="6677025"/>
            <wp:effectExtent l="0" t="0" r="9525" b="9525"/>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4"/>
                    <a:stretch>
                      <a:fillRect/>
                    </a:stretch>
                  </pic:blipFill>
                  <pic:spPr>
                    <a:xfrm>
                      <a:off x="0" y="0"/>
                      <a:ext cx="5057775" cy="6677025"/>
                    </a:xfrm>
                    <a:prstGeom prst="rect">
                      <a:avLst/>
                    </a:prstGeom>
                    <a:noFill/>
                    <a:ln>
                      <a:noFill/>
                    </a:ln>
                  </pic:spPr>
                </pic:pic>
              </a:graphicData>
            </a:graphic>
          </wp:anchor>
        </w:drawing>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rPr>
          <w:rFonts w:hint="default"/>
        </w:rPr>
      </w:pPr>
    </w:p>
    <w:p>
      <w:pPr>
        <w:pStyle w:val="3"/>
        <w:rPr>
          <w:rFonts w:hint="default"/>
        </w:rPr>
      </w:pPr>
    </w:p>
    <w:p>
      <w:pPr>
        <w:pStyle w:val="3"/>
        <w:rPr>
          <w:rFonts w:hint="default"/>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4"/>
      <w:bookmarkEnd w:id="265"/>
      <w:bookmarkEnd w:id="266"/>
      <w:bookmarkEnd w:id="267"/>
      <w:bookmarkEnd w:id="268"/>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2</w:t>
      </w:r>
      <w:r>
        <w:rPr>
          <w:rFonts w:hint="default" w:ascii="Times New Roman" w:hAnsi="Times New Roman" w:eastAsia="宋体" w:cs="Times New Roman"/>
          <w:b/>
          <w:sz w:val="24"/>
          <w:szCs w:val="24"/>
        </w:rPr>
        <w:t>厂界噪声检测结果</w:t>
      </w:r>
      <w:bookmarkStart w:id="269" w:name="_Toc21685"/>
      <w:bookmarkStart w:id="270" w:name="_Toc26119"/>
      <w:bookmarkStart w:id="271" w:name="_Toc5560"/>
      <w:bookmarkStart w:id="272" w:name="_Toc5375"/>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drawing>
          <wp:anchor distT="0" distB="0" distL="114300" distR="114300" simplePos="0" relativeHeight="2375000064" behindDoc="0" locked="0" layoutInCell="1" allowOverlap="1">
            <wp:simplePos x="0" y="0"/>
            <wp:positionH relativeFrom="column">
              <wp:posOffset>138430</wp:posOffset>
            </wp:positionH>
            <wp:positionV relativeFrom="paragraph">
              <wp:posOffset>3175</wp:posOffset>
            </wp:positionV>
            <wp:extent cx="5268595" cy="2413635"/>
            <wp:effectExtent l="0" t="0" r="8255" b="5715"/>
            <wp:wrapNone/>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5"/>
                    <a:stretch>
                      <a:fillRect/>
                    </a:stretch>
                  </pic:blipFill>
                  <pic:spPr>
                    <a:xfrm>
                      <a:off x="0" y="0"/>
                      <a:ext cx="5268595" cy="2413635"/>
                    </a:xfrm>
                    <a:prstGeom prst="rect">
                      <a:avLst/>
                    </a:prstGeom>
                    <a:noFill/>
                    <a:ln>
                      <a:noFill/>
                    </a:ln>
                  </pic:spPr>
                </pic:pic>
              </a:graphicData>
            </a:graphic>
          </wp:anchor>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3373" w:firstLineChars="1400"/>
        <w:jc w:val="both"/>
        <w:textAlignment w:val="auto"/>
        <w:outlineLvl w:val="1"/>
        <w:rPr>
          <w:rFonts w:hint="default"/>
          <w:lang w:val="en-US" w:eastAsia="zh-CN"/>
        </w:rPr>
      </w:pPr>
      <w:r>
        <w:rPr>
          <w:rFonts w:hint="eastAsia" w:ascii="Times New Roman" w:hAnsi="Times New Roman" w:cs="Times New Roman"/>
          <w:b/>
          <w:sz w:val="24"/>
          <w:szCs w:val="24"/>
          <w:lang w:val="en-US" w:eastAsia="zh-CN"/>
        </w:rPr>
        <w:t>单位：dB（A）</w:t>
      </w:r>
    </w:p>
    <w:p>
      <w:pPr>
        <w:rPr>
          <w:rFonts w:hint="default"/>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9"/>
      <w:bookmarkEnd w:id="270"/>
      <w:bookmarkEnd w:id="271"/>
      <w:bookmarkEnd w:id="272"/>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3" w:name="_Toc3228"/>
      <w:bookmarkStart w:id="274" w:name="_Toc497001493"/>
      <w:bookmarkStart w:id="275" w:name="_Toc30843"/>
      <w:bookmarkStart w:id="276" w:name="_Toc9795"/>
      <w:bookmarkStart w:id="277" w:name="_Toc31512"/>
      <w:r>
        <w:rPr>
          <w:rFonts w:hint="default" w:ascii="Times New Roman" w:hAnsi="Times New Roman" w:eastAsia="宋体" w:cs="Times New Roman"/>
        </w:rPr>
        <w:t>7.2.1废气检测结果</w:t>
      </w:r>
      <w:bookmarkEnd w:id="273"/>
      <w:bookmarkEnd w:id="274"/>
      <w:bookmarkEnd w:id="275"/>
      <w:bookmarkEnd w:id="276"/>
      <w:bookmarkEnd w:id="277"/>
    </w:p>
    <w:p>
      <w:pPr>
        <w:pStyle w:val="27"/>
        <w:widowControl/>
        <w:adjustRightInd w:val="0"/>
        <w:snapToGrid w:val="0"/>
        <w:spacing w:line="460" w:lineRule="exact"/>
        <w:ind w:firstLine="480"/>
        <w:rPr>
          <w:rFonts w:hint="default" w:ascii="Times New Roman" w:hAnsi="Times New Roman" w:eastAsia="宋体" w:cs="Times New Roman"/>
          <w:sz w:val="24"/>
          <w:szCs w:val="24"/>
        </w:rPr>
      </w:pPr>
      <w:bookmarkStart w:id="278" w:name="_Toc5876"/>
      <w:bookmarkStart w:id="279" w:name="_Toc23179"/>
      <w:bookmarkStart w:id="280" w:name="_Toc4404"/>
      <w:bookmarkStart w:id="281" w:name="_Toc497001494"/>
      <w:bookmarkStart w:id="282" w:name="_Toc1065"/>
      <w:r>
        <w:rPr>
          <w:rFonts w:hint="eastAsia" w:ascii="Times New Roman" w:hAnsi="Times New Roman" w:eastAsia="宋体" w:cs="Times New Roman"/>
          <w:sz w:val="24"/>
          <w:szCs w:val="24"/>
          <w:lang w:val="en-US" w:eastAsia="zh-CN"/>
        </w:rPr>
        <w:t>经监测，</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焊接</w:t>
      </w:r>
      <w:r>
        <w:rPr>
          <w:rFonts w:hint="default" w:ascii="Times New Roman" w:hAnsi="Times New Roman" w:eastAsia="宋体" w:cs="Times New Roman"/>
          <w:sz w:val="24"/>
          <w:szCs w:val="24"/>
        </w:rPr>
        <w:t>工序外排废气中</w:t>
      </w:r>
      <w:r>
        <w:rPr>
          <w:rFonts w:hint="eastAsia" w:ascii="Times New Roman" w:hAnsi="Times New Roman" w:eastAsia="宋体" w:cs="Times New Roman"/>
          <w:sz w:val="24"/>
          <w:szCs w:val="24"/>
          <w:lang w:val="en-US" w:eastAsia="zh-CN"/>
        </w:rPr>
        <w:t>颗粒物</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最大值为0.329</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符合《</w:t>
      </w:r>
      <w:r>
        <w:rPr>
          <w:rFonts w:hint="eastAsia" w:ascii="Times New Roman" w:hAnsi="Times New Roman" w:eastAsia="宋体" w:cs="Times New Roman"/>
          <w:sz w:val="24"/>
          <w:szCs w:val="24"/>
          <w:lang w:val="en-US" w:eastAsia="zh-CN"/>
        </w:rPr>
        <w:t>大气污染物综合排放标准</w:t>
      </w:r>
      <w:r>
        <w:rPr>
          <w:rFonts w:hint="default"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16297-1996)表</w:t>
      </w:r>
      <w:r>
        <w:rPr>
          <w:rFonts w:hint="eastAsia" w:ascii="Times New Roman" w:hAnsi="Times New Roman" w:eastAsia="宋体" w:cs="Times New Roman"/>
          <w:sz w:val="24"/>
          <w:szCs w:val="24"/>
          <w:lang w:val="en-US" w:eastAsia="zh-CN"/>
        </w:rPr>
        <w:t>2无组织排放监控浓度限值要求</w:t>
      </w:r>
      <w:r>
        <w:rPr>
          <w:rFonts w:hint="default" w:ascii="Times New Roman" w:hAnsi="Times New Roman" w:eastAsia="宋体" w:cs="Times New Roman"/>
          <w:sz w:val="24"/>
          <w:szCs w:val="24"/>
        </w:rPr>
        <w:t>。</w:t>
      </w:r>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r>
        <w:rPr>
          <w:rFonts w:hint="default" w:ascii="Times New Roman" w:hAnsi="Times New Roman" w:eastAsia="宋体" w:cs="Times New Roman"/>
        </w:rPr>
        <w:t>7.2.2噪声检测结果</w:t>
      </w:r>
      <w:bookmarkEnd w:id="278"/>
      <w:bookmarkEnd w:id="279"/>
      <w:bookmarkEnd w:id="280"/>
      <w:bookmarkEnd w:id="281"/>
      <w:bookmarkEnd w:id="282"/>
    </w:p>
    <w:p>
      <w:pPr>
        <w:pStyle w:val="4"/>
        <w:spacing w:before="2" w:line="360" w:lineRule="auto"/>
        <w:ind w:firstLine="480" w:firstLineChars="200"/>
        <w:rPr>
          <w:rFonts w:hint="default" w:ascii="Times New Roman" w:hAnsi="Times New Roman" w:eastAsia="宋体" w:cs="Times New Roman"/>
          <w:sz w:val="24"/>
          <w:szCs w:val="24"/>
        </w:rPr>
      </w:pPr>
      <w:bookmarkStart w:id="283" w:name="_Toc2782"/>
      <w:bookmarkStart w:id="284" w:name="_Toc19340"/>
      <w:bookmarkStart w:id="285" w:name="_Toc503884785"/>
      <w:bookmarkStart w:id="286" w:name="_Toc4679"/>
      <w:bookmarkStart w:id="287" w:name="_Toc3266"/>
      <w:r>
        <w:rPr>
          <w:rFonts w:hint="eastAsia" w:ascii="Times New Roman" w:hAnsi="Times New Roman" w:eastAsia="宋体" w:cs="Times New Roman"/>
          <w:sz w:val="24"/>
          <w:szCs w:val="24"/>
          <w:lang w:val="en-US" w:eastAsia="zh-CN"/>
        </w:rPr>
        <w:t>经监测，</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夜间不生产，东、南、西、北</w:t>
      </w:r>
      <w:r>
        <w:rPr>
          <w:rFonts w:hint="default" w:ascii="Times New Roman" w:hAnsi="Times New Roman" w:eastAsia="宋体" w:cs="Times New Roman"/>
          <w:sz w:val="24"/>
          <w:szCs w:val="24"/>
        </w:rPr>
        <w:t>厂界昼间噪声</w:t>
      </w:r>
      <w:r>
        <w:rPr>
          <w:rFonts w:hint="eastAsia" w:ascii="Times New Roman" w:hAnsi="Times New Roman" w:eastAsia="宋体" w:cs="Times New Roman"/>
          <w:sz w:val="24"/>
          <w:szCs w:val="24"/>
          <w:lang w:val="en-US" w:eastAsia="zh-CN"/>
        </w:rPr>
        <w:t>范围值54.3~56.3dB（A），</w:t>
      </w:r>
      <w:r>
        <w:rPr>
          <w:rFonts w:hint="default" w:ascii="Times New Roman" w:hAnsi="Times New Roman" w:eastAsia="宋体" w:cs="Times New Roman"/>
          <w:sz w:val="24"/>
          <w:szCs w:val="24"/>
        </w:rPr>
        <w:t>均符合《工业企业厂界环境噪声排放标准》（GB 12348-2008）表1中2类标准。</w:t>
      </w:r>
    </w:p>
    <w:p>
      <w:pPr>
        <w:pStyle w:val="6"/>
        <w:rPr>
          <w:rFonts w:hint="default" w:ascii="Times New Roman" w:hAnsi="Times New Roman" w:eastAsia="宋体" w:cs="Times New Roman"/>
        </w:rPr>
      </w:pPr>
      <w:r>
        <w:rPr>
          <w:rFonts w:hint="default" w:ascii="Times New Roman" w:hAnsi="Times New Roman" w:eastAsia="宋体" w:cs="Times New Roman"/>
        </w:rPr>
        <w:t>7.3总量控制要求</w:t>
      </w:r>
      <w:bookmarkEnd w:id="283"/>
      <w:bookmarkEnd w:id="284"/>
      <w:bookmarkEnd w:id="285"/>
      <w:bookmarkEnd w:id="28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8" w:name="_Toc20214"/>
      <w:bookmarkStart w:id="289" w:name="_Toc5202"/>
      <w:bookmarkStart w:id="290" w:name="_Toc3191"/>
      <w:r>
        <w:rPr>
          <w:rFonts w:hint="default" w:ascii="Times New Roman" w:hAnsi="Times New Roman" w:eastAsia="宋体" w:cs="Times New Roman"/>
        </w:rPr>
        <w:t>8环境管理检查</w:t>
      </w:r>
      <w:bookmarkEnd w:id="287"/>
      <w:bookmarkEnd w:id="288"/>
      <w:bookmarkEnd w:id="289"/>
      <w:bookmarkEnd w:id="290"/>
    </w:p>
    <w:p>
      <w:pPr>
        <w:pStyle w:val="6"/>
        <w:rPr>
          <w:rFonts w:hint="default" w:ascii="Times New Roman" w:hAnsi="Times New Roman" w:eastAsia="宋体" w:cs="Times New Roman"/>
        </w:rPr>
      </w:pPr>
      <w:bookmarkStart w:id="291" w:name="_Toc5972"/>
      <w:bookmarkStart w:id="292" w:name="_Toc17414"/>
      <w:bookmarkStart w:id="293" w:name="_Toc32093"/>
      <w:bookmarkStart w:id="294" w:name="_Toc23769"/>
      <w:r>
        <w:rPr>
          <w:rFonts w:hint="default" w:ascii="Times New Roman" w:hAnsi="Times New Roman" w:eastAsia="宋体" w:cs="Times New Roman"/>
        </w:rPr>
        <w:t>8.1环保管理机构</w:t>
      </w:r>
      <w:bookmarkEnd w:id="291"/>
      <w:bookmarkEnd w:id="292"/>
      <w:bookmarkEnd w:id="293"/>
      <w:bookmarkEnd w:id="294"/>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河北津华输送机械制造有限公司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95" w:name="_Toc25742"/>
      <w:bookmarkStart w:id="296" w:name="_Toc29686"/>
      <w:bookmarkStart w:id="297" w:name="_Toc294178076"/>
      <w:bookmarkStart w:id="298" w:name="_Toc412705194"/>
      <w:bookmarkStart w:id="299" w:name="_Toc14656"/>
      <w:bookmarkStart w:id="300" w:name="_Toc18585"/>
      <w:r>
        <w:rPr>
          <w:rFonts w:hint="default" w:ascii="Times New Roman" w:hAnsi="Times New Roman" w:eastAsia="宋体" w:cs="Times New Roman"/>
          <w:szCs w:val="22"/>
        </w:rPr>
        <w:t>8.2施工期环境管理</w:t>
      </w:r>
      <w:bookmarkEnd w:id="295"/>
      <w:bookmarkEnd w:id="296"/>
      <w:bookmarkEnd w:id="297"/>
      <w:bookmarkEnd w:id="298"/>
      <w:bookmarkEnd w:id="299"/>
      <w:bookmarkEnd w:id="300"/>
    </w:p>
    <w:p>
      <w:pPr>
        <w:spacing w:line="480" w:lineRule="atLeast"/>
        <w:ind w:firstLine="480" w:firstLineChars="200"/>
        <w:rPr>
          <w:rFonts w:hint="default" w:ascii="Times New Roman" w:hAnsi="Times New Roman" w:eastAsia="宋体" w:cs="Times New Roman"/>
          <w:sz w:val="24"/>
          <w:szCs w:val="24"/>
        </w:rPr>
      </w:pPr>
      <w:bookmarkStart w:id="301" w:name="_Toc294178077"/>
      <w:bookmarkStart w:id="302" w:name="_Toc412705195"/>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303" w:name="_Toc463"/>
      <w:bookmarkStart w:id="304" w:name="_Toc7664"/>
      <w:bookmarkStart w:id="305" w:name="_Toc20253"/>
      <w:bookmarkStart w:id="306" w:name="_Toc30001"/>
      <w:r>
        <w:rPr>
          <w:rFonts w:hint="default" w:ascii="Times New Roman" w:hAnsi="Times New Roman" w:eastAsia="宋体" w:cs="Times New Roman"/>
        </w:rPr>
        <w:t>8.3运行期环境管理</w:t>
      </w:r>
      <w:bookmarkEnd w:id="301"/>
      <w:bookmarkEnd w:id="302"/>
      <w:bookmarkEnd w:id="303"/>
      <w:bookmarkEnd w:id="304"/>
      <w:bookmarkEnd w:id="305"/>
      <w:bookmarkEnd w:id="306"/>
    </w:p>
    <w:p>
      <w:pPr>
        <w:spacing w:line="480" w:lineRule="atLeast"/>
        <w:ind w:firstLine="480" w:firstLineChars="200"/>
        <w:rPr>
          <w:rFonts w:hint="default" w:ascii="Times New Roman" w:hAnsi="Times New Roman" w:eastAsia="宋体" w:cs="Times New Roman"/>
          <w:sz w:val="24"/>
          <w:szCs w:val="24"/>
        </w:rPr>
      </w:pPr>
      <w:bookmarkStart w:id="307" w:name="_Toc294178078"/>
      <w:r>
        <w:rPr>
          <w:rFonts w:hint="eastAsia" w:ascii="Times New Roman" w:hAnsi="Times New Roman" w:cs="Times New Roman"/>
          <w:sz w:val="24"/>
          <w:szCs w:val="24"/>
          <w:lang w:val="en-US" w:eastAsia="zh-CN"/>
        </w:rPr>
        <w:t>河北津华输送机械制造有限公司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307"/>
      <w:bookmarkStart w:id="308" w:name="_Toc412705199"/>
      <w:bookmarkStart w:id="309" w:name="_Toc414220604"/>
    </w:p>
    <w:p>
      <w:pPr>
        <w:pStyle w:val="6"/>
        <w:spacing w:line="440" w:lineRule="atLeast"/>
        <w:rPr>
          <w:rFonts w:hint="default" w:ascii="Times New Roman" w:hAnsi="Times New Roman" w:eastAsia="宋体" w:cs="Times New Roman"/>
        </w:rPr>
      </w:pPr>
      <w:bookmarkStart w:id="310" w:name="_Toc76"/>
      <w:bookmarkStart w:id="311" w:name="_Toc28702"/>
      <w:bookmarkStart w:id="312" w:name="_Toc8826"/>
      <w:bookmarkStart w:id="313" w:name="_Toc5087"/>
      <w:bookmarkStart w:id="314" w:name="_Toc414220602"/>
      <w:bookmarkStart w:id="315" w:name="_Toc412705196"/>
      <w:r>
        <w:rPr>
          <w:rFonts w:hint="default" w:ascii="Times New Roman" w:hAnsi="Times New Roman" w:eastAsia="宋体" w:cs="Times New Roman"/>
        </w:rPr>
        <w:t>8.4社会环境影响情况调查</w:t>
      </w:r>
      <w:bookmarkEnd w:id="310"/>
      <w:bookmarkEnd w:id="311"/>
      <w:bookmarkEnd w:id="312"/>
      <w:bookmarkEnd w:id="313"/>
      <w:bookmarkEnd w:id="314"/>
      <w:bookmarkEnd w:id="315"/>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16" w:name="_Toc7270"/>
      <w:bookmarkStart w:id="317" w:name="_Toc15866"/>
      <w:bookmarkStart w:id="318" w:name="_Toc9083"/>
      <w:bookmarkStart w:id="319" w:name="_Toc26985"/>
      <w:r>
        <w:rPr>
          <w:rFonts w:hint="default" w:ascii="Times New Roman" w:hAnsi="Times New Roman" w:eastAsia="宋体" w:cs="Times New Roman"/>
        </w:rPr>
        <w:t>8.5环境管理情况分析</w:t>
      </w:r>
      <w:bookmarkEnd w:id="308"/>
      <w:bookmarkEnd w:id="309"/>
      <w:bookmarkEnd w:id="316"/>
      <w:bookmarkEnd w:id="317"/>
      <w:bookmarkEnd w:id="318"/>
      <w:bookmarkEnd w:id="319"/>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20"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21" w:name="_Toc12811"/>
      <w:bookmarkStart w:id="322" w:name="_Toc18158"/>
      <w:bookmarkStart w:id="323" w:name="_Toc11667"/>
      <w:r>
        <w:rPr>
          <w:rFonts w:hint="default" w:ascii="Times New Roman" w:hAnsi="Times New Roman" w:eastAsia="宋体" w:cs="Times New Roman"/>
        </w:rPr>
        <w:t>9结论和建议</w:t>
      </w:r>
      <w:bookmarkEnd w:id="320"/>
      <w:bookmarkEnd w:id="321"/>
      <w:bookmarkEnd w:id="322"/>
      <w:bookmarkEnd w:id="323"/>
    </w:p>
    <w:p>
      <w:pPr>
        <w:pStyle w:val="6"/>
        <w:rPr>
          <w:rFonts w:hint="default" w:ascii="Times New Roman" w:hAnsi="Times New Roman" w:eastAsia="宋体" w:cs="Times New Roman"/>
        </w:rPr>
      </w:pPr>
      <w:bookmarkStart w:id="324" w:name="_Toc25092"/>
      <w:bookmarkStart w:id="325" w:name="_Toc8760"/>
      <w:bookmarkStart w:id="326" w:name="_Toc3234"/>
      <w:bookmarkStart w:id="327" w:name="_Toc6888"/>
      <w:r>
        <w:rPr>
          <w:rFonts w:hint="default" w:ascii="Times New Roman" w:hAnsi="Times New Roman" w:eastAsia="宋体" w:cs="Times New Roman"/>
        </w:rPr>
        <w:t>9.1验收主要结论</w:t>
      </w:r>
      <w:bookmarkEnd w:id="324"/>
      <w:bookmarkEnd w:id="325"/>
      <w:bookmarkEnd w:id="326"/>
      <w:bookmarkEnd w:id="327"/>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w:t>
      </w:r>
      <w:r>
        <w:rPr>
          <w:rFonts w:hint="eastAsia" w:ascii="Times New Roman" w:hAnsi="Times New Roman" w:cs="Times New Roman"/>
          <w:sz w:val="24"/>
          <w:szCs w:val="24"/>
          <w:lang w:val="en-US" w:eastAsia="zh-CN"/>
        </w:rPr>
        <w:t>95</w:t>
      </w:r>
      <w:r>
        <w:rPr>
          <w:rFonts w:hint="default" w:ascii="Times New Roman" w:hAnsi="Times New Roman" w:eastAsia="宋体" w:cs="Times New Roman"/>
          <w:sz w:val="24"/>
          <w:szCs w:val="24"/>
        </w:rPr>
        <w:t>%以上，满足验收检测技术规范要求。</w:t>
      </w:r>
    </w:p>
    <w:p>
      <w:pPr>
        <w:pStyle w:val="27"/>
        <w:widowControl/>
        <w:adjustRightInd w:val="0"/>
        <w:snapToGrid w:val="0"/>
        <w:spacing w:line="460" w:lineRule="exact"/>
        <w:ind w:firstLine="480"/>
        <w:rPr>
          <w:rFonts w:hint="default" w:ascii="Times New Roman" w:hAnsi="Times New Roman" w:eastAsia="宋体" w:cs="Times New Roman"/>
          <w:sz w:val="24"/>
          <w:szCs w:val="24"/>
        </w:rPr>
      </w:pPr>
      <w:bookmarkStart w:id="328" w:name="_Hlk496998963"/>
      <w:r>
        <w:rPr>
          <w:rFonts w:hint="default" w:ascii="Times New Roman" w:hAnsi="Times New Roman" w:eastAsia="宋体" w:cs="Times New Roman"/>
          <w:sz w:val="24"/>
          <w:szCs w:val="24"/>
        </w:rPr>
        <w:t>（1）废气</w:t>
      </w:r>
    </w:p>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经监测，</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焊接</w:t>
      </w:r>
      <w:r>
        <w:rPr>
          <w:rFonts w:hint="default" w:ascii="Times New Roman" w:hAnsi="Times New Roman" w:eastAsia="宋体" w:cs="Times New Roman"/>
          <w:sz w:val="24"/>
          <w:szCs w:val="24"/>
        </w:rPr>
        <w:t>工序外排废气中</w:t>
      </w:r>
      <w:r>
        <w:rPr>
          <w:rFonts w:hint="eastAsia" w:ascii="Times New Roman" w:hAnsi="Times New Roman" w:eastAsia="宋体" w:cs="Times New Roman"/>
          <w:sz w:val="24"/>
          <w:szCs w:val="24"/>
          <w:lang w:val="en-US" w:eastAsia="zh-CN"/>
        </w:rPr>
        <w:t>颗粒物</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最大值为0.329</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符合《</w:t>
      </w:r>
      <w:r>
        <w:rPr>
          <w:rFonts w:hint="eastAsia" w:ascii="Times New Roman" w:hAnsi="Times New Roman" w:eastAsia="宋体" w:cs="Times New Roman"/>
          <w:sz w:val="24"/>
          <w:szCs w:val="24"/>
          <w:lang w:val="en-US" w:eastAsia="zh-CN"/>
        </w:rPr>
        <w:t>大气污染物综合排放标准</w:t>
      </w:r>
      <w:r>
        <w:rPr>
          <w:rFonts w:hint="default"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16297-1996)表</w:t>
      </w:r>
      <w:r>
        <w:rPr>
          <w:rFonts w:hint="eastAsia" w:ascii="Times New Roman" w:hAnsi="Times New Roman" w:eastAsia="宋体" w:cs="Times New Roman"/>
          <w:sz w:val="24"/>
          <w:szCs w:val="24"/>
          <w:lang w:val="en-US" w:eastAsia="zh-CN"/>
        </w:rPr>
        <w:t>2无组织排放监控浓度限值要求</w:t>
      </w:r>
      <w:r>
        <w:rPr>
          <w:rFonts w:hint="default" w:ascii="Times New Roman" w:hAnsi="Times New Roman" w:eastAsia="宋体" w:cs="Times New Roman"/>
          <w:sz w:val="24"/>
          <w:szCs w:val="24"/>
        </w:rPr>
        <w:t>。</w:t>
      </w:r>
    </w:p>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（2）噪声检测结果</w:t>
      </w:r>
    </w:p>
    <w:p>
      <w:pPr>
        <w:pStyle w:val="4"/>
        <w:spacing w:before="2" w:line="360" w:lineRule="auto"/>
        <w:ind w:firstLine="480" w:firstLineChars="200"/>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经监测，</w:t>
      </w: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夜间不生产，东、南、西、北</w:t>
      </w:r>
      <w:r>
        <w:rPr>
          <w:rFonts w:hint="default" w:ascii="Times New Roman" w:hAnsi="Times New Roman" w:eastAsia="宋体" w:cs="Times New Roman"/>
          <w:sz w:val="24"/>
          <w:szCs w:val="24"/>
        </w:rPr>
        <w:t>厂界昼间噪声</w:t>
      </w:r>
      <w:r>
        <w:rPr>
          <w:rFonts w:hint="eastAsia" w:ascii="Times New Roman" w:hAnsi="Times New Roman" w:eastAsia="宋体" w:cs="Times New Roman"/>
          <w:sz w:val="24"/>
          <w:szCs w:val="24"/>
          <w:lang w:val="en-US" w:eastAsia="zh-CN"/>
        </w:rPr>
        <w:t>范围值54.3~56.3dB（A），</w:t>
      </w:r>
      <w:r>
        <w:rPr>
          <w:rFonts w:hint="default" w:ascii="Times New Roman" w:hAnsi="Times New Roman" w:eastAsia="宋体" w:cs="Times New Roman"/>
          <w:sz w:val="24"/>
          <w:szCs w:val="24"/>
        </w:rPr>
        <w:t>均符合《工业企业厂界环境噪声排放标准》（GB 12348-2008）表1中2类标准。</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8"/>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29" w:name="_Toc6926"/>
      <w:bookmarkStart w:id="330" w:name="_Toc4537"/>
      <w:r>
        <w:rPr>
          <w:rFonts w:hint="eastAsia"/>
          <w:szCs w:val="21"/>
          <w:lang w:val="en-US" w:eastAsia="zh-CN"/>
        </w:rPr>
        <w:t>项目无生产用水</w:t>
      </w:r>
      <w:r>
        <w:rPr>
          <w:szCs w:val="21"/>
        </w:rPr>
        <w:t>；</w:t>
      </w:r>
      <w:r>
        <w:rPr>
          <w:rFonts w:hint="eastAsia"/>
          <w:szCs w:val="21"/>
          <w:lang w:val="en-US" w:eastAsia="zh-CN"/>
        </w:rPr>
        <w:t>生活污水，</w:t>
      </w:r>
      <w:r>
        <w:rPr>
          <w:szCs w:val="21"/>
        </w:rPr>
        <w:t>厂区</w:t>
      </w:r>
      <w:r>
        <w:rPr>
          <w:rFonts w:hint="eastAsia"/>
          <w:szCs w:val="21"/>
          <w:lang w:val="en-US" w:eastAsia="zh-CN"/>
        </w:rPr>
        <w:t>泼洒抑尘不外排</w:t>
      </w:r>
      <w:r>
        <w:rPr>
          <w:rFonts w:hint="eastAsia" w:ascii="Times New Roman" w:hAnsi="Times New Roman" w:eastAsia="宋体" w:cs="Times New Roman"/>
          <w:color w:val="auto"/>
          <w:sz w:val="24"/>
          <w:szCs w:val="24"/>
          <w:lang w:val="en-US" w:eastAsia="zh-CN"/>
        </w:rPr>
        <w:t>。</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29"/>
      <w:bookmarkEnd w:id="330"/>
    </w:p>
    <w:p>
      <w:pPr>
        <w:pStyle w:val="7"/>
        <w:ind w:firstLine="480" w:firstLineChars="200"/>
        <w:rPr>
          <w:rFonts w:hint="eastAsia" w:ascii="Times New Roman" w:hAnsi="Times New Roman" w:eastAsia="宋体"/>
          <w:sz w:val="24"/>
          <w:szCs w:val="24"/>
          <w:lang w:val="en-US" w:eastAsia="zh-CN"/>
        </w:rPr>
      </w:pPr>
      <w:bookmarkStart w:id="331" w:name="_Toc24650"/>
      <w:bookmarkStart w:id="332" w:name="_Toc6395"/>
      <w:bookmarkStart w:id="333" w:name="_Hlk496999304"/>
      <w:r>
        <w:rPr>
          <w:rFonts w:hint="default" w:ascii="Times New Roman" w:hAnsi="Times New Roman" w:eastAsia="宋体" w:cs="Times New Roman"/>
          <w:color w:val="000000" w:themeColor="text1"/>
          <w:sz w:val="24"/>
          <w:szCs w:val="24"/>
          <w14:textFill>
            <w14:solidFill>
              <w14:schemeClr w14:val="tx1"/>
            </w14:solidFill>
          </w14:textFill>
        </w:rPr>
        <w:t>项目固废主要为</w:t>
      </w:r>
      <w:r>
        <w:rPr>
          <w:rFonts w:hint="eastAsia" w:ascii="Times New Roman" w:hAnsi="Times New Roman" w:eastAsia="宋体" w:cs="Times New Roman"/>
          <w:sz w:val="24"/>
          <w:szCs w:val="24"/>
          <w:lang w:val="en-US" w:eastAsia="zh-CN"/>
        </w:rPr>
        <w:t>焊接工序产生的废焊条、生产过程的边角料、打孔工序产生的钢屑、焊接烟尘净化器收集烟尘、设备维护含油抹布和生活垃圾</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sz w:val="24"/>
          <w:szCs w:val="24"/>
          <w:lang w:val="en-US" w:eastAsia="zh-CN"/>
        </w:rPr>
        <w:t>焊接工序产生的废焊条、生产过程的边角料、打孔工序产生的钢屑、焊接烟尘净化器收集的烟尘，均收集后外售</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sz w:val="24"/>
          <w:szCs w:val="24"/>
          <w:lang w:val="en-US" w:eastAsia="zh-CN"/>
        </w:rPr>
        <w:t>设备维护含油抹布和生活垃圾，均垃圾箱收集，由环卫工人运至垃圾处理厂处理</w:t>
      </w:r>
      <w:r>
        <w:rPr>
          <w:rFonts w:hint="eastAsia" w:ascii="Times New Roman" w:hAnsi="Times New Roman" w:eastAsia="宋体"/>
          <w:sz w:val="24"/>
          <w:szCs w:val="24"/>
          <w:lang w:val="en-US" w:eastAsia="zh-CN"/>
        </w:rPr>
        <w:t>。</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31"/>
      <w:bookmarkEnd w:id="332"/>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33"/>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34" w:name="_Toc18401"/>
      <w:bookmarkStart w:id="335" w:name="_Toc10340"/>
      <w:bookmarkStart w:id="336" w:name="_Toc21981"/>
      <w:bookmarkStart w:id="337" w:name="_Toc30691"/>
      <w:r>
        <w:rPr>
          <w:rFonts w:hint="default" w:ascii="Times New Roman" w:hAnsi="Times New Roman" w:eastAsia="宋体" w:cs="Times New Roman"/>
        </w:rPr>
        <w:t>9.2建议</w:t>
      </w:r>
      <w:bookmarkEnd w:id="334"/>
      <w:bookmarkEnd w:id="335"/>
      <w:bookmarkEnd w:id="336"/>
      <w:bookmarkEnd w:id="33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val="en-US" w:eastAsia="zh-CN"/>
        </w:rPr>
        <w:t>河北津华输送机械制造有限公司</w:t>
      </w:r>
      <w:r>
        <w:rPr>
          <w:rFonts w:hint="default" w:ascii="Times New Roman" w:hAnsi="Times New Roman" w:eastAsia="宋体" w:cs="Times New Roman"/>
        </w:rPr>
        <w:t>填表人（签字）：项目经办人（签字）：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cs="Times New Roman"/>
                <w:b w:val="0"/>
                <w:bCs/>
                <w:sz w:val="15"/>
                <w:szCs w:val="15"/>
                <w:lang w:val="en-US" w:eastAsia="zh-CN"/>
              </w:rPr>
              <w:t>河北津华输送机械制造有限公司输送机械生产项目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黑体"/>
                <w:b w:val="0"/>
                <w:bCs/>
                <w:sz w:val="15"/>
                <w:szCs w:val="15"/>
                <w:lang w:val="en-US" w:eastAsia="zh-CN"/>
              </w:rPr>
              <w:t>沧州市盐山县盐山镇白庄村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C3311 金属结构制造</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3979572224"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31539507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123341824"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123341824;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810442752"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810442752;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新建改扩建技术改造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w:t>
            </w:r>
            <w:r>
              <w:rPr>
                <w:rFonts w:hint="eastAsia" w:ascii="Times New Roman" w:hAnsi="Times New Roman" w:cs="黑体"/>
                <w:b w:val="0"/>
                <w:bCs/>
                <w:sz w:val="15"/>
                <w:szCs w:val="15"/>
                <w:lang w:val="en-US" w:eastAsia="zh-CN"/>
              </w:rPr>
              <w:t>80吨输送机械</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w:t>
            </w:r>
            <w:r>
              <w:rPr>
                <w:rFonts w:hint="eastAsia" w:ascii="Times New Roman" w:hAnsi="Times New Roman" w:cs="黑体"/>
                <w:b w:val="0"/>
                <w:bCs/>
                <w:sz w:val="15"/>
                <w:szCs w:val="15"/>
                <w:lang w:val="en-US" w:eastAsia="zh-CN"/>
              </w:rPr>
              <w:t>80吨输送机械</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sz w:val="15"/>
                <w:szCs w:val="15"/>
                <w:lang w:val="en-US" w:eastAsia="zh-CN"/>
              </w:rPr>
              <w:t>河南金环环境影响评价有限公司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cs="Times New Roman"/>
                <w:b w:val="0"/>
                <w:bCs/>
                <w:sz w:val="15"/>
                <w:szCs w:val="15"/>
                <w:lang w:val="en-US" w:eastAsia="zh-CN"/>
              </w:rPr>
              <w:t>沧州市生态环境局盐山县分局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color w:val="auto"/>
                <w:sz w:val="15"/>
                <w:szCs w:val="15"/>
                <w:lang w:eastAsia="zh-CN"/>
              </w:rPr>
              <w:t>沧县环评[2019]</w:t>
            </w:r>
            <w:r>
              <w:rPr>
                <w:rFonts w:hint="eastAsia" w:ascii="Times New Roman" w:hAnsi="Times New Roman" w:cs="Times New Roman"/>
                <w:b w:val="0"/>
                <w:bCs/>
                <w:color w:val="auto"/>
                <w:sz w:val="15"/>
                <w:szCs w:val="15"/>
                <w:lang w:val="en-US" w:eastAsia="zh-CN"/>
              </w:rPr>
              <w:t>951</w:t>
            </w:r>
            <w:r>
              <w:rPr>
                <w:rFonts w:hint="eastAsia" w:ascii="Times New Roman" w:hAnsi="Times New Roman" w:cs="Times New Roman"/>
                <w:b w:val="0"/>
                <w:bCs/>
                <w:color w:val="auto"/>
                <w:sz w:val="15"/>
                <w:szCs w:val="15"/>
                <w:lang w:eastAsia="zh-CN"/>
              </w:rPr>
              <w:t>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河北津华输送机械制造有限公司</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宋体" w:hAnsi="宋体" w:eastAsia="宋体" w:cs="宋体"/>
                <w:sz w:val="15"/>
                <w:szCs w:val="15"/>
              </w:rPr>
              <w:t>91130925763429753U</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废水</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化学需氧量</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氨氮</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废气</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cs="Times New Roman"/>
                <w:b w:val="0"/>
                <w:bCs/>
                <w:sz w:val="15"/>
                <w:szCs w:val="15"/>
              </w:rPr>
              <w:t>二氧化硫</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烟尘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工业粉尘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氮氧化物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工业固体废物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cs="Times New Roman"/>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p>
      <w:pPr>
        <w:autoSpaceDE w:val="0"/>
        <w:autoSpaceDN w:val="0"/>
        <w:spacing w:before="0" w:after="0" w:line="240" w:lineRule="auto"/>
        <w:ind w:right="0"/>
      </w:pP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sz w:val="18"/>
        <w:szCs w:val="18"/>
      </w:rPr>
      <w:t>河北津华输送机械制造有限公司输送机械生产项目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BDF4B2E"/>
    <w:rsid w:val="0E0E70D5"/>
    <w:rsid w:val="0ECF421D"/>
    <w:rsid w:val="0F053649"/>
    <w:rsid w:val="0F143ECE"/>
    <w:rsid w:val="0F7E3710"/>
    <w:rsid w:val="0F996560"/>
    <w:rsid w:val="10440ACB"/>
    <w:rsid w:val="104D5118"/>
    <w:rsid w:val="11506FB2"/>
    <w:rsid w:val="12630E7F"/>
    <w:rsid w:val="1342171C"/>
    <w:rsid w:val="139C4038"/>
    <w:rsid w:val="13E52F94"/>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A66621"/>
    <w:rsid w:val="28BC7A5B"/>
    <w:rsid w:val="29EF18AB"/>
    <w:rsid w:val="2A7F01EB"/>
    <w:rsid w:val="2B9A5A21"/>
    <w:rsid w:val="2BA70AAF"/>
    <w:rsid w:val="2BFD0EEC"/>
    <w:rsid w:val="2C914E3F"/>
    <w:rsid w:val="2CA22636"/>
    <w:rsid w:val="2CE73E1C"/>
    <w:rsid w:val="2DEB55D6"/>
    <w:rsid w:val="2E082A95"/>
    <w:rsid w:val="2EF23990"/>
    <w:rsid w:val="2F2473F1"/>
    <w:rsid w:val="2F3A716E"/>
    <w:rsid w:val="2FD14B32"/>
    <w:rsid w:val="30895A8A"/>
    <w:rsid w:val="30AB7CA3"/>
    <w:rsid w:val="31210606"/>
    <w:rsid w:val="3225051F"/>
    <w:rsid w:val="322B6C9D"/>
    <w:rsid w:val="32793228"/>
    <w:rsid w:val="33032D3C"/>
    <w:rsid w:val="333831BB"/>
    <w:rsid w:val="33642F1E"/>
    <w:rsid w:val="33A46444"/>
    <w:rsid w:val="344F2D38"/>
    <w:rsid w:val="35923813"/>
    <w:rsid w:val="35A534DF"/>
    <w:rsid w:val="35BC1C41"/>
    <w:rsid w:val="35D71A7C"/>
    <w:rsid w:val="36851DEE"/>
    <w:rsid w:val="36F135D0"/>
    <w:rsid w:val="37954092"/>
    <w:rsid w:val="37A44B25"/>
    <w:rsid w:val="387859EC"/>
    <w:rsid w:val="3884358F"/>
    <w:rsid w:val="38BF20A9"/>
    <w:rsid w:val="39F138C5"/>
    <w:rsid w:val="3A063711"/>
    <w:rsid w:val="3B8A1DF8"/>
    <w:rsid w:val="3BB31EF2"/>
    <w:rsid w:val="3BD02128"/>
    <w:rsid w:val="3C7E652C"/>
    <w:rsid w:val="3C8E4E00"/>
    <w:rsid w:val="3CA62906"/>
    <w:rsid w:val="3DC85DFF"/>
    <w:rsid w:val="3DDB20E2"/>
    <w:rsid w:val="3E0B53AA"/>
    <w:rsid w:val="3E0D7FF2"/>
    <w:rsid w:val="3E827254"/>
    <w:rsid w:val="4111649F"/>
    <w:rsid w:val="415544D3"/>
    <w:rsid w:val="421B5153"/>
    <w:rsid w:val="421E388B"/>
    <w:rsid w:val="422C5F7B"/>
    <w:rsid w:val="4347397F"/>
    <w:rsid w:val="445F75CD"/>
    <w:rsid w:val="447A310C"/>
    <w:rsid w:val="458A0BC7"/>
    <w:rsid w:val="45D31AC8"/>
    <w:rsid w:val="45EE63E9"/>
    <w:rsid w:val="485A65CB"/>
    <w:rsid w:val="49696F4D"/>
    <w:rsid w:val="4A283569"/>
    <w:rsid w:val="4A585CB9"/>
    <w:rsid w:val="4A8D49E3"/>
    <w:rsid w:val="4AAA6ED1"/>
    <w:rsid w:val="4AAB7C45"/>
    <w:rsid w:val="4B0D2D46"/>
    <w:rsid w:val="4C1E03F9"/>
    <w:rsid w:val="4C72320F"/>
    <w:rsid w:val="4C902FFF"/>
    <w:rsid w:val="4DC537AE"/>
    <w:rsid w:val="4EAC0405"/>
    <w:rsid w:val="4F1713C5"/>
    <w:rsid w:val="4F3C6A41"/>
    <w:rsid w:val="4FE6264D"/>
    <w:rsid w:val="512E7FBA"/>
    <w:rsid w:val="517F54EC"/>
    <w:rsid w:val="51806F8B"/>
    <w:rsid w:val="53365CEE"/>
    <w:rsid w:val="54482B82"/>
    <w:rsid w:val="54511922"/>
    <w:rsid w:val="54626FB4"/>
    <w:rsid w:val="54713309"/>
    <w:rsid w:val="557A527E"/>
    <w:rsid w:val="5702376B"/>
    <w:rsid w:val="57723443"/>
    <w:rsid w:val="59EB0033"/>
    <w:rsid w:val="5B916452"/>
    <w:rsid w:val="5B982079"/>
    <w:rsid w:val="5BA01B74"/>
    <w:rsid w:val="5BA85FF5"/>
    <w:rsid w:val="5DF16C64"/>
    <w:rsid w:val="5DFF2C8C"/>
    <w:rsid w:val="5EFA4D6F"/>
    <w:rsid w:val="5F0C1043"/>
    <w:rsid w:val="5FC943AC"/>
    <w:rsid w:val="5FEC5E92"/>
    <w:rsid w:val="60524FFB"/>
    <w:rsid w:val="60D513C5"/>
    <w:rsid w:val="61903CAC"/>
    <w:rsid w:val="619F3903"/>
    <w:rsid w:val="61C22B99"/>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E06728"/>
    <w:rsid w:val="6D27087A"/>
    <w:rsid w:val="6DC30E5B"/>
    <w:rsid w:val="6F4B669E"/>
    <w:rsid w:val="6F6C06CA"/>
    <w:rsid w:val="6F79491B"/>
    <w:rsid w:val="702B2008"/>
    <w:rsid w:val="70FC22C7"/>
    <w:rsid w:val="715939E5"/>
    <w:rsid w:val="71C6608B"/>
    <w:rsid w:val="72D179BF"/>
    <w:rsid w:val="73894780"/>
    <w:rsid w:val="74231176"/>
    <w:rsid w:val="75421315"/>
    <w:rsid w:val="756B2CFD"/>
    <w:rsid w:val="75874E09"/>
    <w:rsid w:val="75EB4796"/>
    <w:rsid w:val="76257FFE"/>
    <w:rsid w:val="763A71C0"/>
    <w:rsid w:val="78610688"/>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8">
    <w:name w:val="annotation text"/>
    <w:basedOn w:val="1"/>
    <w:qFormat/>
    <w:uiPriority w:val="0"/>
    <w:pPr>
      <w:jc w:val="left"/>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basedOn w:val="1"/>
    <w:qFormat/>
    <w:uiPriority w:val="0"/>
    <w:rPr>
      <w:sz w:val="24"/>
    </w:rPr>
  </w:style>
  <w:style w:type="paragraph" w:styleId="18">
    <w:name w:val="Body Text First Indent"/>
    <w:basedOn w:val="4"/>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1"/>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basedOn w:val="1"/>
    <w:qFormat/>
    <w:uiPriority w:val="0"/>
    <w:pPr>
      <w:widowControl w:val="0"/>
      <w:spacing w:line="360" w:lineRule="auto"/>
      <w:ind w:firstLine="200" w:firstLineChars="200"/>
      <w:textAlignment w:val="auto"/>
    </w:pPr>
    <w:rPr>
      <w:color w:val="auto"/>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259</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Administrator</cp:lastModifiedBy>
  <cp:lastPrinted>2019-07-16T07:21:00Z</cp:lastPrinted>
  <dcterms:modified xsi:type="dcterms:W3CDTF">2020-05-13T09:29:36Z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