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ascii="Times New Roman" w:hAnsi="Times New Roman"/>
        </w:rPr>
      </w:pPr>
    </w:p>
    <w:p>
      <w:pPr>
        <w:jc w:val="center"/>
        <w:rPr>
          <w:rFonts w:ascii="Times New Roman" w:hAnsi="Times New Roman"/>
          <w:sz w:val="36"/>
          <w:szCs w:val="36"/>
        </w:rPr>
      </w:pPr>
      <w:bookmarkStart w:id="0" w:name="_Hlk496949272"/>
      <w:bookmarkEnd w:id="0"/>
    </w:p>
    <w:p>
      <w:pPr>
        <w:jc w:val="center"/>
        <w:rPr>
          <w:rFonts w:ascii="Times New Roman" w:hAnsi="Times New Roman"/>
          <w:sz w:val="36"/>
          <w:szCs w:val="36"/>
        </w:rPr>
      </w:pPr>
    </w:p>
    <w:p>
      <w:pPr>
        <w:jc w:val="center"/>
        <w:rPr>
          <w:rFonts w:hint="eastAsia" w:ascii="Times New Roman" w:hAnsi="Times New Roman" w:eastAsia="宋体"/>
          <w:sz w:val="36"/>
          <w:szCs w:val="36"/>
          <w:lang w:eastAsia="zh-CN"/>
        </w:rPr>
      </w:pPr>
      <w:bookmarkStart w:id="1" w:name="_Hlk496950128"/>
      <w:r>
        <w:rPr>
          <w:rFonts w:hint="eastAsia" w:ascii="Times New Roman" w:hAnsi="Times New Roman"/>
          <w:sz w:val="36"/>
          <w:szCs w:val="36"/>
          <w:lang w:eastAsia="zh-CN"/>
        </w:rPr>
        <w:t>河北商合管件制造有限公司标准件生产项目</w:t>
      </w:r>
    </w:p>
    <w:p>
      <w:pPr>
        <w:jc w:val="center"/>
        <w:rPr>
          <w:rFonts w:ascii="Times New Roman" w:hAnsi="Times New Roman"/>
          <w:sz w:val="36"/>
          <w:szCs w:val="36"/>
        </w:rPr>
      </w:pPr>
      <w:r>
        <w:rPr>
          <w:rFonts w:ascii="Times New Roman" w:hAnsi="Times New Roman"/>
          <w:sz w:val="36"/>
          <w:szCs w:val="36"/>
        </w:rPr>
        <w:t>竣工环境保护验收报告</w:t>
      </w:r>
      <w:bookmarkEnd w:id="1"/>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hint="eastAsia" w:ascii="Times New Roman" w:hAnsi="Times New Roman" w:eastAsia="宋体"/>
          <w:sz w:val="32"/>
          <w:szCs w:val="32"/>
          <w:lang w:eastAsia="zh-CN"/>
        </w:rPr>
      </w:pPr>
      <w:r>
        <w:rPr>
          <w:rFonts w:ascii="Times New Roman" w:hAnsi="Times New Roman"/>
          <w:sz w:val="32"/>
          <w:szCs w:val="32"/>
        </w:rPr>
        <w:t>建设单位：</w:t>
      </w:r>
      <w:r>
        <w:rPr>
          <w:rFonts w:hint="eastAsia" w:ascii="Times New Roman" w:hAnsi="Times New Roman"/>
          <w:sz w:val="32"/>
          <w:szCs w:val="32"/>
          <w:lang w:eastAsia="zh-CN"/>
        </w:rPr>
        <w:t>河北商合管件制造有限公司</w:t>
      </w:r>
    </w:p>
    <w:p>
      <w:pPr>
        <w:jc w:val="center"/>
        <w:rPr>
          <w:rFonts w:hint="eastAsia" w:ascii="Times New Roman" w:hAnsi="Times New Roman" w:eastAsia="宋体"/>
          <w:sz w:val="32"/>
          <w:szCs w:val="32"/>
          <w:lang w:eastAsia="zh-CN"/>
        </w:rPr>
      </w:pPr>
      <w:r>
        <w:rPr>
          <w:rFonts w:ascii="Times New Roman" w:hAnsi="Times New Roman"/>
          <w:sz w:val="32"/>
          <w:szCs w:val="32"/>
        </w:rPr>
        <w:t>编制单位：</w:t>
      </w:r>
      <w:r>
        <w:rPr>
          <w:rFonts w:hint="eastAsia" w:ascii="Times New Roman" w:hAnsi="Times New Roman"/>
          <w:sz w:val="32"/>
          <w:szCs w:val="32"/>
          <w:lang w:eastAsia="zh-CN"/>
        </w:rPr>
        <w:t>河北商合管件制造有限公司</w:t>
      </w: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2"/>
          <w:szCs w:val="32"/>
        </w:rPr>
        <w:sectPr>
          <w:headerReference r:id="rId3" w:type="default"/>
          <w:pgSz w:w="11906" w:h="16838"/>
          <w:pgMar w:top="1440" w:right="1800" w:bottom="1440" w:left="1800" w:header="851" w:footer="992" w:gutter="0"/>
          <w:cols w:space="425" w:num="1"/>
          <w:titlePg/>
          <w:docGrid w:type="lines" w:linePitch="312" w:charSpace="0"/>
        </w:sectPr>
      </w:pPr>
      <w:r>
        <w:rPr>
          <w:rFonts w:ascii="Times New Roman" w:hAnsi="Times New Roman"/>
          <w:sz w:val="32"/>
          <w:szCs w:val="32"/>
        </w:rPr>
        <w:t>20</w:t>
      </w:r>
      <w:r>
        <w:rPr>
          <w:rFonts w:hint="eastAsia" w:ascii="Times New Roman" w:hAnsi="Times New Roman"/>
          <w:sz w:val="32"/>
          <w:szCs w:val="32"/>
          <w:lang w:val="en-US" w:eastAsia="zh-CN"/>
        </w:rPr>
        <w:t>20</w:t>
      </w:r>
      <w:r>
        <w:rPr>
          <w:rFonts w:ascii="Times New Roman" w:hAnsi="Times New Roman"/>
          <w:sz w:val="32"/>
          <w:szCs w:val="32"/>
        </w:rPr>
        <w:t>年</w:t>
      </w:r>
      <w:r>
        <w:rPr>
          <w:rFonts w:hint="eastAsia" w:ascii="Times New Roman" w:hAnsi="Times New Roman"/>
          <w:sz w:val="32"/>
          <w:szCs w:val="32"/>
          <w:lang w:val="en-US" w:eastAsia="zh-CN"/>
        </w:rPr>
        <w:t>5</w:t>
      </w:r>
      <w:r>
        <w:rPr>
          <w:rFonts w:ascii="Times New Roman" w:hAnsi="Times New Roman"/>
          <w:sz w:val="32"/>
          <w:szCs w:val="32"/>
        </w:rPr>
        <w:t>月</w:t>
      </w:r>
    </w:p>
    <w:p>
      <w:pPr>
        <w:pStyle w:val="25"/>
        <w:spacing w:before="0" w:line="400" w:lineRule="exact"/>
        <w:jc w:val="center"/>
        <w:rPr>
          <w:rFonts w:ascii="Times New Roman" w:hAnsi="Times New Roman"/>
          <w:b/>
          <w:color w:val="000000"/>
        </w:rPr>
      </w:pPr>
      <w:r>
        <w:rPr>
          <w:rFonts w:ascii="Times New Roman" w:hAnsi="Times New Roman"/>
          <w:b/>
          <w:color w:val="000000"/>
          <w:lang w:val="zh-CN"/>
        </w:rPr>
        <w:t>目  录</w:t>
      </w:r>
    </w:p>
    <w:p>
      <w:pPr>
        <w:pStyle w:val="13"/>
        <w:tabs>
          <w:tab w:val="right" w:leader="dot" w:pos="8306"/>
        </w:tabs>
        <w:spacing w:line="240" w:lineRule="auto"/>
      </w:pPr>
      <w:r>
        <w:fldChar w:fldCharType="begin"/>
      </w:r>
      <w:r>
        <w:instrText xml:space="preserve">TOC \o "1-3" \h \z \u </w:instrText>
      </w:r>
      <w:r>
        <w:fldChar w:fldCharType="separate"/>
      </w:r>
      <w:r>
        <w:fldChar w:fldCharType="begin"/>
      </w:r>
      <w:r>
        <w:instrText xml:space="preserve"> HYPERLINK \l "_Toc13375" </w:instrText>
      </w:r>
      <w:r>
        <w:fldChar w:fldCharType="separate"/>
      </w:r>
      <w:r>
        <w:t>前  言</w:t>
      </w:r>
      <w:r>
        <w:rPr>
          <w:rFonts w:hint="eastAsia"/>
          <w:lang w:val="en-US" w:eastAsia="zh-CN"/>
        </w:rPr>
        <w:t xml:space="preserve"> </w:t>
      </w:r>
      <w:r>
        <w:tab/>
      </w:r>
      <w:r>
        <w:fldChar w:fldCharType="end"/>
      </w:r>
    </w:p>
    <w:p>
      <w:pPr>
        <w:pStyle w:val="13"/>
        <w:tabs>
          <w:tab w:val="right" w:leader="dot" w:pos="8306"/>
        </w:tabs>
        <w:spacing w:line="240" w:lineRule="auto"/>
      </w:pPr>
      <w:r>
        <w:fldChar w:fldCharType="begin"/>
      </w:r>
      <w:r>
        <w:instrText xml:space="preserve"> HYPERLINK \l "_Toc25774" </w:instrText>
      </w:r>
      <w:r>
        <w:fldChar w:fldCharType="separate"/>
      </w:r>
      <w:r>
        <w:t>1 验收编制依据</w:t>
      </w:r>
      <w:r>
        <w:tab/>
      </w:r>
      <w:r>
        <w:fldChar w:fldCharType="end"/>
      </w:r>
    </w:p>
    <w:p>
      <w:pPr>
        <w:pStyle w:val="15"/>
        <w:tabs>
          <w:tab w:val="right" w:leader="dot" w:pos="8306"/>
        </w:tabs>
        <w:rPr>
          <w:rFonts w:ascii="Times New Roman" w:hAnsi="Times New Roman"/>
        </w:rPr>
      </w:pPr>
      <w:r>
        <w:fldChar w:fldCharType="begin"/>
      </w:r>
      <w:r>
        <w:instrText xml:space="preserve"> HYPERLINK \l "_Toc5229" </w:instrText>
      </w:r>
      <w:r>
        <w:fldChar w:fldCharType="separate"/>
      </w:r>
      <w:r>
        <w:rPr>
          <w:rFonts w:ascii="Times New Roman" w:hAnsi="Times New Roman"/>
        </w:rPr>
        <w:t>1.1 法律、法规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_Toc5229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"_Toc19837" </w:instrText>
      </w:r>
      <w:r>
        <w:fldChar w:fldCharType="separate"/>
      </w:r>
      <w:r>
        <w:rPr>
          <w:rFonts w:ascii="Times New Roman" w:hAnsi="Times New Roman"/>
        </w:rPr>
        <w:t>1.2 验收技术规范</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_Toc19837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"_Toc26393" </w:instrText>
      </w:r>
      <w:r>
        <w:fldChar w:fldCharType="separate"/>
      </w:r>
      <w:r>
        <w:rPr>
          <w:rFonts w:ascii="Times New Roman" w:hAnsi="Times New Roman"/>
        </w:rPr>
        <w:t>1.3 工程技术文件及批复文件</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_Toc26393 </w:instrText>
      </w:r>
      <w:r>
        <w:rPr>
          <w:rFonts w:ascii="Times New Roman" w:hAnsi="Times New Roman"/>
        </w:rPr>
        <w:fldChar w:fldCharType="separate"/>
      </w:r>
      <w:r>
        <w:rPr>
          <w:rFonts w:ascii="Times New Roman" w:hAnsi="Times New Roman"/>
        </w:rPr>
        <w:t>3</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"_Toc13007" </w:instrText>
      </w:r>
      <w:r>
        <w:fldChar w:fldCharType="separate"/>
      </w:r>
      <w:r>
        <w:t>2 工程概况</w:t>
      </w:r>
      <w:r>
        <w:tab/>
      </w:r>
      <w:r>
        <w:fldChar w:fldCharType="end"/>
      </w:r>
    </w:p>
    <w:p>
      <w:pPr>
        <w:pStyle w:val="15"/>
        <w:tabs>
          <w:tab w:val="right" w:leader="dot" w:pos="8306"/>
        </w:tabs>
        <w:rPr>
          <w:rFonts w:ascii="Times New Roman" w:hAnsi="Times New Roman"/>
        </w:rPr>
      </w:pPr>
      <w:r>
        <w:fldChar w:fldCharType="begin"/>
      </w:r>
      <w:r>
        <w:instrText xml:space="preserve"> HYPERLINK \l "_Toc4417" </w:instrText>
      </w:r>
      <w:r>
        <w:fldChar w:fldCharType="separate"/>
      </w:r>
      <w:r>
        <w:rPr>
          <w:rFonts w:ascii="Times New Roman" w:hAnsi="Times New Roman"/>
        </w:rPr>
        <w:t>2.1 项目基本情况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_Toc4417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"_Toc20380" </w:instrText>
      </w:r>
      <w:r>
        <w:fldChar w:fldCharType="separate"/>
      </w:r>
      <w:r>
        <w:rPr>
          <w:rFonts w:ascii="Times New Roman" w:hAnsi="Times New Roman"/>
        </w:rPr>
        <w:t>2.1.1 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_Toc20380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"_Toc27686" </w:instrText>
      </w:r>
      <w:r>
        <w:fldChar w:fldCharType="separate"/>
      </w:r>
      <w:r>
        <w:rPr>
          <w:rFonts w:ascii="Times New Roman" w:hAnsi="Times New Roman"/>
        </w:rPr>
        <w:t>2.1.2 地理位置及周边情况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_Toc27686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"_Toc8614" </w:instrText>
      </w:r>
      <w:r>
        <w:fldChar w:fldCharType="separate"/>
      </w:r>
      <w:r>
        <w:rPr>
          <w:rFonts w:ascii="Times New Roman" w:hAnsi="Times New Roman"/>
        </w:rPr>
        <w:t>2.1.3 厂区平面布置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_Toc8614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"_Toc27136" </w:instrText>
      </w:r>
      <w:r>
        <w:fldChar w:fldCharType="separate"/>
      </w:r>
      <w:r>
        <w:rPr>
          <w:rFonts w:ascii="Times New Roman" w:hAnsi="Times New Roman"/>
        </w:rPr>
        <w:t>2.2 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_Toc27136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"_Toc30677" </w:instrText>
      </w:r>
      <w:r>
        <w:fldChar w:fldCharType="separate"/>
      </w:r>
      <w:r>
        <w:rPr>
          <w:rFonts w:ascii="Times New Roman" w:hAnsi="Times New Roman"/>
        </w:rPr>
        <w:t>2.2.1 生产规模及产品方案</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_Toc30677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"_Toc13472" </w:instrText>
      </w:r>
      <w:r>
        <w:fldChar w:fldCharType="separate"/>
      </w:r>
      <w:r>
        <w:rPr>
          <w:rFonts w:ascii="Times New Roman" w:hAnsi="Times New Roman"/>
        </w:rPr>
        <w:t>2.2.2 主要原辅材料</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_Toc13472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"_Toc2160" </w:instrText>
      </w:r>
      <w:r>
        <w:fldChar w:fldCharType="separate"/>
      </w:r>
      <w:r>
        <w:rPr>
          <w:rFonts w:ascii="Times New Roman" w:hAnsi="Times New Roman"/>
        </w:rPr>
        <w:t>2.2.3 主体设施建设内容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_Toc2160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"_Toc27810" </w:instrText>
      </w:r>
      <w:r>
        <w:fldChar w:fldCharType="separate"/>
      </w:r>
      <w:r>
        <w:rPr>
          <w:rFonts w:ascii="Times New Roman" w:hAnsi="Times New Roman"/>
        </w:rPr>
        <w:t>2.2.4 生产设备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_Toc27810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"_Toc9178" </w:instrText>
      </w:r>
      <w:r>
        <w:fldChar w:fldCharType="separate"/>
      </w:r>
      <w:r>
        <w:rPr>
          <w:rFonts w:ascii="Times New Roman" w:hAnsi="Times New Roman"/>
        </w:rPr>
        <w:t>2.3 工艺流程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_Toc9178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"_Toc2746" </w:instrText>
      </w:r>
      <w:r>
        <w:fldChar w:fldCharType="separate"/>
      </w:r>
      <w:r>
        <w:rPr>
          <w:rFonts w:ascii="Times New Roman" w:hAnsi="Times New Roman"/>
        </w:rPr>
        <w:t>2.4 劳动定员及工作制度</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_Toc2746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"_Toc18609" </w:instrText>
      </w:r>
      <w:r>
        <w:fldChar w:fldCharType="separate"/>
      </w:r>
      <w:r>
        <w:rPr>
          <w:rFonts w:ascii="Times New Roman" w:hAnsi="Times New Roman"/>
        </w:rPr>
        <w:t>2.5 公用工程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_Toc18609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"_Toc11895" </w:instrText>
      </w:r>
      <w:r>
        <w:fldChar w:fldCharType="separate"/>
      </w:r>
      <w:r>
        <w:rPr>
          <w:rFonts w:ascii="Times New Roman" w:hAnsi="Times New Roman"/>
        </w:rPr>
        <w:t>2.5.1 给排水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_Toc11895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"_Toc24223" </w:instrText>
      </w:r>
      <w:r>
        <w:fldChar w:fldCharType="separate"/>
      </w:r>
      <w:r>
        <w:rPr>
          <w:rFonts w:ascii="Times New Roman" w:hAnsi="Times New Roman"/>
        </w:rPr>
        <w:t>2.5.2 供电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_Toc24223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"_Toc2253" </w:instrText>
      </w:r>
      <w:r>
        <w:fldChar w:fldCharType="separate"/>
      </w:r>
      <w:r>
        <w:rPr>
          <w:rFonts w:ascii="Times New Roman" w:hAnsi="Times New Roman"/>
        </w:rPr>
        <w:t>2.5.3供暖</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_Toc2253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"_Toc14595" </w:instrText>
      </w:r>
      <w:r>
        <w:fldChar w:fldCharType="separate"/>
      </w:r>
      <w:r>
        <w:rPr>
          <w:rFonts w:ascii="Times New Roman" w:hAnsi="Times New Roman"/>
        </w:rPr>
        <w:t>2.6 环评审批情况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_Toc14595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"_Toc31951" </w:instrText>
      </w:r>
      <w:r>
        <w:fldChar w:fldCharType="separate"/>
      </w:r>
      <w:r>
        <w:rPr>
          <w:rFonts w:ascii="Times New Roman" w:hAnsi="Times New Roman"/>
        </w:rPr>
        <w:t>2.7 项目投资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_Toc31951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"_Toc22160" </w:instrText>
      </w:r>
      <w:r>
        <w:fldChar w:fldCharType="separate"/>
      </w:r>
      <w:r>
        <w:rPr>
          <w:rFonts w:ascii="Times New Roman" w:hAnsi="Times New Roman"/>
        </w:rPr>
        <w:t>2.8 项目变更情况说明</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_Toc22160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"_Toc18868" </w:instrText>
      </w:r>
      <w:r>
        <w:fldChar w:fldCharType="separate"/>
      </w:r>
      <w:r>
        <w:rPr>
          <w:rFonts w:ascii="Times New Roman" w:hAnsi="Times New Roman"/>
        </w:rPr>
        <w:t>2.9 环境保护“三同时”落实情况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_Toc18868 </w:instrText>
      </w:r>
      <w:r>
        <w:rPr>
          <w:rFonts w:ascii="Times New Roman" w:hAnsi="Times New Roman"/>
        </w:rPr>
        <w:fldChar w:fldCharType="separate"/>
      </w:r>
      <w:r>
        <w:rPr>
          <w:rFonts w:ascii="Times New Roman" w:hAnsi="Times New Roman"/>
        </w:rPr>
        <w:t>8</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"_Toc1554" </w:instrText>
      </w:r>
      <w:r>
        <w:fldChar w:fldCharType="separate"/>
      </w:r>
      <w:r>
        <w:rPr>
          <w:rFonts w:ascii="Times New Roman" w:hAnsi="Times New Roman"/>
        </w:rPr>
        <w:t>2.10 验收范围及内容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_Toc1554 </w:instrText>
      </w:r>
      <w:r>
        <w:rPr>
          <w:rFonts w:ascii="Times New Roman" w:hAnsi="Times New Roman"/>
        </w:rPr>
        <w:fldChar w:fldCharType="separate"/>
      </w:r>
      <w:r>
        <w:rPr>
          <w:rFonts w:ascii="Times New Roman" w:hAnsi="Times New Roman"/>
        </w:rPr>
        <w:t>9</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"_Toc2185" </w:instrText>
      </w:r>
      <w:r>
        <w:fldChar w:fldCharType="separate"/>
      </w:r>
      <w:r>
        <w:t>3 主要污染源及治理措施</w:t>
      </w:r>
      <w:r>
        <w:tab/>
      </w:r>
      <w:r>
        <w:fldChar w:fldCharType="end"/>
      </w:r>
    </w:p>
    <w:p>
      <w:pPr>
        <w:pStyle w:val="15"/>
        <w:tabs>
          <w:tab w:val="right" w:leader="dot" w:pos="8306"/>
        </w:tabs>
        <w:rPr>
          <w:rFonts w:ascii="Times New Roman" w:hAnsi="Times New Roman"/>
        </w:rPr>
      </w:pPr>
      <w:r>
        <w:fldChar w:fldCharType="begin"/>
      </w:r>
      <w:r>
        <w:instrText xml:space="preserve"> HYPERLINK \l "_Toc12186" </w:instrText>
      </w:r>
      <w:r>
        <w:fldChar w:fldCharType="separate"/>
      </w:r>
      <w:r>
        <w:rPr>
          <w:rFonts w:ascii="Times New Roman" w:hAnsi="Times New Roman"/>
        </w:rPr>
        <w:t>3.1 施工期主要污染源及治理措施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_Toc12186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"_Toc28537" </w:instrText>
      </w:r>
      <w:r>
        <w:fldChar w:fldCharType="separate"/>
      </w:r>
      <w:r>
        <w:rPr>
          <w:rFonts w:ascii="Times New Roman" w:hAnsi="Times New Roman"/>
        </w:rPr>
        <w:t>3.2 运行期主要污染源及治理措施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_Toc28537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"_Toc3932" </w:instrText>
      </w:r>
      <w:r>
        <w:fldChar w:fldCharType="separate"/>
      </w:r>
      <w:r>
        <w:rPr>
          <w:rFonts w:ascii="Times New Roman" w:hAnsi="Times New Roman"/>
        </w:rPr>
        <w:t>3.2.1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_Toc3932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"_Toc18379" </w:instrText>
      </w:r>
      <w:r>
        <w:fldChar w:fldCharType="separate"/>
      </w:r>
      <w:r>
        <w:rPr>
          <w:rFonts w:ascii="Times New Roman" w:hAnsi="Times New Roman"/>
        </w:rPr>
        <w:t>3.2.</w:t>
      </w:r>
      <w:r>
        <w:rPr>
          <w:rFonts w:hint="eastAsia" w:ascii="Times New Roman" w:hAnsi="Times New Roman"/>
        </w:rPr>
        <w:t>2</w:t>
      </w:r>
      <w:r>
        <w:rPr>
          <w:rFonts w:ascii="Times New Roman" w:hAnsi="Times New Roman"/>
        </w:rPr>
        <w:t xml:space="preserve"> 废水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_Toc18379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"_Toc32691" </w:instrText>
      </w:r>
      <w:r>
        <w:fldChar w:fldCharType="separate"/>
      </w:r>
      <w:r>
        <w:rPr>
          <w:rFonts w:ascii="Times New Roman" w:hAnsi="Times New Roman"/>
        </w:rPr>
        <w:t>3.2.</w:t>
      </w:r>
      <w:r>
        <w:rPr>
          <w:rFonts w:hint="eastAsia" w:ascii="Times New Roman" w:hAnsi="Times New Roman"/>
        </w:rPr>
        <w:t>3</w:t>
      </w:r>
      <w:r>
        <w:rPr>
          <w:rFonts w:ascii="Times New Roman" w:hAnsi="Times New Roman"/>
        </w:rPr>
        <w:t xml:space="preserve"> 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_Toc32691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"_Toc2397" </w:instrText>
      </w:r>
      <w:r>
        <w:fldChar w:fldCharType="separate"/>
      </w:r>
      <w:r>
        <w:rPr>
          <w:rFonts w:ascii="Times New Roman" w:hAnsi="Times New Roman"/>
        </w:rPr>
        <w:t>3.2.</w:t>
      </w:r>
      <w:r>
        <w:rPr>
          <w:rFonts w:hint="eastAsia" w:ascii="Times New Roman" w:hAnsi="Times New Roman"/>
        </w:rPr>
        <w:t xml:space="preserve">4 </w:t>
      </w:r>
      <w:r>
        <w:rPr>
          <w:rFonts w:ascii="Times New Roman" w:hAnsi="Times New Roman"/>
        </w:rPr>
        <w:t>固体废物</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_Toc2397 </w:instrText>
      </w:r>
      <w:r>
        <w:rPr>
          <w:rFonts w:ascii="Times New Roman" w:hAnsi="Times New Roman"/>
        </w:rPr>
        <w:fldChar w:fldCharType="separate"/>
      </w:r>
      <w:r>
        <w:rPr>
          <w:rFonts w:ascii="Times New Roman" w:hAnsi="Times New Roman"/>
        </w:rPr>
        <w:t>11</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"_Toc32061" </w:instrText>
      </w:r>
      <w:r>
        <w:fldChar w:fldCharType="separate"/>
      </w:r>
      <w:r>
        <w:t>4 环评主要结论及环评批复要求</w:t>
      </w:r>
      <w:r>
        <w:tab/>
      </w:r>
      <w:r>
        <w:fldChar w:fldCharType="end"/>
      </w:r>
    </w:p>
    <w:p>
      <w:pPr>
        <w:pStyle w:val="15"/>
        <w:tabs>
          <w:tab w:val="right" w:leader="dot" w:pos="8306"/>
        </w:tabs>
        <w:rPr>
          <w:rFonts w:ascii="Times New Roman" w:hAnsi="Times New Roman"/>
        </w:rPr>
      </w:pPr>
      <w:r>
        <w:fldChar w:fldCharType="begin"/>
      </w:r>
      <w:r>
        <w:instrText xml:space="preserve"> HYPERLINK \l "_Toc25915" </w:instrText>
      </w:r>
      <w:r>
        <w:fldChar w:fldCharType="separate"/>
      </w:r>
      <w:r>
        <w:rPr>
          <w:rFonts w:ascii="Times New Roman" w:hAnsi="Times New Roman"/>
        </w:rPr>
        <w:t>4.1 建设项目环评报告表的主要结论与建议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_Toc25915 </w:instrText>
      </w:r>
      <w:r>
        <w:rPr>
          <w:rFonts w:ascii="Times New Roman" w:hAnsi="Times New Roman"/>
        </w:rPr>
        <w:fldChar w:fldCharType="separate"/>
      </w:r>
      <w:r>
        <w:rPr>
          <w:rFonts w:ascii="Times New Roman" w:hAnsi="Times New Roman"/>
        </w:rPr>
        <w:t>12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"_Toc16482" </w:instrText>
      </w:r>
      <w:r>
        <w:fldChar w:fldCharType="separate"/>
      </w:r>
      <w:r>
        <w:rPr>
          <w:rFonts w:ascii="Times New Roman" w:hAnsi="Times New Roman"/>
        </w:rPr>
        <w:t>4.2 审批部门审批意见</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_Toc16482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"_Toc17668" </w:instrText>
      </w:r>
      <w:r>
        <w:fldChar w:fldCharType="separate"/>
      </w:r>
      <w:r>
        <w:rPr>
          <w:rFonts w:ascii="Times New Roman" w:hAnsi="Times New Roman"/>
        </w:rPr>
        <w:t>4.3 审批意见落实情况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_Toc17668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"_Toc5137" </w:instrText>
      </w:r>
      <w:r>
        <w:fldChar w:fldCharType="separate"/>
      </w:r>
      <w:r>
        <w:t>5 验收评价标准</w:t>
      </w:r>
      <w:r>
        <w:tab/>
      </w:r>
      <w:r>
        <w:fldChar w:fldCharType="end"/>
      </w:r>
    </w:p>
    <w:p>
      <w:pPr>
        <w:pStyle w:val="15"/>
        <w:tabs>
          <w:tab w:val="right" w:leader="dot" w:pos="8306"/>
        </w:tabs>
        <w:rPr>
          <w:rFonts w:ascii="Times New Roman" w:hAnsi="Times New Roman"/>
        </w:rPr>
      </w:pPr>
      <w:r>
        <w:fldChar w:fldCharType="begin"/>
      </w:r>
      <w:r>
        <w:instrText xml:space="preserve"> HYPERLINK \l "_Toc24574" </w:instrText>
      </w:r>
      <w:r>
        <w:fldChar w:fldCharType="separate"/>
      </w:r>
      <w:r>
        <w:rPr>
          <w:rFonts w:ascii="Times New Roman" w:hAnsi="Times New Roman"/>
        </w:rPr>
        <w:t>5.1 污染物排放标准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_Toc24574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"_Toc8485" </w:instrText>
      </w:r>
      <w:r>
        <w:fldChar w:fldCharType="separate"/>
      </w:r>
      <w:r>
        <w:rPr>
          <w:rFonts w:ascii="Times New Roman" w:hAnsi="Times New Roman"/>
        </w:rPr>
        <w:t>5.1.1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_Toc8485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"_Toc5747" </w:instrText>
      </w:r>
      <w:r>
        <w:fldChar w:fldCharType="separate"/>
      </w:r>
      <w:r>
        <w:rPr>
          <w:rFonts w:ascii="Times New Roman" w:hAnsi="Times New Roman"/>
        </w:rPr>
        <w:t>5.1.2噪声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_Toc5747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"_Toc18932" </w:instrText>
      </w:r>
      <w:r>
        <w:fldChar w:fldCharType="separate"/>
      </w:r>
      <w:r>
        <w:rPr>
          <w:rFonts w:hint="eastAsia" w:ascii="Times New Roman" w:hAnsi="Times New Roman"/>
        </w:rPr>
        <w:t>5.2</w:t>
      </w:r>
      <w:r>
        <w:rPr>
          <w:rFonts w:ascii="Times New Roman" w:hAnsi="Times New Roman"/>
        </w:rPr>
        <w:t xml:space="preserve"> </w:t>
      </w:r>
      <w:r>
        <w:rPr>
          <w:rFonts w:hint="eastAsia" w:ascii="Times New Roman" w:hAnsi="Times New Roman"/>
        </w:rPr>
        <w:t>总量控制指标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_Toc18932 </w:instrText>
      </w:r>
      <w:r>
        <w:rPr>
          <w:rFonts w:ascii="Times New Roman" w:hAnsi="Times New Roman"/>
        </w:rPr>
        <w:fldChar w:fldCharType="separate"/>
      </w:r>
      <w:r>
        <w:rPr>
          <w:rFonts w:ascii="Times New Roman" w:hAnsi="Times New Roman"/>
        </w:rPr>
        <w:t>17</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"_Toc23350" </w:instrText>
      </w:r>
      <w:r>
        <w:fldChar w:fldCharType="separate"/>
      </w:r>
      <w:r>
        <w:t>6 质量保障措施和检测分析方法</w:t>
      </w:r>
      <w:r>
        <w:tab/>
      </w:r>
      <w:r>
        <w:fldChar w:fldCharType="end"/>
      </w:r>
    </w:p>
    <w:p>
      <w:pPr>
        <w:pStyle w:val="15"/>
        <w:tabs>
          <w:tab w:val="right" w:leader="dot" w:pos="8306"/>
        </w:tabs>
        <w:rPr>
          <w:rFonts w:ascii="Times New Roman" w:hAnsi="Times New Roman"/>
        </w:rPr>
      </w:pPr>
      <w:r>
        <w:fldChar w:fldCharType="begin"/>
      </w:r>
      <w:r>
        <w:instrText xml:space="preserve"> HYPERLINK \l "_Toc18061" </w:instrText>
      </w:r>
      <w:r>
        <w:fldChar w:fldCharType="separate"/>
      </w:r>
      <w:r>
        <w:rPr>
          <w:rFonts w:ascii="Times New Roman" w:hAnsi="Times New Roman"/>
        </w:rPr>
        <w:t>6.1 质量保障体系</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_Toc18061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"_Toc32733" </w:instrText>
      </w:r>
      <w:r>
        <w:fldChar w:fldCharType="separate"/>
      </w:r>
      <w:r>
        <w:rPr>
          <w:rFonts w:ascii="Times New Roman" w:hAnsi="Times New Roman"/>
        </w:rPr>
        <w:t>6.2 检测分析方法</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_Toc32733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"_Toc2862" </w:instrText>
      </w:r>
      <w:r>
        <w:fldChar w:fldCharType="separate"/>
      </w:r>
      <w:r>
        <w:t>7 验收检测结果及分析</w:t>
      </w:r>
      <w:r>
        <w:tab/>
      </w:r>
      <w:r>
        <w:fldChar w:fldCharType="end"/>
      </w:r>
    </w:p>
    <w:p>
      <w:pPr>
        <w:pStyle w:val="15"/>
        <w:tabs>
          <w:tab w:val="right" w:leader="dot" w:pos="8306"/>
        </w:tabs>
        <w:rPr>
          <w:rFonts w:ascii="Times New Roman" w:hAnsi="Times New Roman"/>
        </w:rPr>
      </w:pPr>
      <w:r>
        <w:fldChar w:fldCharType="begin"/>
      </w:r>
      <w:r>
        <w:instrText xml:space="preserve"> HYPERLINK \l "_Toc20500" </w:instrText>
      </w:r>
      <w:r>
        <w:fldChar w:fldCharType="separate"/>
      </w:r>
      <w:r>
        <w:rPr>
          <w:rFonts w:ascii="Times New Roman" w:hAnsi="Times New Roman"/>
        </w:rPr>
        <w:t>7.1 检测结果</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_Toc20500 </w:instrText>
      </w:r>
      <w:r>
        <w:rPr>
          <w:rFonts w:ascii="Times New Roman" w:hAnsi="Times New Roman"/>
        </w:rPr>
        <w:fldChar w:fldCharType="separate"/>
      </w:r>
      <w:r>
        <w:rPr>
          <w:rFonts w:ascii="Times New Roman" w:hAnsi="Times New Roman"/>
        </w:rPr>
        <w:t>21</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"_Toc5375" </w:instrText>
      </w:r>
      <w:r>
        <w:fldChar w:fldCharType="separate"/>
      </w:r>
      <w:r>
        <w:rPr>
          <w:rFonts w:ascii="Times New Roman" w:hAnsi="Times New Roman"/>
        </w:rPr>
        <w:t>7.2 检测结果分析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_Toc5375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"_Toc2782" </w:instrText>
      </w:r>
      <w:r>
        <w:fldChar w:fldCharType="separate"/>
      </w:r>
      <w:r>
        <w:rPr>
          <w:rFonts w:ascii="Times New Roman" w:hAnsi="Times New Roman"/>
        </w:rPr>
        <w:t>7.3 总量控制要求</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_Toc2782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"_Toc5202" </w:instrText>
      </w:r>
      <w:r>
        <w:fldChar w:fldCharType="separate"/>
      </w:r>
      <w:r>
        <w:t>8 环境管理检查</w:t>
      </w:r>
      <w:r>
        <w:tab/>
      </w:r>
      <w:r>
        <w:fldChar w:fldCharType="end"/>
      </w:r>
    </w:p>
    <w:p>
      <w:pPr>
        <w:pStyle w:val="15"/>
        <w:tabs>
          <w:tab w:val="right" w:leader="dot" w:pos="8306"/>
        </w:tabs>
        <w:rPr>
          <w:rFonts w:ascii="Times New Roman" w:hAnsi="Times New Roman"/>
        </w:rPr>
      </w:pPr>
      <w:r>
        <w:fldChar w:fldCharType="begin"/>
      </w:r>
      <w:r>
        <w:instrText xml:space="preserve"> HYPERLINK \l "_Toc32093" </w:instrText>
      </w:r>
      <w:r>
        <w:fldChar w:fldCharType="separate"/>
      </w:r>
      <w:r>
        <w:rPr>
          <w:rFonts w:ascii="Times New Roman" w:hAnsi="Times New Roman"/>
        </w:rPr>
        <w:t>8.1 环保管理机构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_Toc32093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"_Toc29686" </w:instrText>
      </w:r>
      <w:r>
        <w:fldChar w:fldCharType="separate"/>
      </w:r>
      <w:r>
        <w:rPr>
          <w:rFonts w:ascii="Times New Roman" w:hAnsi="Times New Roman"/>
        </w:rPr>
        <w:t>8.2 施工期环境管理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_Toc29686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"_Toc30001" </w:instrText>
      </w:r>
      <w:r>
        <w:fldChar w:fldCharType="separate"/>
      </w:r>
      <w:r>
        <w:rPr>
          <w:rFonts w:ascii="Times New Roman" w:hAnsi="Times New Roman"/>
        </w:rPr>
        <w:t>8.3 运行期环境管理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_Toc30001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"_Toc5087" </w:instrText>
      </w:r>
      <w:r>
        <w:fldChar w:fldCharType="separate"/>
      </w:r>
      <w:r>
        <w:rPr>
          <w:rFonts w:ascii="Times New Roman" w:hAnsi="Times New Roman"/>
        </w:rPr>
        <w:t>8.4 社会环境影响情况调查</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_Toc5087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"_Toc7270" </w:instrText>
      </w:r>
      <w:r>
        <w:fldChar w:fldCharType="separate"/>
      </w:r>
      <w:r>
        <w:rPr>
          <w:rFonts w:ascii="Times New Roman" w:hAnsi="Times New Roman"/>
        </w:rPr>
        <w:t>8.5 环境管理情况分析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_Toc7270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"_Toc12811" </w:instrText>
      </w:r>
      <w:r>
        <w:fldChar w:fldCharType="separate"/>
      </w:r>
      <w:r>
        <w:t>9 结论和建议</w:t>
      </w:r>
      <w:r>
        <w:tab/>
      </w:r>
      <w:r>
        <w:fldChar w:fldCharType="end"/>
      </w:r>
    </w:p>
    <w:p>
      <w:pPr>
        <w:pStyle w:val="15"/>
        <w:tabs>
          <w:tab w:val="right" w:leader="dot" w:pos="8306"/>
        </w:tabs>
        <w:rPr>
          <w:rFonts w:ascii="Times New Roman" w:hAnsi="Times New Roman"/>
        </w:rPr>
      </w:pPr>
      <w:r>
        <w:fldChar w:fldCharType="begin"/>
      </w:r>
      <w:r>
        <w:instrText xml:space="preserve"> HYPERLINK \l "_Toc3234" </w:instrText>
      </w:r>
      <w:r>
        <w:fldChar w:fldCharType="separate"/>
      </w:r>
      <w:r>
        <w:rPr>
          <w:rFonts w:ascii="Times New Roman" w:hAnsi="Times New Roman"/>
        </w:rPr>
        <w:t>9.1 验收主要结论</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_Toc3234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"_Toc18401" </w:instrText>
      </w:r>
      <w:r>
        <w:fldChar w:fldCharType="separate"/>
      </w:r>
      <w:r>
        <w:rPr>
          <w:rFonts w:ascii="Times New Roman" w:hAnsi="Times New Roman"/>
        </w:rPr>
        <w:t>9.2 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_Toc18401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5"/>
        <w:tabs>
          <w:tab w:val="right" w:leader="hyphen" w:pos="8296"/>
        </w:tabs>
        <w:spacing w:before="312" w:beforeLines="100" w:line="400" w:lineRule="exact"/>
        <w:ind w:left="0" w:leftChars="0"/>
        <w:jc w:val="left"/>
        <w:rPr>
          <w:rFonts w:ascii="Times New Roman" w:hAnsi="Times New Roman"/>
          <w:b/>
          <w:sz w:val="30"/>
          <w:szCs w:val="30"/>
        </w:rPr>
      </w:pPr>
      <w:r>
        <w:rPr>
          <w:rFonts w:ascii="Times New Roman" w:hAnsi="Times New Roman"/>
        </w:rPr>
        <w:fldChar w:fldCharType="end"/>
      </w:r>
      <w:r>
        <w:rPr>
          <w:rFonts w:ascii="Times New Roman" w:hAnsi="Times New Roman"/>
          <w:b/>
          <w:sz w:val="30"/>
          <w:szCs w:val="30"/>
        </w:rPr>
        <w:t>附图</w:t>
      </w:r>
    </w:p>
    <w:p>
      <w:pPr>
        <w:spacing w:line="480" w:lineRule="atLeast"/>
        <w:rPr>
          <w:rFonts w:ascii="Times New Roman" w:hAnsi="Times New Roman"/>
          <w:sz w:val="24"/>
          <w:szCs w:val="24"/>
        </w:rPr>
      </w:pPr>
      <w:r>
        <w:rPr>
          <w:rFonts w:ascii="Times New Roman" w:hAnsi="Times New Roman"/>
          <w:sz w:val="24"/>
          <w:szCs w:val="24"/>
        </w:rPr>
        <w:t>1、项目地理位置图</w:t>
      </w:r>
    </w:p>
    <w:p>
      <w:pPr>
        <w:spacing w:line="480" w:lineRule="atLeast"/>
        <w:rPr>
          <w:rFonts w:ascii="Times New Roman" w:hAnsi="Times New Roman"/>
          <w:sz w:val="24"/>
          <w:szCs w:val="24"/>
        </w:rPr>
      </w:pPr>
      <w:r>
        <w:rPr>
          <w:rFonts w:hint="eastAsia" w:ascii="Times New Roman" w:hAnsi="Times New Roman"/>
          <w:sz w:val="24"/>
          <w:szCs w:val="24"/>
        </w:rPr>
        <w:t>2</w:t>
      </w:r>
      <w:r>
        <w:rPr>
          <w:rFonts w:ascii="Times New Roman" w:hAnsi="Times New Roman"/>
          <w:sz w:val="24"/>
          <w:szCs w:val="24"/>
        </w:rPr>
        <w:t>、</w:t>
      </w:r>
      <w:r>
        <w:rPr>
          <w:rFonts w:hint="eastAsia" w:ascii="Times New Roman" w:hAnsi="Times New Roman"/>
          <w:sz w:val="24"/>
          <w:szCs w:val="24"/>
        </w:rPr>
        <w:t>企业周边关系图</w:t>
      </w:r>
    </w:p>
    <w:p>
      <w:pPr>
        <w:spacing w:line="480" w:lineRule="atLeast"/>
        <w:rPr>
          <w:rFonts w:ascii="Times New Roman" w:hAnsi="Times New Roman"/>
          <w:sz w:val="24"/>
          <w:szCs w:val="24"/>
        </w:rPr>
      </w:pPr>
      <w:r>
        <w:rPr>
          <w:rFonts w:hint="eastAsia" w:ascii="Times New Roman" w:hAnsi="Times New Roman"/>
          <w:sz w:val="24"/>
          <w:szCs w:val="24"/>
        </w:rPr>
        <w:t>3</w:t>
      </w:r>
      <w:r>
        <w:rPr>
          <w:rFonts w:ascii="Times New Roman" w:hAnsi="Times New Roman"/>
          <w:sz w:val="24"/>
          <w:szCs w:val="24"/>
        </w:rPr>
        <w:t>、项目平面布置图</w:t>
      </w:r>
    </w:p>
    <w:p>
      <w:pPr>
        <w:spacing w:line="480" w:lineRule="atLeast"/>
        <w:rPr>
          <w:rFonts w:ascii="Times New Roman" w:hAnsi="Times New Roman"/>
          <w:sz w:val="24"/>
          <w:szCs w:val="24"/>
        </w:rPr>
      </w:pPr>
    </w:p>
    <w:p>
      <w:pPr>
        <w:pStyle w:val="17"/>
      </w:pPr>
    </w:p>
    <w:p>
      <w:pPr>
        <w:spacing w:before="312" w:beforeLines="100" w:line="480" w:lineRule="atLeast"/>
        <w:jc w:val="left"/>
        <w:rPr>
          <w:rFonts w:ascii="Times New Roman" w:hAnsi="Times New Roman"/>
          <w:b/>
          <w:sz w:val="30"/>
          <w:szCs w:val="30"/>
        </w:rPr>
      </w:pPr>
      <w:r>
        <w:rPr>
          <w:rFonts w:ascii="Times New Roman" w:hAnsi="Times New Roman"/>
          <w:b/>
          <w:sz w:val="30"/>
          <w:szCs w:val="30"/>
        </w:rPr>
        <w:t>附件</w:t>
      </w:r>
    </w:p>
    <w:p>
      <w:pPr>
        <w:spacing w:line="480" w:lineRule="atLeast"/>
        <w:rPr>
          <w:rFonts w:ascii="Times New Roman" w:hAnsi="Times New Roman"/>
          <w:sz w:val="24"/>
          <w:szCs w:val="24"/>
        </w:rPr>
      </w:pPr>
      <w:r>
        <w:rPr>
          <w:rFonts w:ascii="Times New Roman" w:hAnsi="Times New Roman"/>
          <w:sz w:val="24"/>
          <w:szCs w:val="24"/>
        </w:rPr>
        <w:t>1、环评审批意见</w:t>
      </w:r>
    </w:p>
    <w:p>
      <w:pPr>
        <w:spacing w:line="480" w:lineRule="atLeast"/>
        <w:rPr>
          <w:rFonts w:ascii="Times New Roman" w:hAnsi="Times New Roman"/>
          <w:sz w:val="24"/>
          <w:szCs w:val="24"/>
        </w:rPr>
      </w:pPr>
      <w:r>
        <w:rPr>
          <w:rFonts w:ascii="Times New Roman" w:hAnsi="Times New Roman"/>
          <w:sz w:val="24"/>
          <w:szCs w:val="24"/>
        </w:rPr>
        <w:t>2、营业执照</w:t>
      </w:r>
    </w:p>
    <w:p>
      <w:pPr>
        <w:spacing w:line="480" w:lineRule="atLeast"/>
        <w:rPr>
          <w:rFonts w:ascii="Times New Roman" w:hAnsi="Times New Roman"/>
          <w:sz w:val="24"/>
          <w:szCs w:val="24"/>
        </w:rPr>
      </w:pPr>
      <w:r>
        <w:rPr>
          <w:rFonts w:hint="eastAsia" w:ascii="Times New Roman" w:hAnsi="Times New Roman"/>
          <w:sz w:val="24"/>
          <w:szCs w:val="24"/>
        </w:rPr>
        <w:t>3、监测报告</w:t>
      </w:r>
    </w:p>
    <w:p>
      <w:pPr>
        <w:spacing w:line="480" w:lineRule="atLeast"/>
        <w:rPr>
          <w:rFonts w:ascii="Times New Roman" w:hAnsi="Times New Roman"/>
          <w:sz w:val="24"/>
          <w:szCs w:val="24"/>
        </w:rPr>
      </w:pPr>
    </w:p>
    <w:p>
      <w:pPr>
        <w:spacing w:line="480" w:lineRule="atLeast"/>
        <w:rPr>
          <w:rFonts w:ascii="Times New Roman" w:hAnsi="Times New Roman"/>
          <w:sz w:val="24"/>
          <w:szCs w:val="24"/>
          <w:highlight w:val="red"/>
        </w:rPr>
      </w:pPr>
    </w:p>
    <w:p>
      <w:pPr>
        <w:spacing w:line="480" w:lineRule="atLeast"/>
        <w:rPr>
          <w:rFonts w:ascii="Times New Roman" w:hAnsi="Times New Roman"/>
          <w:sz w:val="24"/>
          <w:szCs w:val="24"/>
          <w:highlight w:val="red"/>
        </w:rPr>
        <w:sectPr>
          <w:headerReference r:id="rId5" w:type="first"/>
          <w:footerReference r:id="rId7" w:type="first"/>
          <w:headerReference r:id="rId4" w:type="default"/>
          <w:footerReference r:id="rId6" w:type="default"/>
          <w:pgSz w:w="11906" w:h="16838"/>
          <w:pgMar w:top="1440" w:right="1800" w:bottom="1440" w:left="1800" w:header="851" w:footer="992" w:gutter="0"/>
          <w:pgNumType w:start="1"/>
          <w:cols w:space="425" w:num="1"/>
          <w:titlePg/>
          <w:docGrid w:type="lines" w:linePitch="312" w:charSpace="0"/>
        </w:sectPr>
      </w:pPr>
    </w:p>
    <w:p>
      <w:pPr>
        <w:pStyle w:val="5"/>
        <w:jc w:val="center"/>
        <w:rPr>
          <w:rFonts w:ascii="Times New Roman" w:hAnsi="Times New Roman"/>
        </w:rPr>
      </w:pPr>
      <w:bookmarkStart w:id="2" w:name="_Toc13375"/>
      <w:bookmarkStart w:id="3" w:name="_Toc9675"/>
      <w:bookmarkStart w:id="4" w:name="_Toc10004"/>
      <w:bookmarkStart w:id="5" w:name="_Toc20373"/>
      <w:r>
        <w:rPr>
          <w:rFonts w:ascii="Times New Roman" w:hAnsi="Times New Roman"/>
        </w:rPr>
        <w:t>前  言</w:t>
      </w:r>
      <w:bookmarkEnd w:id="2"/>
      <w:bookmarkEnd w:id="3"/>
      <w:bookmarkEnd w:id="4"/>
      <w:bookmarkEnd w:id="5"/>
    </w:p>
    <w:p>
      <w:pPr>
        <w:spacing w:line="360" w:lineRule="auto"/>
        <w:ind w:firstLine="480" w:firstLineChars="200"/>
        <w:rPr>
          <w:rFonts w:ascii="Times New Roman" w:hAnsi="Times New Roman"/>
          <w:sz w:val="24"/>
          <w:szCs w:val="24"/>
        </w:rPr>
      </w:pPr>
      <w:r>
        <w:rPr>
          <w:rFonts w:hint="eastAsia" w:ascii="Times New Roman" w:hAnsi="Times New Roman"/>
          <w:sz w:val="24"/>
          <w:szCs w:val="24"/>
          <w:lang w:eastAsia="zh-CN"/>
        </w:rPr>
        <w:t>河北商合管件制造有限公司</w:t>
      </w:r>
      <w:r>
        <w:rPr>
          <w:rFonts w:hint="eastAsia" w:ascii="Times New Roman" w:hAnsi="Times New Roman"/>
          <w:sz w:val="24"/>
          <w:szCs w:val="24"/>
        </w:rPr>
        <w:t>位于</w:t>
      </w:r>
      <w:r>
        <w:rPr>
          <w:rFonts w:hint="eastAsia" w:ascii="Times New Roman" w:hAnsi="Times New Roman"/>
          <w:sz w:val="24"/>
          <w:szCs w:val="24"/>
          <w:lang w:eastAsia="zh-CN"/>
        </w:rPr>
        <w:t>盐山盐山镇范庄村</w:t>
      </w:r>
      <w:r>
        <w:rPr>
          <w:rFonts w:hint="eastAsia" w:ascii="Times New Roman" w:hAnsi="Times New Roman"/>
          <w:sz w:val="24"/>
          <w:szCs w:val="24"/>
        </w:rPr>
        <w:t>，企业投资30万元建设</w:t>
      </w:r>
      <w:r>
        <w:rPr>
          <w:rFonts w:hint="eastAsia" w:ascii="Times New Roman" w:hAnsi="Times New Roman"/>
          <w:sz w:val="24"/>
          <w:szCs w:val="24"/>
          <w:lang w:eastAsia="zh-CN"/>
        </w:rPr>
        <w:t>木材加工项目</w:t>
      </w:r>
      <w:r>
        <w:rPr>
          <w:rFonts w:hint="eastAsia" w:ascii="Times New Roman" w:hAnsi="Times New Roman"/>
          <w:sz w:val="24"/>
          <w:szCs w:val="24"/>
        </w:rPr>
        <w:t>，</w:t>
      </w:r>
      <w:r>
        <w:rPr>
          <w:rFonts w:hint="eastAsia" w:ascii="Times New Roman" w:hAnsi="Times New Roman"/>
          <w:sz w:val="24"/>
          <w:szCs w:val="24"/>
          <w:lang w:eastAsia="zh-CN"/>
        </w:rPr>
        <w:t>河北商合管件制造有限公司</w:t>
      </w:r>
      <w:r>
        <w:rPr>
          <w:rFonts w:hint="eastAsia" w:ascii="Times New Roman" w:hAnsi="Times New Roman"/>
          <w:sz w:val="24"/>
          <w:szCs w:val="24"/>
        </w:rPr>
        <w:t>于2019年9月委托</w:t>
      </w:r>
      <w:r>
        <w:rPr>
          <w:rFonts w:hint="eastAsia" w:ascii="Times New Roman" w:hAnsi="Times New Roman"/>
          <w:sz w:val="24"/>
          <w:szCs w:val="24"/>
          <w:lang w:val="en-US" w:eastAsia="zh-CN"/>
        </w:rPr>
        <w:t>湖北黄环环保科技有限公司</w:t>
      </w:r>
      <w:r>
        <w:rPr>
          <w:rFonts w:hint="eastAsia" w:ascii="Times New Roman" w:hAnsi="Times New Roman"/>
          <w:sz w:val="24"/>
          <w:szCs w:val="24"/>
        </w:rPr>
        <w:t>编制完成了《</w:t>
      </w:r>
      <w:r>
        <w:rPr>
          <w:rFonts w:hint="eastAsia" w:ascii="Times New Roman" w:hAnsi="Times New Roman"/>
          <w:sz w:val="24"/>
          <w:szCs w:val="24"/>
          <w:lang w:eastAsia="zh-CN"/>
        </w:rPr>
        <w:t>河北商合管件制造有限公司标准件生产项目</w:t>
      </w:r>
      <w:r>
        <w:rPr>
          <w:rFonts w:hint="eastAsia" w:ascii="Times New Roman" w:hAnsi="Times New Roman"/>
          <w:sz w:val="24"/>
          <w:szCs w:val="24"/>
        </w:rPr>
        <w:t>环境影响报告表》</w:t>
      </w:r>
      <w:r>
        <w:rPr>
          <w:rFonts w:hint="eastAsia" w:ascii="Times New Roman" w:hAnsi="Times New Roman"/>
          <w:color w:val="FF0000"/>
          <w:sz w:val="24"/>
          <w:szCs w:val="24"/>
        </w:rPr>
        <w:t>，于2019年</w:t>
      </w:r>
      <w:r>
        <w:rPr>
          <w:rFonts w:hint="eastAsia" w:ascii="Times New Roman" w:hAnsi="Times New Roman"/>
          <w:color w:val="FF0000"/>
          <w:sz w:val="24"/>
          <w:szCs w:val="24"/>
          <w:lang w:val="en-US" w:eastAsia="zh-CN"/>
        </w:rPr>
        <w:t>12</w:t>
      </w:r>
      <w:r>
        <w:rPr>
          <w:rFonts w:hint="eastAsia" w:ascii="Times New Roman" w:hAnsi="Times New Roman"/>
          <w:color w:val="FF0000"/>
          <w:sz w:val="24"/>
          <w:szCs w:val="24"/>
        </w:rPr>
        <w:t>月</w:t>
      </w:r>
      <w:r>
        <w:rPr>
          <w:rFonts w:hint="eastAsia" w:ascii="Times New Roman" w:hAnsi="Times New Roman"/>
          <w:color w:val="FF0000"/>
          <w:sz w:val="24"/>
          <w:szCs w:val="24"/>
          <w:lang w:val="en-US" w:eastAsia="zh-CN"/>
        </w:rPr>
        <w:t>26</w:t>
      </w:r>
      <w:r>
        <w:rPr>
          <w:rFonts w:hint="eastAsia" w:ascii="Times New Roman" w:hAnsi="Times New Roman"/>
          <w:color w:val="FF0000"/>
          <w:sz w:val="24"/>
          <w:szCs w:val="24"/>
        </w:rPr>
        <w:t>日取得了</w:t>
      </w:r>
      <w:r>
        <w:rPr>
          <w:rFonts w:hint="eastAsia" w:ascii="Times New Roman" w:hAnsi="Times New Roman"/>
          <w:color w:val="FF0000"/>
          <w:sz w:val="24"/>
          <w:szCs w:val="24"/>
          <w:lang w:eastAsia="zh-CN"/>
        </w:rPr>
        <w:t>沧州市生态环境局盐山分局</w:t>
      </w:r>
      <w:r>
        <w:rPr>
          <w:rFonts w:hint="eastAsia" w:ascii="Times New Roman" w:hAnsi="Times New Roman"/>
          <w:color w:val="FF0000"/>
          <w:sz w:val="24"/>
          <w:szCs w:val="24"/>
        </w:rPr>
        <w:t>的批复，审批文号为沧县环评[2019]</w:t>
      </w:r>
      <w:r>
        <w:rPr>
          <w:rFonts w:hint="eastAsia" w:ascii="Times New Roman" w:hAnsi="Times New Roman"/>
          <w:color w:val="FF0000"/>
          <w:sz w:val="24"/>
          <w:szCs w:val="24"/>
          <w:lang w:val="en-US" w:eastAsia="zh-CN"/>
        </w:rPr>
        <w:t>895</w:t>
      </w:r>
      <w:r>
        <w:rPr>
          <w:rFonts w:hint="eastAsia" w:ascii="Times New Roman" w:hAnsi="Times New Roman"/>
          <w:color w:val="FF0000"/>
          <w:sz w:val="24"/>
          <w:szCs w:val="24"/>
        </w:rPr>
        <w:t>号</w:t>
      </w:r>
      <w:r>
        <w:rPr>
          <w:rFonts w:hint="eastAsia" w:ascii="Times New Roman" w:hAnsi="Times New Roman"/>
          <w:color w:val="FF0000"/>
          <w:sz w:val="24"/>
          <w:szCs w:val="24"/>
          <w:lang w:eastAsia="zh-CN"/>
        </w:rPr>
        <w:t>，</w:t>
      </w:r>
      <w:r>
        <w:rPr>
          <w:rFonts w:hint="eastAsia" w:ascii="Times New Roman" w:hAnsi="Times New Roman"/>
          <w:sz w:val="24"/>
          <w:szCs w:val="24"/>
          <w:lang w:val="en-US" w:eastAsia="zh-CN"/>
        </w:rPr>
        <w:t>并于2020年4月2日申请办理了排污许可登记，登记编号为91130925MA07WK8L55001W</w:t>
      </w:r>
      <w:r>
        <w:rPr>
          <w:rFonts w:hint="eastAsia" w:ascii="Times New Roman" w:hAnsi="Times New Roman"/>
          <w:sz w:val="24"/>
          <w:szCs w:val="24"/>
        </w:rPr>
        <w:t>。</w:t>
      </w:r>
    </w:p>
    <w:p>
      <w:pPr>
        <w:spacing w:line="360" w:lineRule="auto"/>
        <w:ind w:firstLine="480" w:firstLineChars="200"/>
        <w:rPr>
          <w:rFonts w:ascii="Times New Roman" w:hAnsi="Times New Roman"/>
          <w:color w:val="000000" w:themeColor="text1"/>
          <w:sz w:val="24"/>
          <w:szCs w:val="24"/>
          <w14:textFill>
            <w14:solidFill>
              <w14:schemeClr w14:val="tx1"/>
            </w14:solidFill>
          </w14:textFill>
        </w:rPr>
      </w:pPr>
      <w:r>
        <w:rPr>
          <w:rFonts w:hint="eastAsia" w:ascii="Times New Roman" w:hAnsi="Times New Roman"/>
          <w:color w:val="000000" w:themeColor="text1"/>
          <w:sz w:val="24"/>
          <w:szCs w:val="24"/>
          <w14:textFill>
            <w14:solidFill>
              <w14:schemeClr w14:val="tx1"/>
            </w14:solidFill>
          </w14:textFill>
        </w:rPr>
        <w:t>20</w:t>
      </w:r>
      <w:r>
        <w:rPr>
          <w:rFonts w:hint="eastAsia" w:ascii="Times New Roman" w:hAnsi="Times New Roman"/>
          <w:color w:val="000000" w:themeColor="text1"/>
          <w:sz w:val="24"/>
          <w:szCs w:val="24"/>
          <w:lang w:val="en-US" w:eastAsia="zh-CN"/>
          <w14:textFill>
            <w14:solidFill>
              <w14:schemeClr w14:val="tx1"/>
            </w14:solidFill>
          </w14:textFill>
        </w:rPr>
        <w:t>20</w:t>
      </w:r>
      <w:r>
        <w:rPr>
          <w:rFonts w:hint="eastAsia" w:ascii="Times New Roman" w:hAnsi="Times New Roman"/>
          <w:color w:val="000000" w:themeColor="text1"/>
          <w:sz w:val="24"/>
          <w:szCs w:val="24"/>
          <w14:textFill>
            <w14:solidFill>
              <w14:schemeClr w14:val="tx1"/>
            </w14:solidFill>
          </w14:textFill>
        </w:rPr>
        <w:t>年</w:t>
      </w:r>
      <w:r>
        <w:rPr>
          <w:rFonts w:hint="eastAsia" w:ascii="Times New Roman" w:hAnsi="Times New Roman"/>
          <w:color w:val="000000" w:themeColor="text1"/>
          <w:sz w:val="24"/>
          <w:szCs w:val="24"/>
          <w:lang w:val="en-US" w:eastAsia="zh-CN"/>
          <w14:textFill>
            <w14:solidFill>
              <w14:schemeClr w14:val="tx1"/>
            </w14:solidFill>
          </w14:textFill>
        </w:rPr>
        <w:t>5</w:t>
      </w:r>
      <w:r>
        <w:rPr>
          <w:rFonts w:hint="eastAsia" w:ascii="Times New Roman" w:hAnsi="Times New Roman"/>
          <w:color w:val="000000" w:themeColor="text1"/>
          <w:sz w:val="24"/>
          <w:szCs w:val="24"/>
          <w14:textFill>
            <w14:solidFill>
              <w14:schemeClr w14:val="tx1"/>
            </w14:solidFill>
          </w14:textFill>
        </w:rPr>
        <w:t>月，</w:t>
      </w:r>
      <w:r>
        <w:rPr>
          <w:rFonts w:hint="eastAsia" w:ascii="Times New Roman" w:hAnsi="Times New Roman"/>
          <w:color w:val="000000" w:themeColor="text1"/>
          <w:sz w:val="24"/>
          <w:szCs w:val="24"/>
          <w:lang w:eastAsia="zh-CN"/>
          <w14:textFill>
            <w14:solidFill>
              <w14:schemeClr w14:val="tx1"/>
            </w14:solidFill>
          </w14:textFill>
        </w:rPr>
        <w:t>河北商合管件制造有限公司</w:t>
      </w:r>
      <w:r>
        <w:rPr>
          <w:rFonts w:hint="eastAsia" w:ascii="Times New Roman" w:hAnsi="Times New Roman"/>
          <w:color w:val="000000" w:themeColor="text1"/>
          <w:sz w:val="24"/>
          <w:szCs w:val="24"/>
          <w14:textFill>
            <w14:solidFill>
              <w14:schemeClr w14:val="tx1"/>
            </w14:solidFill>
          </w14:textFill>
        </w:rPr>
        <w:t>参照环保部《建设项目竣工环境保护验收暂行办法》（国环规环评〔2017〕4号）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color w:val="000000" w:themeColor="text1"/>
          <w:sz w:val="24"/>
          <w:szCs w:val="24"/>
          <w:lang w:eastAsia="zh-CN"/>
          <w14:textFill>
            <w14:solidFill>
              <w14:schemeClr w14:val="tx1"/>
            </w14:solidFill>
          </w14:textFill>
        </w:rPr>
        <w:t>河北商合管件制造有限公司</w:t>
      </w:r>
      <w:r>
        <w:rPr>
          <w:rFonts w:hint="eastAsia" w:ascii="Times New Roman" w:hAnsi="Times New Roman"/>
          <w:color w:val="000000" w:themeColor="text1"/>
          <w:sz w:val="24"/>
          <w:szCs w:val="24"/>
          <w14:textFill>
            <w14:solidFill>
              <w14:schemeClr w14:val="tx1"/>
            </w14:solidFill>
          </w14:textFill>
        </w:rPr>
        <w:t>委托</w:t>
      </w:r>
      <w:r>
        <w:rPr>
          <w:rFonts w:hint="eastAsia" w:ascii="Times New Roman" w:hAnsi="Times New Roman"/>
          <w:color w:val="000000" w:themeColor="text1"/>
          <w:sz w:val="24"/>
          <w:szCs w:val="24"/>
          <w:lang w:val="en-US" w:eastAsia="zh-CN"/>
          <w14:textFill>
            <w14:solidFill>
              <w14:schemeClr w14:val="tx1"/>
            </w14:solidFill>
          </w14:textFill>
        </w:rPr>
        <w:t>河北中寰检测服务有限公司</w:t>
      </w:r>
      <w:r>
        <w:rPr>
          <w:rFonts w:hint="eastAsia" w:ascii="Times New Roman" w:hAnsi="Times New Roman"/>
          <w:color w:val="000000" w:themeColor="text1"/>
          <w:sz w:val="24"/>
          <w:szCs w:val="24"/>
          <w14:textFill>
            <w14:solidFill>
              <w14:schemeClr w14:val="tx1"/>
            </w14:solidFill>
          </w14:textFill>
        </w:rPr>
        <w:t>于</w:t>
      </w:r>
      <w:bookmarkStart w:id="6" w:name="_Hlk496985984"/>
      <w:r>
        <w:rPr>
          <w:rFonts w:hint="eastAsia" w:ascii="Times New Roman" w:hAnsi="Times New Roman"/>
          <w:color w:val="000000" w:themeColor="text1"/>
          <w:sz w:val="24"/>
          <w:szCs w:val="24"/>
          <w14:textFill>
            <w14:solidFill>
              <w14:schemeClr w14:val="tx1"/>
            </w14:solidFill>
          </w14:textFill>
        </w:rPr>
        <w:t>20</w:t>
      </w:r>
      <w:r>
        <w:rPr>
          <w:rFonts w:hint="eastAsia" w:ascii="Times New Roman" w:hAnsi="Times New Roman"/>
          <w:color w:val="000000" w:themeColor="text1"/>
          <w:sz w:val="24"/>
          <w:szCs w:val="24"/>
          <w:lang w:val="en-US" w:eastAsia="zh-CN"/>
          <w14:textFill>
            <w14:solidFill>
              <w14:schemeClr w14:val="tx1"/>
            </w14:solidFill>
          </w14:textFill>
        </w:rPr>
        <w:t>20</w:t>
      </w:r>
      <w:r>
        <w:rPr>
          <w:rFonts w:hint="eastAsia" w:ascii="Times New Roman" w:hAnsi="Times New Roman"/>
          <w:color w:val="000000" w:themeColor="text1"/>
          <w:sz w:val="24"/>
          <w:szCs w:val="24"/>
          <w14:textFill>
            <w14:solidFill>
              <w14:schemeClr w14:val="tx1"/>
            </w14:solidFill>
          </w14:textFill>
        </w:rPr>
        <w:t>年</w:t>
      </w:r>
      <w:r>
        <w:rPr>
          <w:rFonts w:hint="eastAsia" w:ascii="Times New Roman" w:hAnsi="Times New Roman"/>
          <w:color w:val="000000" w:themeColor="text1"/>
          <w:sz w:val="24"/>
          <w:szCs w:val="24"/>
          <w:lang w:val="en-US" w:eastAsia="zh-CN"/>
          <w14:textFill>
            <w14:solidFill>
              <w14:schemeClr w14:val="tx1"/>
            </w14:solidFill>
          </w14:textFill>
        </w:rPr>
        <w:t>4</w:t>
      </w:r>
      <w:r>
        <w:rPr>
          <w:rFonts w:hint="eastAsia" w:ascii="Times New Roman" w:hAnsi="Times New Roman"/>
          <w:color w:val="000000" w:themeColor="text1"/>
          <w:sz w:val="24"/>
          <w:szCs w:val="24"/>
          <w14:textFill>
            <w14:solidFill>
              <w14:schemeClr w14:val="tx1"/>
            </w14:solidFill>
          </w14:textFill>
        </w:rPr>
        <w:t>月</w:t>
      </w:r>
      <w:r>
        <w:rPr>
          <w:rFonts w:hint="eastAsia" w:ascii="Times New Roman" w:hAnsi="Times New Roman"/>
          <w:color w:val="000000" w:themeColor="text1"/>
          <w:sz w:val="24"/>
          <w:szCs w:val="24"/>
          <w:lang w:val="en-US" w:eastAsia="zh-CN"/>
          <w14:textFill>
            <w14:solidFill>
              <w14:schemeClr w14:val="tx1"/>
            </w14:solidFill>
          </w14:textFill>
        </w:rPr>
        <w:t>21</w:t>
      </w:r>
      <w:r>
        <w:rPr>
          <w:rFonts w:hint="eastAsia" w:ascii="Times New Roman" w:hAnsi="Times New Roman"/>
          <w:color w:val="000000" w:themeColor="text1"/>
          <w:sz w:val="24"/>
          <w:szCs w:val="24"/>
          <w14:textFill>
            <w14:solidFill>
              <w14:schemeClr w14:val="tx1"/>
            </w14:solidFill>
          </w14:textFill>
        </w:rPr>
        <w:t>日至</w:t>
      </w:r>
      <w:r>
        <w:rPr>
          <w:rFonts w:hint="eastAsia" w:ascii="Times New Roman" w:hAnsi="Times New Roman"/>
          <w:color w:val="000000" w:themeColor="text1"/>
          <w:sz w:val="24"/>
          <w:szCs w:val="24"/>
          <w:lang w:val="en-US" w:eastAsia="zh-CN"/>
          <w14:textFill>
            <w14:solidFill>
              <w14:schemeClr w14:val="tx1"/>
            </w14:solidFill>
          </w14:textFill>
        </w:rPr>
        <w:t>22</w:t>
      </w:r>
      <w:r>
        <w:rPr>
          <w:rFonts w:hint="eastAsia" w:ascii="Times New Roman" w:hAnsi="Times New Roman"/>
          <w:color w:val="000000" w:themeColor="text1"/>
          <w:sz w:val="24"/>
          <w:szCs w:val="24"/>
          <w14:textFill>
            <w14:solidFill>
              <w14:schemeClr w14:val="tx1"/>
            </w14:solidFill>
          </w14:textFill>
        </w:rPr>
        <w:t>日</w:t>
      </w:r>
      <w:bookmarkEnd w:id="6"/>
      <w:r>
        <w:rPr>
          <w:rFonts w:hint="eastAsia" w:ascii="Times New Roman" w:hAnsi="Times New Roman"/>
          <w:color w:val="000000" w:themeColor="text1"/>
          <w:sz w:val="24"/>
          <w:szCs w:val="24"/>
          <w14:textFill>
            <w14:solidFill>
              <w14:schemeClr w14:val="tx1"/>
            </w14:solidFill>
          </w14:textFill>
        </w:rPr>
        <w:t>进行了竣工验收检测并出具检测报告，报告编号为：</w:t>
      </w:r>
      <w:r>
        <w:rPr>
          <w:rFonts w:hint="eastAsia" w:ascii="Times New Roman" w:hAnsi="Times New Roman"/>
          <w:color w:val="000000" w:themeColor="text1"/>
          <w:sz w:val="24"/>
          <w:szCs w:val="24"/>
          <w:lang w:val="en-US" w:eastAsia="zh-CN"/>
          <w14:textFill>
            <w14:solidFill>
              <w14:schemeClr w14:val="tx1"/>
            </w14:solidFill>
          </w14:textFill>
        </w:rPr>
        <w:t>HBZH-Y-20200069</w:t>
      </w:r>
      <w:r>
        <w:rPr>
          <w:rFonts w:hint="eastAsia" w:ascii="Times New Roman" w:hAnsi="Times New Roman"/>
          <w:color w:val="000000" w:themeColor="text1"/>
          <w:sz w:val="24"/>
          <w:szCs w:val="24"/>
          <w14:textFill>
            <w14:solidFill>
              <w14:schemeClr w14:val="tx1"/>
            </w14:solidFill>
          </w14:textFill>
        </w:rPr>
        <w:t>。</w:t>
      </w:r>
      <w:r>
        <w:rPr>
          <w:rFonts w:hint="eastAsia" w:ascii="Times New Roman" w:hAnsi="Times New Roman"/>
          <w:color w:val="000000" w:themeColor="text1"/>
          <w:sz w:val="24"/>
          <w:szCs w:val="24"/>
          <w:lang w:eastAsia="zh-CN"/>
          <w14:textFill>
            <w14:solidFill>
              <w14:schemeClr w14:val="tx1"/>
            </w14:solidFill>
          </w14:textFill>
        </w:rPr>
        <w:t>河北商合管件制造有限公司</w:t>
      </w:r>
      <w:r>
        <w:rPr>
          <w:rFonts w:hint="eastAsia" w:ascii="Times New Roman" w:hAnsi="Times New Roman"/>
          <w:color w:val="000000" w:themeColor="text1"/>
          <w:sz w:val="24"/>
          <w:szCs w:val="24"/>
          <w14:textFill>
            <w14:solidFill>
              <w14:schemeClr w14:val="tx1"/>
            </w14:solidFill>
          </w14:textFill>
        </w:rPr>
        <w:t>根据现场调查情况和检测报告按照《建设项目竣工环境保护验收技术指南污染影响类》编制完成竣工环境保护验收报告，为竣工验收提供科学依据。</w:t>
      </w:r>
    </w:p>
    <w:p>
      <w:pPr>
        <w:spacing w:line="360" w:lineRule="auto"/>
        <w:ind w:firstLine="480" w:firstLineChars="200"/>
        <w:rPr>
          <w:rFonts w:ascii="Times New Roman" w:hAnsi="Times New Roman"/>
          <w:color w:val="000000" w:themeColor="text1"/>
          <w:sz w:val="24"/>
          <w:szCs w:val="24"/>
          <w14:textFill>
            <w14:solidFill>
              <w14:schemeClr w14:val="tx1"/>
            </w14:solidFill>
          </w14:textFill>
        </w:rPr>
        <w:sectPr>
          <w:headerReference r:id="rId8" w:type="default"/>
          <w:pgSz w:w="11906" w:h="16838"/>
          <w:pgMar w:top="1440" w:right="1800" w:bottom="1440" w:left="1800" w:header="851" w:footer="992" w:gutter="0"/>
          <w:pgNumType w:start="1"/>
          <w:cols w:space="425" w:num="1"/>
          <w:docGrid w:type="lines" w:linePitch="312" w:charSpace="0"/>
        </w:sectPr>
      </w:pPr>
    </w:p>
    <w:p>
      <w:pPr>
        <w:pStyle w:val="5"/>
        <w:rPr>
          <w:rFonts w:ascii="Times New Roman" w:hAnsi="Times New Roman"/>
          <w:color w:val="000000" w:themeColor="text1"/>
          <w14:textFill>
            <w14:solidFill>
              <w14:schemeClr w14:val="tx1"/>
            </w14:solidFill>
          </w14:textFill>
        </w:rPr>
      </w:pPr>
      <w:bookmarkStart w:id="7" w:name="_Toc14085"/>
      <w:bookmarkStart w:id="8" w:name="_Toc23777"/>
      <w:bookmarkStart w:id="9" w:name="_Toc17755"/>
      <w:bookmarkStart w:id="10" w:name="_Toc25774"/>
      <w:r>
        <w:rPr>
          <w:rFonts w:ascii="Times New Roman" w:hAnsi="Times New Roman"/>
          <w:color w:val="000000" w:themeColor="text1"/>
          <w14:textFill>
            <w14:solidFill>
              <w14:schemeClr w14:val="tx1"/>
            </w14:solidFill>
          </w14:textFill>
        </w:rPr>
        <w:t>1 验收编制依据</w:t>
      </w:r>
      <w:bookmarkEnd w:id="7"/>
      <w:bookmarkEnd w:id="8"/>
      <w:bookmarkEnd w:id="9"/>
      <w:bookmarkEnd w:id="10"/>
    </w:p>
    <w:p>
      <w:pPr>
        <w:pStyle w:val="6"/>
        <w:rPr>
          <w:rFonts w:ascii="Times New Roman" w:hAnsi="Times New Roman"/>
          <w:color w:val="000000" w:themeColor="text1"/>
          <w14:textFill>
            <w14:solidFill>
              <w14:schemeClr w14:val="tx1"/>
            </w14:solidFill>
          </w14:textFill>
        </w:rPr>
      </w:pPr>
      <w:bookmarkStart w:id="11" w:name="_Toc32325"/>
      <w:bookmarkStart w:id="12" w:name="_Toc5229"/>
      <w:bookmarkStart w:id="13" w:name="_Toc30258"/>
      <w:bookmarkStart w:id="14" w:name="_Toc12399"/>
      <w:r>
        <w:rPr>
          <w:rFonts w:ascii="Times New Roman" w:hAnsi="Times New Roman"/>
          <w:color w:val="000000" w:themeColor="text1"/>
          <w14:textFill>
            <w14:solidFill>
              <w14:schemeClr w14:val="tx1"/>
            </w14:solidFill>
          </w14:textFill>
        </w:rPr>
        <w:t>1.1 法律、法规</w:t>
      </w:r>
      <w:bookmarkEnd w:id="11"/>
      <w:bookmarkEnd w:id="12"/>
      <w:bookmarkEnd w:id="13"/>
      <w:bookmarkEnd w:id="14"/>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（1）《中华人民共和国环境保护法》，（2015年1月1日起施行）；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（2）《中华人民共和国环境影响评价法》，（2016年9月1日起施行）；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（3）《中华人民共和国水污染防治法》（2018年1月1日起施行）；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（4）《中华人民共和国大气污染防治法》，（ 2016年1月1日施行）；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（5）《中华人民共和国环境噪声污染防治法》，（1997年3月1日起施行）；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（6）《中华人民共和国固体废物污染环境防治法》，</w:t>
      </w:r>
      <w:r>
        <w:rPr>
          <w:rFonts w:hint="eastAsia" w:ascii="Times New Roman" w:hAnsi="Times New Roman"/>
          <w:color w:val="000000" w:themeColor="text1"/>
          <w:sz w:val="24"/>
          <w:szCs w:val="24"/>
          <w14:textFill>
            <w14:solidFill>
              <w14:schemeClr w14:val="tx1"/>
            </w14:solidFill>
          </w14:textFill>
        </w:rPr>
        <w:t>（</w:t>
      </w:r>
      <w:r>
        <w:rPr>
          <w:rFonts w:ascii="Times New Roman" w:hAnsi="Times New Roman"/>
          <w:color w:val="000000" w:themeColor="text1"/>
          <w:sz w:val="24"/>
          <w:szCs w:val="24"/>
          <w14:textFill>
            <w14:solidFill>
              <w14:schemeClr w14:val="tx1"/>
            </w14:solidFill>
          </w14:textFill>
        </w:rPr>
        <w:t>2015年4月1日起施行）；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（7）《建设项目环境保护管理条例》，（2017年10月1日起施行）；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（8）《建设项目环境影响评价分类管理名录》（2017年9月1日起施行）；</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（9）《河北省环境保护条例》，（2005年5月1日起施行）。</w:t>
      </w:r>
    </w:p>
    <w:p>
      <w:pPr>
        <w:pStyle w:val="6"/>
        <w:rPr>
          <w:rFonts w:ascii="Times New Roman" w:hAnsi="Times New Roman"/>
          <w:color w:val="000000" w:themeColor="text1"/>
          <w14:textFill>
            <w14:solidFill>
              <w14:schemeClr w14:val="tx1"/>
            </w14:solidFill>
          </w14:textFill>
        </w:rPr>
      </w:pPr>
      <w:bookmarkStart w:id="15" w:name="_Toc19988"/>
      <w:bookmarkStart w:id="16" w:name="_Toc17067"/>
      <w:bookmarkStart w:id="17" w:name="_Toc19837"/>
      <w:bookmarkStart w:id="18" w:name="_Toc11240"/>
      <w:r>
        <w:rPr>
          <w:rFonts w:ascii="Times New Roman" w:hAnsi="Times New Roman"/>
          <w:color w:val="000000" w:themeColor="text1"/>
          <w14:textFill>
            <w14:solidFill>
              <w14:schemeClr w14:val="tx1"/>
            </w14:solidFill>
          </w14:textFill>
        </w:rPr>
        <w:t>1.2 验收技术规范</w:t>
      </w:r>
      <w:bookmarkEnd w:id="15"/>
      <w:bookmarkEnd w:id="16"/>
      <w:bookmarkEnd w:id="17"/>
      <w:bookmarkEnd w:id="18"/>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（1）《环境影响评价技术导则  总纲》（HJ 2.1-2016）；</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（2）《环境影响评价技术导则  大气环境》（HJ 2.2-2018）；</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（3）《环境影响评价技术导则  地表水环境》（HJ/T 2.3-2018）；</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（4）《环境影响评价技术导则  地下水环境》（HJ 610-2016）；</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（5）《环境影响评价技术导则  声环境》（HJ 2.4-2009）；</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（6）《环境影响评价技术导则  生态影响》（HJ 19-2011）；</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（7）《环境空气质量标准》（GB 3095-2012）；</w:t>
      </w:r>
    </w:p>
    <w:p>
      <w:pPr>
        <w:spacing w:line="440" w:lineRule="exact"/>
        <w:ind w:firstLine="480" w:firstLineChars="200"/>
        <w:rPr>
          <w:rFonts w:ascii="Times New Roman" w:hAnsi="Times New Roman"/>
          <w:color w:val="000000" w:themeColor="text1"/>
          <w:sz w:val="24"/>
          <w:szCs w:val="24"/>
          <w14:textFill>
            <w14:solidFill>
              <w14:schemeClr w14:val="tx1"/>
            </w14:solidFill>
          </w14:textFill>
        </w:rPr>
      </w:pPr>
      <w:r>
        <w:rPr>
          <w:rFonts w:hint="eastAsia" w:ascii="Times New Roman" w:hAnsi="Times New Roman"/>
          <w:color w:val="000000" w:themeColor="text1"/>
          <w:sz w:val="24"/>
          <w:szCs w:val="24"/>
          <w14:textFill>
            <w14:solidFill>
              <w14:schemeClr w14:val="tx1"/>
            </w14:solidFill>
          </w14:textFill>
        </w:rPr>
        <w:t>（8）</w:t>
      </w:r>
      <w:r>
        <w:rPr>
          <w:rFonts w:ascii="Times New Roman" w:hAnsi="Times New Roman"/>
          <w:color w:val="000000" w:themeColor="text1"/>
          <w:sz w:val="24"/>
          <w:szCs w:val="24"/>
          <w14:textFill>
            <w14:solidFill>
              <w14:schemeClr w14:val="tx1"/>
            </w14:solidFill>
          </w14:textFill>
        </w:rPr>
        <w:t>《声环境质量标准》（GB3096-2008）</w:t>
      </w:r>
      <w:r>
        <w:rPr>
          <w:rFonts w:hint="eastAsia" w:ascii="Times New Roman" w:hAnsi="Times New Roman"/>
          <w:color w:val="000000" w:themeColor="text1"/>
          <w:sz w:val="24"/>
          <w:szCs w:val="24"/>
          <w14:textFill>
            <w14:solidFill>
              <w14:schemeClr w14:val="tx1"/>
            </w14:solidFill>
          </w14:textFill>
        </w:rPr>
        <w:t>；</w:t>
      </w:r>
    </w:p>
    <w:p>
      <w:pPr>
        <w:pStyle w:val="2"/>
        <w:spacing w:line="440" w:lineRule="exact"/>
        <w:ind w:firstLine="480"/>
        <w:rPr>
          <w:rFonts w:ascii="Times New Roman" w:hAnsi="Times New Roman"/>
          <w:color w:val="000000" w:themeColor="text1"/>
          <w14:textFill>
            <w14:solidFill>
              <w14:schemeClr w14:val="tx1"/>
            </w14:solidFill>
          </w14:textFill>
        </w:rPr>
      </w:pPr>
      <w:r>
        <w:rPr>
          <w:rFonts w:ascii="Times New Roman" w:hAnsi="Times New Roman"/>
          <w:color w:val="000000" w:themeColor="text1"/>
          <w:sz w:val="24"/>
          <w14:textFill>
            <w14:solidFill>
              <w14:schemeClr w14:val="tx1"/>
            </w14:solidFill>
          </w14:textFill>
        </w:rPr>
        <w:t>（</w:t>
      </w:r>
      <w:r>
        <w:rPr>
          <w:rFonts w:hint="eastAsia" w:ascii="Times New Roman" w:hAnsi="Times New Roman"/>
          <w:color w:val="000000" w:themeColor="text1"/>
          <w:sz w:val="24"/>
          <w14:textFill>
            <w14:solidFill>
              <w14:schemeClr w14:val="tx1"/>
            </w14:solidFill>
          </w14:textFill>
        </w:rPr>
        <w:t>9</w:t>
      </w:r>
      <w:r>
        <w:rPr>
          <w:rFonts w:ascii="Times New Roman" w:hAnsi="Times New Roman"/>
          <w:color w:val="000000" w:themeColor="text1"/>
          <w:sz w:val="24"/>
          <w14:textFill>
            <w14:solidFill>
              <w14:schemeClr w14:val="tx1"/>
            </w14:solidFill>
          </w14:textFill>
        </w:rPr>
        <w:t>）《</w:t>
      </w:r>
      <w:r>
        <w:rPr>
          <w:rFonts w:hint="eastAsia" w:ascii="Times New Roman" w:hAnsi="Times New Roman"/>
          <w:color w:val="000000" w:themeColor="text1"/>
          <w:sz w:val="24"/>
          <w14:textFill>
            <w14:solidFill>
              <w14:schemeClr w14:val="tx1"/>
            </w14:solidFill>
          </w14:textFill>
        </w:rPr>
        <w:t>大气污染物综合排放</w:t>
      </w:r>
      <w:r>
        <w:rPr>
          <w:rFonts w:ascii="Times New Roman" w:hAnsi="Times New Roman"/>
          <w:color w:val="000000" w:themeColor="text1"/>
          <w:sz w:val="24"/>
          <w14:textFill>
            <w14:solidFill>
              <w14:schemeClr w14:val="tx1"/>
            </w14:solidFill>
          </w14:textFill>
        </w:rPr>
        <w:t>标准》（</w:t>
      </w:r>
      <w:r>
        <w:rPr>
          <w:rFonts w:hint="eastAsia" w:ascii="Times New Roman" w:hAnsi="Times New Roman"/>
          <w:color w:val="000000" w:themeColor="text1"/>
          <w:sz w:val="24"/>
          <w14:textFill>
            <w14:solidFill>
              <w14:schemeClr w14:val="tx1"/>
            </w14:solidFill>
          </w14:textFill>
        </w:rPr>
        <w:t>G</w:t>
      </w:r>
      <w:r>
        <w:rPr>
          <w:rFonts w:ascii="Times New Roman" w:hAnsi="Times New Roman"/>
          <w:color w:val="000000" w:themeColor="text1"/>
          <w:sz w:val="24"/>
          <w14:textFill>
            <w14:solidFill>
              <w14:schemeClr w14:val="tx1"/>
            </w14:solidFill>
          </w14:textFill>
        </w:rPr>
        <w:t>B1</w:t>
      </w:r>
      <w:r>
        <w:rPr>
          <w:rFonts w:hint="eastAsia" w:ascii="Times New Roman" w:hAnsi="Times New Roman"/>
          <w:color w:val="000000" w:themeColor="text1"/>
          <w:sz w:val="24"/>
          <w14:textFill>
            <w14:solidFill>
              <w14:schemeClr w14:val="tx1"/>
            </w14:solidFill>
          </w14:textFill>
        </w:rPr>
        <w:t>6297</w:t>
      </w:r>
      <w:r>
        <w:rPr>
          <w:rFonts w:ascii="Times New Roman" w:hAnsi="Times New Roman"/>
          <w:color w:val="000000" w:themeColor="text1"/>
          <w:sz w:val="24"/>
          <w14:textFill>
            <w14:solidFill>
              <w14:schemeClr w14:val="tx1"/>
            </w14:solidFill>
          </w14:textFill>
        </w:rPr>
        <w:t>-</w:t>
      </w:r>
      <w:r>
        <w:rPr>
          <w:rFonts w:hint="eastAsia" w:ascii="Times New Roman" w:hAnsi="Times New Roman"/>
          <w:color w:val="000000" w:themeColor="text1"/>
          <w:sz w:val="24"/>
          <w14:textFill>
            <w14:solidFill>
              <w14:schemeClr w14:val="tx1"/>
            </w14:solidFill>
          </w14:textFill>
        </w:rPr>
        <w:t>1996</w:t>
      </w:r>
      <w:r>
        <w:rPr>
          <w:rFonts w:ascii="Times New Roman" w:hAnsi="Times New Roman"/>
          <w:color w:val="000000" w:themeColor="text1"/>
          <w:sz w:val="24"/>
          <w14:textFill>
            <w14:solidFill>
              <w14:schemeClr w14:val="tx1"/>
            </w14:solidFill>
          </w14:textFill>
        </w:rPr>
        <w:t>）</w:t>
      </w:r>
      <w:r>
        <w:rPr>
          <w:rFonts w:hint="eastAsia" w:ascii="Times New Roman" w:hAnsi="Times New Roman"/>
          <w:color w:val="000000" w:themeColor="text1"/>
          <w:sz w:val="24"/>
          <w14:textFill>
            <w14:solidFill>
              <w14:schemeClr w14:val="tx1"/>
            </w14:solidFill>
          </w14:textFill>
        </w:rPr>
        <w:t>；</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w:t>
      </w:r>
      <w:r>
        <w:rPr>
          <w:rFonts w:hint="eastAsia" w:ascii="Times New Roman" w:hAnsi="Times New Roman"/>
          <w:color w:val="000000" w:themeColor="text1"/>
          <w:sz w:val="24"/>
          <w:szCs w:val="24"/>
          <w14:textFill>
            <w14:solidFill>
              <w14:schemeClr w14:val="tx1"/>
            </w14:solidFill>
          </w14:textFill>
        </w:rPr>
        <w:t>0</w:t>
      </w:r>
      <w:r>
        <w:rPr>
          <w:rFonts w:ascii="Times New Roman" w:hAnsi="Times New Roman"/>
          <w:color w:val="000000" w:themeColor="text1"/>
          <w:sz w:val="24"/>
          <w:szCs w:val="24"/>
          <w14:textFill>
            <w14:solidFill>
              <w14:schemeClr w14:val="tx1"/>
            </w14:solidFill>
          </w14:textFill>
        </w:rPr>
        <w:t>）《工业企业厂界环境噪声排放标准》（GB12348-2008）；</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w:t>
      </w:r>
      <w:r>
        <w:rPr>
          <w:rFonts w:hint="eastAsia" w:ascii="Times New Roman" w:hAnsi="Times New Roman"/>
          <w:color w:val="000000" w:themeColor="text1"/>
          <w:sz w:val="24"/>
          <w:szCs w:val="24"/>
          <w14:textFill>
            <w14:solidFill>
              <w14:schemeClr w14:val="tx1"/>
            </w14:solidFill>
          </w14:textFill>
        </w:rPr>
        <w:t>1</w:t>
      </w:r>
      <w:r>
        <w:rPr>
          <w:rFonts w:ascii="Times New Roman" w:hAnsi="Times New Roman"/>
          <w:color w:val="000000" w:themeColor="text1"/>
          <w:sz w:val="24"/>
          <w:szCs w:val="24"/>
          <w14:textFill>
            <w14:solidFill>
              <w14:schemeClr w14:val="tx1"/>
            </w14:solidFill>
          </w14:textFill>
        </w:rPr>
        <w:t>）《一般工业固体废物贮存、处置场污染控制标准》（GB18599-2001）</w:t>
      </w:r>
      <w:r>
        <w:rPr>
          <w:rFonts w:hint="eastAsia" w:ascii="Times New Roman" w:hAnsi="Times New Roman"/>
          <w:color w:val="000000" w:themeColor="text1"/>
          <w:sz w:val="24"/>
          <w:szCs w:val="24"/>
          <w14:textFill>
            <w14:solidFill>
              <w14:schemeClr w14:val="tx1"/>
            </w14:solidFill>
          </w14:textFill>
        </w:rPr>
        <w:t>及修改单；</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w:t>
      </w:r>
      <w:r>
        <w:rPr>
          <w:rFonts w:hint="eastAsia" w:ascii="Times New Roman" w:hAnsi="Times New Roman"/>
          <w:color w:val="000000" w:themeColor="text1"/>
          <w:sz w:val="24"/>
          <w:szCs w:val="24"/>
          <w14:textFill>
            <w14:solidFill>
              <w14:schemeClr w14:val="tx1"/>
            </w14:solidFill>
          </w14:textFill>
        </w:rPr>
        <w:t>2</w:t>
      </w:r>
      <w:r>
        <w:rPr>
          <w:rFonts w:ascii="Times New Roman" w:hAnsi="Times New Roman"/>
          <w:color w:val="000000" w:themeColor="text1"/>
          <w:sz w:val="24"/>
          <w:szCs w:val="24"/>
          <w14:textFill>
            <w14:solidFill>
              <w14:schemeClr w14:val="tx1"/>
            </w14:solidFill>
          </w14:textFill>
        </w:rPr>
        <w:t>）《关于规范建设单位自主开展建设项目竣工环</w:t>
      </w:r>
      <w:r>
        <w:rPr>
          <w:rFonts w:ascii="Times New Roman" w:hAnsi="Times New Roman"/>
          <w:color w:val="000000" w:themeColor="text1"/>
          <w:kern w:val="0"/>
          <w:sz w:val="24"/>
          <w:szCs w:val="24"/>
          <w14:textFill>
            <w14:solidFill>
              <w14:schemeClr w14:val="tx1"/>
            </w14:solidFill>
          </w14:textFill>
        </w:rPr>
        <w:t>境保护验收的通知》</w:t>
      </w:r>
      <w:r>
        <w:rPr>
          <w:rFonts w:ascii="Times New Roman" w:hAnsi="Times New Roman"/>
          <w:color w:val="000000" w:themeColor="text1"/>
          <w:sz w:val="24"/>
          <w:szCs w:val="24"/>
          <w14:textFill>
            <w14:solidFill>
              <w14:schemeClr w14:val="tx1"/>
            </w14:solidFill>
          </w14:textFill>
        </w:rPr>
        <w:t>（环境保护部）</w:t>
      </w:r>
      <w:r>
        <w:rPr>
          <w:rFonts w:hint="eastAsia" w:ascii="Times New Roman" w:hAnsi="Times New Roman"/>
          <w:color w:val="000000" w:themeColor="text1"/>
          <w:sz w:val="24"/>
          <w:szCs w:val="24"/>
          <w14:textFill>
            <w14:solidFill>
              <w14:schemeClr w14:val="tx1"/>
            </w14:solidFill>
          </w14:textFill>
        </w:rPr>
        <w:t>（2017年11月22日</w:t>
      </w:r>
      <w:r>
        <w:rPr>
          <w:rFonts w:ascii="Times New Roman" w:hAnsi="Times New Roman"/>
          <w:color w:val="000000" w:themeColor="text1"/>
          <w:sz w:val="24"/>
          <w:szCs w:val="24"/>
          <w14:textFill>
            <w14:solidFill>
              <w14:schemeClr w14:val="tx1"/>
            </w14:solidFill>
          </w14:textFill>
        </w:rPr>
        <w:t>起施行</w:t>
      </w:r>
      <w:r>
        <w:rPr>
          <w:rFonts w:hint="eastAsia" w:ascii="Times New Roman" w:hAnsi="Times New Roman"/>
          <w:color w:val="000000" w:themeColor="text1"/>
          <w:sz w:val="24"/>
          <w:szCs w:val="24"/>
          <w14:textFill>
            <w14:solidFill>
              <w14:schemeClr w14:val="tx1"/>
            </w14:solidFill>
          </w14:textFill>
        </w:rPr>
        <w:t>）；</w:t>
      </w:r>
    </w:p>
    <w:p>
      <w:pPr>
        <w:spacing w:line="48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w:t>
      </w:r>
      <w:r>
        <w:rPr>
          <w:rFonts w:hint="eastAsia" w:ascii="Times New Roman" w:hAnsi="Times New Roman"/>
          <w:color w:val="000000" w:themeColor="text1"/>
          <w:sz w:val="24"/>
          <w:szCs w:val="24"/>
          <w14:textFill>
            <w14:solidFill>
              <w14:schemeClr w14:val="tx1"/>
            </w14:solidFill>
          </w14:textFill>
        </w:rPr>
        <w:t>3</w:t>
      </w:r>
      <w:r>
        <w:rPr>
          <w:rFonts w:ascii="Times New Roman" w:hAnsi="Times New Roman"/>
          <w:color w:val="000000" w:themeColor="text1"/>
          <w:sz w:val="24"/>
          <w:szCs w:val="24"/>
          <w14:textFill>
            <w14:solidFill>
              <w14:schemeClr w14:val="tx1"/>
            </w14:solidFill>
          </w14:textFill>
        </w:rPr>
        <w:t>）《建设项目环境影响评价文件审批及建设单位自主开展环境保护设施验收工作指引（试行）》（河北省环境保护厅）</w:t>
      </w:r>
      <w:r>
        <w:rPr>
          <w:rFonts w:hint="eastAsia" w:ascii="Times New Roman" w:hAnsi="Times New Roman"/>
          <w:color w:val="000000" w:themeColor="text1"/>
          <w:sz w:val="24"/>
          <w:szCs w:val="24"/>
          <w14:textFill>
            <w14:solidFill>
              <w14:schemeClr w14:val="tx1"/>
            </w14:solidFill>
          </w14:textFill>
        </w:rPr>
        <w:t>，冀环办字函[2017]727号，2017.11.23；</w:t>
      </w:r>
    </w:p>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w:t>
      </w:r>
      <w:r>
        <w:rPr>
          <w:rFonts w:hint="eastAsia" w:ascii="Times New Roman" w:hAnsi="Times New Roman"/>
          <w:color w:val="000000" w:themeColor="text1"/>
          <w:sz w:val="24"/>
          <w:szCs w:val="24"/>
          <w14:textFill>
            <w14:solidFill>
              <w14:schemeClr w14:val="tx1"/>
            </w14:solidFill>
          </w14:textFill>
        </w:rPr>
        <w:t>4</w:t>
      </w:r>
      <w:r>
        <w:rPr>
          <w:rFonts w:ascii="Times New Roman" w:hAnsi="Times New Roman"/>
          <w:color w:val="000000" w:themeColor="text1"/>
          <w:sz w:val="24"/>
          <w:szCs w:val="24"/>
          <w14:textFill>
            <w14:solidFill>
              <w14:schemeClr w14:val="tx1"/>
            </w14:solidFill>
          </w14:textFill>
        </w:rPr>
        <w:t>）《建设项目竣工环境保护验收技术指南 污染影响类》（生态</w:t>
      </w:r>
      <w:r>
        <w:rPr>
          <w:rFonts w:hint="eastAsia" w:ascii="Times New Roman" w:hAnsi="Times New Roman"/>
          <w:color w:val="000000" w:themeColor="text1"/>
          <w:sz w:val="24"/>
          <w:szCs w:val="24"/>
          <w14:textFill>
            <w14:solidFill>
              <w14:schemeClr w14:val="tx1"/>
            </w14:solidFill>
          </w14:textFill>
        </w:rPr>
        <w:t>环境</w:t>
      </w:r>
      <w:r>
        <w:rPr>
          <w:rFonts w:ascii="Times New Roman" w:hAnsi="Times New Roman"/>
          <w:color w:val="000000" w:themeColor="text1"/>
          <w:sz w:val="24"/>
          <w:szCs w:val="24"/>
          <w14:textFill>
            <w14:solidFill>
              <w14:schemeClr w14:val="tx1"/>
            </w14:solidFill>
          </w14:textFill>
        </w:rPr>
        <w:t>部）</w:t>
      </w:r>
      <w:r>
        <w:rPr>
          <w:rFonts w:hint="eastAsia" w:ascii="Times New Roman" w:hAnsi="Times New Roman"/>
          <w:color w:val="000000" w:themeColor="text1"/>
          <w:sz w:val="24"/>
          <w:szCs w:val="24"/>
          <w14:textFill>
            <w14:solidFill>
              <w14:schemeClr w14:val="tx1"/>
            </w14:solidFill>
          </w14:textFill>
        </w:rPr>
        <w:t>，</w:t>
      </w:r>
      <w:r>
        <w:rPr>
          <w:rFonts w:ascii="Times New Roman" w:hAnsi="Times New Roman"/>
          <w:color w:val="000000" w:themeColor="text1"/>
          <w:sz w:val="24"/>
          <w:szCs w:val="24"/>
          <w14:textFill>
            <w14:solidFill>
              <w14:schemeClr w14:val="tx1"/>
            </w14:solidFill>
          </w14:textFill>
        </w:rPr>
        <w:t>公告2018年第9号</w:t>
      </w:r>
      <w:r>
        <w:rPr>
          <w:rFonts w:hint="eastAsia" w:ascii="Times New Roman" w:hAnsi="Times New Roman"/>
          <w:color w:val="000000" w:themeColor="text1"/>
          <w:sz w:val="24"/>
          <w:szCs w:val="24"/>
          <w14:textFill>
            <w14:solidFill>
              <w14:schemeClr w14:val="tx1"/>
            </w14:solidFill>
          </w14:textFill>
        </w:rPr>
        <w:t>，</w:t>
      </w:r>
      <w:r>
        <w:rPr>
          <w:rFonts w:ascii="Times New Roman" w:hAnsi="Times New Roman"/>
          <w:color w:val="000000" w:themeColor="text1"/>
          <w:sz w:val="24"/>
          <w:szCs w:val="24"/>
          <w14:textFill>
            <w14:solidFill>
              <w14:schemeClr w14:val="tx1"/>
            </w14:solidFill>
          </w14:textFill>
        </w:rPr>
        <w:t>2018.05.1</w:t>
      </w:r>
      <w:r>
        <w:rPr>
          <w:rFonts w:hint="eastAsia" w:ascii="Times New Roman" w:hAnsi="Times New Roman"/>
          <w:color w:val="000000" w:themeColor="text1"/>
          <w:sz w:val="24"/>
          <w:szCs w:val="24"/>
          <w14:textFill>
            <w14:solidFill>
              <w14:schemeClr w14:val="tx1"/>
            </w14:solidFill>
          </w14:textFill>
        </w:rPr>
        <w:t>6。</w:t>
      </w:r>
    </w:p>
    <w:p>
      <w:pPr>
        <w:pStyle w:val="6"/>
        <w:spacing w:before="156" w:beforeLines="50" w:line="360" w:lineRule="auto"/>
        <w:rPr>
          <w:rFonts w:ascii="Times New Roman" w:hAnsi="Times New Roman"/>
          <w:color w:val="000000" w:themeColor="text1"/>
          <w14:textFill>
            <w14:solidFill>
              <w14:schemeClr w14:val="tx1"/>
            </w14:solidFill>
          </w14:textFill>
        </w:rPr>
      </w:pPr>
      <w:bookmarkStart w:id="19" w:name="_Toc26393"/>
      <w:bookmarkStart w:id="20" w:name="_Toc31818"/>
      <w:bookmarkStart w:id="21" w:name="_Toc25756"/>
      <w:bookmarkStart w:id="22" w:name="_Toc25083"/>
      <w:r>
        <w:rPr>
          <w:rFonts w:ascii="Times New Roman" w:hAnsi="Times New Roman"/>
          <w:color w:val="000000" w:themeColor="text1"/>
          <w14:textFill>
            <w14:solidFill>
              <w14:schemeClr w14:val="tx1"/>
            </w14:solidFill>
          </w14:textFill>
        </w:rPr>
        <w:t>1.3 工程技术文件及批复文件</w:t>
      </w:r>
      <w:bookmarkEnd w:id="19"/>
      <w:bookmarkEnd w:id="20"/>
      <w:bookmarkEnd w:id="21"/>
      <w:bookmarkEnd w:id="22"/>
    </w:p>
    <w:p>
      <w:pPr>
        <w:spacing w:line="360" w:lineRule="auto"/>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（1）</w:t>
      </w:r>
      <w:r>
        <w:rPr>
          <w:rFonts w:hint="eastAsia" w:ascii="Times New Roman" w:hAnsi="Times New Roman"/>
          <w:color w:val="000000" w:themeColor="text1"/>
          <w:kern w:val="0"/>
          <w:sz w:val="24"/>
          <w:szCs w:val="24"/>
          <w14:textFill>
            <w14:solidFill>
              <w14:schemeClr w14:val="tx1"/>
            </w14:solidFill>
          </w14:textFill>
        </w:rPr>
        <w:t>《</w:t>
      </w:r>
      <w:r>
        <w:rPr>
          <w:rFonts w:hint="eastAsia" w:ascii="Times New Roman" w:hAnsi="Times New Roman"/>
          <w:color w:val="000000" w:themeColor="text1"/>
          <w:sz w:val="24"/>
          <w:szCs w:val="24"/>
          <w:lang w:eastAsia="zh-CN"/>
          <w14:textFill>
            <w14:solidFill>
              <w14:schemeClr w14:val="tx1"/>
            </w14:solidFill>
          </w14:textFill>
        </w:rPr>
        <w:t>河北商合管件制造有限公司标准件生产项目</w:t>
      </w:r>
      <w:r>
        <w:rPr>
          <w:rFonts w:hint="eastAsia" w:ascii="Times New Roman" w:hAnsi="Times New Roman"/>
          <w:color w:val="000000" w:themeColor="text1"/>
          <w:kern w:val="0"/>
          <w:sz w:val="24"/>
          <w:szCs w:val="24"/>
          <w14:textFill>
            <w14:solidFill>
              <w14:schemeClr w14:val="tx1"/>
            </w14:solidFill>
          </w14:textFill>
        </w:rPr>
        <w:t>环境影响报告表》</w:t>
      </w:r>
      <w:r>
        <w:rPr>
          <w:rFonts w:hint="eastAsia" w:ascii="Times New Roman" w:hAnsi="Times New Roman"/>
          <w:color w:val="000000" w:themeColor="text1"/>
          <w:sz w:val="24"/>
          <w:szCs w:val="24"/>
          <w14:textFill>
            <w14:solidFill>
              <w14:schemeClr w14:val="tx1"/>
            </w14:solidFill>
          </w14:textFill>
        </w:rPr>
        <w:t>（</w:t>
      </w:r>
      <w:r>
        <w:rPr>
          <w:rFonts w:hint="eastAsia" w:ascii="Times New Roman" w:hAnsi="Times New Roman"/>
          <w:color w:val="000000" w:themeColor="text1"/>
          <w:sz w:val="24"/>
          <w:szCs w:val="24"/>
          <w:lang w:val="en-US" w:eastAsia="zh-CN"/>
          <w14:textFill>
            <w14:solidFill>
              <w14:schemeClr w14:val="tx1"/>
            </w14:solidFill>
          </w14:textFill>
        </w:rPr>
        <w:t>湖北黄环环保科技有限公司</w:t>
      </w:r>
      <w:r>
        <w:rPr>
          <w:rFonts w:hint="eastAsia" w:ascii="Times New Roman" w:hAnsi="Times New Roman"/>
          <w:color w:val="000000" w:themeColor="text1"/>
          <w:sz w:val="24"/>
          <w:szCs w:val="24"/>
          <w14:textFill>
            <w14:solidFill>
              <w14:schemeClr w14:val="tx1"/>
            </w14:solidFill>
          </w14:textFill>
        </w:rPr>
        <w:t>，</w:t>
      </w:r>
      <w:r>
        <w:rPr>
          <w:rFonts w:ascii="Times New Roman" w:hAnsi="Times New Roman"/>
          <w:color w:val="000000" w:themeColor="text1"/>
          <w:sz w:val="24"/>
          <w:szCs w:val="24"/>
          <w14:textFill>
            <w14:solidFill>
              <w14:schemeClr w14:val="tx1"/>
            </w14:solidFill>
          </w14:textFill>
        </w:rPr>
        <w:t>201</w:t>
      </w:r>
      <w:r>
        <w:rPr>
          <w:rFonts w:hint="eastAsia" w:ascii="Times New Roman" w:hAnsi="Times New Roman"/>
          <w:color w:val="000000" w:themeColor="text1"/>
          <w:sz w:val="24"/>
          <w:szCs w:val="24"/>
          <w14:textFill>
            <w14:solidFill>
              <w14:schemeClr w14:val="tx1"/>
            </w14:solidFill>
          </w14:textFill>
        </w:rPr>
        <w:t>9</w:t>
      </w:r>
      <w:r>
        <w:rPr>
          <w:rFonts w:ascii="Times New Roman" w:hAnsi="Times New Roman"/>
          <w:color w:val="000000" w:themeColor="text1"/>
          <w:sz w:val="24"/>
          <w:szCs w:val="24"/>
          <w14:textFill>
            <w14:solidFill>
              <w14:schemeClr w14:val="tx1"/>
            </w14:solidFill>
          </w14:textFill>
        </w:rPr>
        <w:t>年</w:t>
      </w:r>
      <w:r>
        <w:rPr>
          <w:rFonts w:hint="eastAsia" w:ascii="Times New Roman" w:hAnsi="Times New Roman"/>
          <w:color w:val="000000" w:themeColor="text1"/>
          <w:sz w:val="24"/>
          <w:szCs w:val="24"/>
          <w:lang w:val="en-US" w:eastAsia="zh-CN"/>
          <w14:textFill>
            <w14:solidFill>
              <w14:schemeClr w14:val="tx1"/>
            </w14:solidFill>
          </w14:textFill>
        </w:rPr>
        <w:t>12</w:t>
      </w:r>
      <w:r>
        <w:rPr>
          <w:rFonts w:ascii="Times New Roman" w:hAnsi="Times New Roman"/>
          <w:color w:val="000000" w:themeColor="text1"/>
          <w:sz w:val="24"/>
          <w:szCs w:val="24"/>
          <w14:textFill>
            <w14:solidFill>
              <w14:schemeClr w14:val="tx1"/>
            </w14:solidFill>
          </w14:textFill>
        </w:rPr>
        <w:t>月</w:t>
      </w:r>
      <w:r>
        <w:rPr>
          <w:rFonts w:hint="eastAsia" w:ascii="Times New Roman" w:hAnsi="Times New Roman"/>
          <w:color w:val="000000" w:themeColor="text1"/>
          <w:sz w:val="24"/>
          <w:szCs w:val="24"/>
          <w14:textFill>
            <w14:solidFill>
              <w14:schemeClr w14:val="tx1"/>
            </w14:solidFill>
          </w14:textFill>
        </w:rPr>
        <w:t>）</w:t>
      </w:r>
      <w:r>
        <w:rPr>
          <w:rFonts w:ascii="Times New Roman" w:hAnsi="Times New Roman"/>
          <w:color w:val="000000" w:themeColor="text1"/>
          <w:sz w:val="24"/>
          <w:szCs w:val="24"/>
          <w14:textFill>
            <w14:solidFill>
              <w14:schemeClr w14:val="tx1"/>
            </w14:solidFill>
          </w14:textFill>
        </w:rPr>
        <w:t>；</w:t>
      </w:r>
    </w:p>
    <w:p>
      <w:pPr>
        <w:spacing w:line="360" w:lineRule="auto"/>
        <w:ind w:firstLine="480" w:firstLineChars="200"/>
        <w:rPr>
          <w:rFonts w:ascii="Times New Roman" w:hAnsi="Times New Roman"/>
          <w:color w:val="FF0000"/>
          <w:sz w:val="24"/>
          <w:szCs w:val="24"/>
        </w:rPr>
      </w:pPr>
      <w:r>
        <w:rPr>
          <w:rFonts w:ascii="Times New Roman" w:hAnsi="Times New Roman"/>
          <w:color w:val="000000" w:themeColor="text1"/>
          <w:sz w:val="24"/>
          <w:szCs w:val="24"/>
          <w14:textFill>
            <w14:solidFill>
              <w14:schemeClr w14:val="tx1"/>
            </w14:solidFill>
          </w14:textFill>
        </w:rPr>
        <w:t>（2）</w:t>
      </w:r>
      <w:r>
        <w:rPr>
          <w:rFonts w:hint="eastAsia" w:ascii="Times New Roman" w:hAnsi="Times New Roman"/>
          <w:color w:val="000000" w:themeColor="text1"/>
          <w:sz w:val="24"/>
          <w:szCs w:val="24"/>
          <w:lang w:eastAsia="zh-CN"/>
          <w14:textFill>
            <w14:solidFill>
              <w14:schemeClr w14:val="tx1"/>
            </w14:solidFill>
          </w14:textFill>
        </w:rPr>
        <w:t>沧州市生态环境局盐山分局</w:t>
      </w:r>
      <w:r>
        <w:rPr>
          <w:rFonts w:hint="eastAsia" w:ascii="Times New Roman" w:hAnsi="Times New Roman"/>
          <w:color w:val="000000" w:themeColor="text1"/>
          <w:sz w:val="24"/>
          <w:szCs w:val="24"/>
          <w14:textFill>
            <w14:solidFill>
              <w14:schemeClr w14:val="tx1"/>
            </w14:solidFill>
          </w14:textFill>
        </w:rPr>
        <w:t>，</w:t>
      </w:r>
      <w:r>
        <w:rPr>
          <w:rFonts w:hint="eastAsia" w:ascii="Times New Roman" w:hAnsi="Times New Roman"/>
          <w:color w:val="FF0000"/>
          <w:kern w:val="0"/>
          <w:sz w:val="24"/>
          <w:szCs w:val="24"/>
        </w:rPr>
        <w:t>沧县环评[2019]</w:t>
      </w:r>
      <w:r>
        <w:rPr>
          <w:rFonts w:hint="eastAsia" w:ascii="Times New Roman" w:hAnsi="Times New Roman"/>
          <w:color w:val="FF0000"/>
          <w:kern w:val="0"/>
          <w:sz w:val="24"/>
          <w:szCs w:val="24"/>
          <w:lang w:val="en-US" w:eastAsia="zh-CN"/>
        </w:rPr>
        <w:t>895</w:t>
      </w:r>
      <w:r>
        <w:rPr>
          <w:rFonts w:hint="eastAsia" w:ascii="Times New Roman" w:hAnsi="Times New Roman"/>
          <w:color w:val="FF0000"/>
          <w:kern w:val="0"/>
          <w:sz w:val="24"/>
          <w:szCs w:val="24"/>
        </w:rPr>
        <w:t>号</w:t>
      </w:r>
      <w:r>
        <w:rPr>
          <w:rFonts w:hint="eastAsia" w:ascii="Times New Roman" w:hAnsi="Times New Roman"/>
          <w:color w:val="FF0000"/>
          <w:sz w:val="24"/>
          <w:szCs w:val="24"/>
        </w:rPr>
        <w:t>，</w:t>
      </w:r>
      <w:r>
        <w:rPr>
          <w:rFonts w:ascii="Times New Roman" w:hAnsi="Times New Roman"/>
          <w:color w:val="000000" w:themeColor="text1"/>
          <w:sz w:val="24"/>
          <w:szCs w:val="24"/>
          <w14:textFill>
            <w14:solidFill>
              <w14:schemeClr w14:val="tx1"/>
            </w14:solidFill>
          </w14:textFill>
        </w:rPr>
        <w:t>关于《</w:t>
      </w:r>
      <w:r>
        <w:rPr>
          <w:rFonts w:hint="eastAsia" w:ascii="Times New Roman" w:hAnsi="Times New Roman"/>
          <w:color w:val="000000" w:themeColor="text1"/>
          <w:sz w:val="24"/>
          <w:szCs w:val="24"/>
          <w:lang w:eastAsia="zh-CN"/>
          <w14:textFill>
            <w14:solidFill>
              <w14:schemeClr w14:val="tx1"/>
            </w14:solidFill>
          </w14:textFill>
        </w:rPr>
        <w:t>河北商合管件制造有限公司标准件生产项目</w:t>
      </w:r>
      <w:r>
        <w:rPr>
          <w:rFonts w:ascii="Times New Roman" w:hAnsi="Times New Roman"/>
          <w:color w:val="000000" w:themeColor="text1"/>
          <w:sz w:val="24"/>
          <w:szCs w:val="24"/>
          <w14:textFill>
            <w14:solidFill>
              <w14:schemeClr w14:val="tx1"/>
            </w14:solidFill>
          </w14:textFill>
        </w:rPr>
        <w:t>》的审批意见，</w:t>
      </w:r>
      <w:r>
        <w:rPr>
          <w:rFonts w:hint="eastAsia" w:ascii="Times New Roman" w:hAnsi="Times New Roman"/>
          <w:color w:val="FF0000"/>
          <w:sz w:val="24"/>
          <w:szCs w:val="24"/>
        </w:rPr>
        <w:t>2019</w:t>
      </w:r>
      <w:r>
        <w:rPr>
          <w:rFonts w:ascii="Times New Roman" w:hAnsi="Times New Roman"/>
          <w:color w:val="FF0000"/>
          <w:sz w:val="24"/>
          <w:szCs w:val="24"/>
        </w:rPr>
        <w:t>年</w:t>
      </w:r>
      <w:r>
        <w:rPr>
          <w:rFonts w:hint="eastAsia" w:ascii="Times New Roman" w:hAnsi="Times New Roman"/>
          <w:color w:val="FF0000"/>
          <w:sz w:val="24"/>
          <w:szCs w:val="24"/>
          <w:lang w:val="en-US" w:eastAsia="zh-CN"/>
        </w:rPr>
        <w:t>12</w:t>
      </w:r>
      <w:r>
        <w:rPr>
          <w:rFonts w:ascii="Times New Roman" w:hAnsi="Times New Roman"/>
          <w:color w:val="FF0000"/>
          <w:sz w:val="24"/>
          <w:szCs w:val="24"/>
        </w:rPr>
        <w:t>月</w:t>
      </w:r>
      <w:r>
        <w:rPr>
          <w:rFonts w:hint="eastAsia" w:ascii="Times New Roman" w:hAnsi="Times New Roman"/>
          <w:color w:val="FF0000"/>
          <w:sz w:val="24"/>
          <w:szCs w:val="24"/>
          <w:lang w:val="en-US" w:eastAsia="zh-CN"/>
        </w:rPr>
        <w:t>26</w:t>
      </w:r>
      <w:r>
        <w:rPr>
          <w:rFonts w:ascii="Times New Roman" w:hAnsi="Times New Roman"/>
          <w:color w:val="FF0000"/>
          <w:sz w:val="24"/>
          <w:szCs w:val="24"/>
        </w:rPr>
        <w:t>日。</w:t>
      </w:r>
    </w:p>
    <w:p>
      <w:pPr>
        <w:spacing w:line="360" w:lineRule="auto"/>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（3）</w:t>
      </w:r>
      <w:r>
        <w:rPr>
          <w:rFonts w:hint="eastAsia" w:ascii="Times New Roman" w:hAnsi="Times New Roman"/>
          <w:color w:val="000000" w:themeColor="text1"/>
          <w:sz w:val="24"/>
          <w:szCs w:val="24"/>
          <w:lang w:eastAsia="zh-CN"/>
          <w14:textFill>
            <w14:solidFill>
              <w14:schemeClr w14:val="tx1"/>
            </w14:solidFill>
          </w14:textFill>
        </w:rPr>
        <w:t>河北商合管件制造有限公司</w:t>
      </w:r>
      <w:r>
        <w:rPr>
          <w:rFonts w:ascii="Times New Roman" w:hAnsi="Times New Roman"/>
          <w:color w:val="000000" w:themeColor="text1"/>
          <w:sz w:val="24"/>
          <w:szCs w:val="24"/>
          <w14:textFill>
            <w14:solidFill>
              <w14:schemeClr w14:val="tx1"/>
            </w14:solidFill>
          </w14:textFill>
        </w:rPr>
        <w:t>验收监测报告</w:t>
      </w:r>
      <w:r>
        <w:rPr>
          <w:rFonts w:hint="eastAsia" w:ascii="Times New Roman" w:hAnsi="Times New Roman"/>
          <w:color w:val="000000" w:themeColor="text1"/>
          <w:sz w:val="24"/>
          <w:szCs w:val="24"/>
          <w:lang w:val="en-US" w:eastAsia="zh-CN"/>
          <w14:textFill>
            <w14:solidFill>
              <w14:schemeClr w14:val="tx1"/>
            </w14:solidFill>
          </w14:textFill>
        </w:rPr>
        <w:t>HBZH-Y-20200069</w:t>
      </w:r>
      <w:r>
        <w:rPr>
          <w:rFonts w:ascii="Times New Roman" w:hAnsi="Times New Roman"/>
          <w:color w:val="000000" w:themeColor="text1"/>
          <w:sz w:val="24"/>
          <w:szCs w:val="24"/>
          <w14:textFill>
            <w14:solidFill>
              <w14:schemeClr w14:val="tx1"/>
            </w14:solidFill>
          </w14:textFill>
        </w:rPr>
        <w:t>；</w:t>
      </w:r>
    </w:p>
    <w:p>
      <w:pPr>
        <w:spacing w:line="360" w:lineRule="auto"/>
        <w:ind w:firstLine="480" w:firstLineChars="200"/>
        <w:rPr>
          <w:rFonts w:ascii="Times New Roman" w:hAnsi="Times New Roman"/>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r>
        <w:rPr>
          <w:rFonts w:ascii="Times New Roman" w:hAnsi="Times New Roman"/>
          <w:color w:val="000000" w:themeColor="text1"/>
          <w:sz w:val="24"/>
          <w:szCs w:val="24"/>
          <w14:textFill>
            <w14:solidFill>
              <w14:schemeClr w14:val="tx1"/>
            </w14:solidFill>
          </w14:textFill>
        </w:rPr>
        <w:t>（4）</w:t>
      </w:r>
      <w:r>
        <w:rPr>
          <w:rFonts w:hint="eastAsia" w:ascii="Times New Roman" w:hAnsi="Times New Roman"/>
          <w:color w:val="000000" w:themeColor="text1"/>
          <w:sz w:val="24"/>
          <w:szCs w:val="24"/>
          <w:lang w:eastAsia="zh-CN"/>
          <w14:textFill>
            <w14:solidFill>
              <w14:schemeClr w14:val="tx1"/>
            </w14:solidFill>
          </w14:textFill>
        </w:rPr>
        <w:t>河北商合管件制造有限公司</w:t>
      </w:r>
      <w:r>
        <w:rPr>
          <w:rFonts w:ascii="Times New Roman" w:hAnsi="Times New Roman"/>
          <w:color w:val="000000" w:themeColor="text1"/>
          <w:sz w:val="24"/>
          <w:szCs w:val="24"/>
          <w14:textFill>
            <w14:solidFill>
              <w14:schemeClr w14:val="tx1"/>
            </w14:solidFill>
          </w14:textFill>
        </w:rPr>
        <w:t>提供的其它相关资料。</w:t>
      </w:r>
    </w:p>
    <w:p>
      <w:pPr>
        <w:pStyle w:val="5"/>
        <w:rPr>
          <w:rFonts w:ascii="Times New Roman" w:hAnsi="Times New Roman"/>
          <w:color w:val="000000" w:themeColor="text1"/>
          <w14:textFill>
            <w14:solidFill>
              <w14:schemeClr w14:val="tx1"/>
            </w14:solidFill>
          </w14:textFill>
        </w:rPr>
      </w:pPr>
      <w:bookmarkStart w:id="23" w:name="_Toc13007"/>
      <w:bookmarkStart w:id="24" w:name="_Toc26991"/>
      <w:bookmarkStart w:id="25" w:name="_Toc20655"/>
      <w:bookmarkStart w:id="26" w:name="_Toc5367"/>
      <w:r>
        <w:rPr>
          <w:rFonts w:ascii="Times New Roman" w:hAnsi="Times New Roman"/>
          <w:color w:val="000000" w:themeColor="text1"/>
          <w14:textFill>
            <w14:solidFill>
              <w14:schemeClr w14:val="tx1"/>
            </w14:solidFill>
          </w14:textFill>
        </w:rPr>
        <w:t>2 工程概况</w:t>
      </w:r>
      <w:bookmarkEnd w:id="23"/>
      <w:bookmarkEnd w:id="24"/>
      <w:bookmarkEnd w:id="25"/>
      <w:bookmarkEnd w:id="26"/>
    </w:p>
    <w:p>
      <w:pPr>
        <w:pStyle w:val="6"/>
        <w:rPr>
          <w:rFonts w:ascii="Times New Roman" w:hAnsi="Times New Roman"/>
          <w:color w:val="000000" w:themeColor="text1"/>
          <w14:textFill>
            <w14:solidFill>
              <w14:schemeClr w14:val="tx1"/>
            </w14:solidFill>
          </w14:textFill>
        </w:rPr>
      </w:pPr>
      <w:bookmarkStart w:id="27" w:name="_Toc29334"/>
      <w:bookmarkStart w:id="28" w:name="_Toc11367"/>
      <w:bookmarkStart w:id="29" w:name="_Toc4417"/>
      <w:bookmarkStart w:id="30" w:name="_Toc22753"/>
      <w:r>
        <w:rPr>
          <w:rFonts w:ascii="Times New Roman" w:hAnsi="Times New Roman"/>
          <w:color w:val="000000" w:themeColor="text1"/>
          <w14:textFill>
            <w14:solidFill>
              <w14:schemeClr w14:val="tx1"/>
            </w14:solidFill>
          </w14:textFill>
        </w:rPr>
        <w:t>2.1 项目基本情况</w:t>
      </w:r>
      <w:bookmarkEnd w:id="27"/>
      <w:bookmarkEnd w:id="28"/>
      <w:bookmarkEnd w:id="29"/>
      <w:bookmarkEnd w:id="30"/>
    </w:p>
    <w:p>
      <w:pPr>
        <w:pStyle w:val="7"/>
        <w:rPr>
          <w:rFonts w:ascii="Times New Roman" w:hAnsi="Times New Roman"/>
          <w:color w:val="000000" w:themeColor="text1"/>
          <w14:textFill>
            <w14:solidFill>
              <w14:schemeClr w14:val="tx1"/>
            </w14:solidFill>
          </w14:textFill>
        </w:rPr>
      </w:pPr>
      <w:bookmarkStart w:id="31" w:name="_Toc1800"/>
      <w:bookmarkStart w:id="32" w:name="_Toc19257"/>
      <w:bookmarkStart w:id="33" w:name="_Toc20380"/>
      <w:bookmarkStart w:id="34" w:name="_Toc496979000"/>
      <w:bookmarkStart w:id="35" w:name="_Toc497001436"/>
      <w:bookmarkStart w:id="36" w:name="_Toc1249"/>
      <w:bookmarkStart w:id="37" w:name="_Hlk496952384"/>
      <w:r>
        <w:rPr>
          <w:rFonts w:ascii="Times New Roman" w:hAnsi="Times New Roman"/>
          <w:color w:val="000000" w:themeColor="text1"/>
          <w14:textFill>
            <w14:solidFill>
              <w14:schemeClr w14:val="tx1"/>
            </w14:solidFill>
          </w14:textFill>
        </w:rPr>
        <w:t>2.1.1 基本情况</w:t>
      </w:r>
      <w:bookmarkEnd w:id="31"/>
      <w:bookmarkEnd w:id="32"/>
      <w:bookmarkEnd w:id="33"/>
      <w:bookmarkEnd w:id="34"/>
      <w:bookmarkEnd w:id="35"/>
      <w:bookmarkEnd w:id="36"/>
    </w:p>
    <w:bookmarkEnd w:id="37"/>
    <w:p>
      <w:pPr>
        <w:spacing w:line="440" w:lineRule="atLeast"/>
        <w:ind w:firstLine="480" w:firstLineChars="200"/>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项目基本情况介绍见下表2-1。</w:t>
      </w:r>
    </w:p>
    <w:p>
      <w:pPr>
        <w:spacing w:line="440" w:lineRule="atLeast"/>
        <w:ind w:firstLine="482" w:firstLineChars="200"/>
        <w:jc w:val="center"/>
        <w:rPr>
          <w:rFonts w:ascii="Times New Roman" w:hAnsi="Times New Roman"/>
          <w:b/>
          <w:color w:val="000000" w:themeColor="text1"/>
          <w:sz w:val="24"/>
          <w:szCs w:val="24"/>
          <w14:textFill>
            <w14:solidFill>
              <w14:schemeClr w14:val="tx1"/>
            </w14:solidFill>
          </w14:textFill>
        </w:rPr>
      </w:pPr>
      <w:r>
        <w:rPr>
          <w:rFonts w:ascii="Times New Roman" w:hAnsi="Times New Roman"/>
          <w:b/>
          <w:color w:val="000000" w:themeColor="text1"/>
          <w:sz w:val="24"/>
          <w:szCs w:val="24"/>
          <w14:textFill>
            <w14:solidFill>
              <w14:schemeClr w14:val="tx1"/>
            </w14:solidFill>
          </w14:textFill>
        </w:rPr>
        <w:t>表2-1  项目基本情况</w:t>
      </w:r>
    </w:p>
    <w:tbl>
      <w:tblPr>
        <w:tblStyle w:val="18"/>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项目名称</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olor w:val="000000" w:themeColor="text1"/>
                <w:sz w:val="24"/>
                <w:szCs w:val="24"/>
                <w:lang w:eastAsia="zh-CN"/>
                <w14:textFill>
                  <w14:solidFill>
                    <w14:schemeClr w14:val="tx1"/>
                  </w14:solidFill>
                </w14:textFill>
              </w:rPr>
            </w:pPr>
            <w:r>
              <w:rPr>
                <w:rFonts w:hint="eastAsia" w:ascii="Times New Roman" w:hAnsi="Times New Roman"/>
                <w:color w:val="000000" w:themeColor="text1"/>
                <w:kern w:val="0"/>
                <w:sz w:val="24"/>
                <w:szCs w:val="24"/>
                <w:lang w:eastAsia="zh-CN"/>
                <w14:textFill>
                  <w14:solidFill>
                    <w14:schemeClr w14:val="tx1"/>
                  </w14:solidFill>
                </w14:textFill>
              </w:rPr>
              <w:t>河北商合管件制造有限公司标准件生产项目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建设单位</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olor w:val="000000" w:themeColor="text1"/>
                <w:sz w:val="24"/>
                <w:szCs w:val="24"/>
                <w:lang w:eastAsia="zh-CN"/>
                <w14:textFill>
                  <w14:solidFill>
                    <w14:schemeClr w14:val="tx1"/>
                  </w14:solidFill>
                </w14:textFill>
              </w:rPr>
            </w:pPr>
            <w:r>
              <w:rPr>
                <w:rFonts w:hint="eastAsia" w:ascii="Times New Roman" w:hAnsi="Times New Roman"/>
                <w:color w:val="000000" w:themeColor="text1"/>
                <w:kern w:val="0"/>
                <w:sz w:val="24"/>
                <w:szCs w:val="24"/>
                <w:lang w:eastAsia="zh-CN"/>
                <w14:textFill>
                  <w14:solidFill>
                    <w14:schemeClr w14:val="tx1"/>
                  </w14:solidFill>
                </w14:textFill>
              </w:rPr>
              <w:t>河北商合管件制造有限公司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法人代表</w:t>
            </w:r>
          </w:p>
        </w:tc>
        <w:tc>
          <w:tcPr>
            <w:tcW w:w="1893" w:type="dxa"/>
            <w:tcMar>
              <w:top w:w="0" w:type="dxa"/>
              <w:left w:w="0" w:type="dxa"/>
              <w:bottom w:w="0" w:type="dxa"/>
              <w:right w:w="0" w:type="dxa"/>
            </w:tcMar>
            <w:vAlign w:val="center"/>
          </w:tcPr>
          <w:p>
            <w:pPr>
              <w:spacing w:line="440" w:lineRule="atLeast"/>
              <w:jc w:val="center"/>
              <w:rPr>
                <w:rFonts w:hint="eastAsia" w:ascii="Times New Roman" w:hAnsi="Times New Roman" w:eastAsia="宋体"/>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kern w:val="0"/>
                <w:sz w:val="24"/>
                <w:lang w:eastAsia="zh-CN"/>
                <w14:textFill>
                  <w14:solidFill>
                    <w14:schemeClr w14:val="tx1"/>
                  </w14:solidFill>
                </w14:textFill>
              </w:rPr>
              <w:t>王建鹏</w:t>
            </w:r>
          </w:p>
        </w:tc>
        <w:tc>
          <w:tcPr>
            <w:tcW w:w="1538" w:type="dxa"/>
            <w:tcMar>
              <w:top w:w="0" w:type="dxa"/>
              <w:left w:w="0" w:type="dxa"/>
              <w:bottom w:w="0" w:type="dxa"/>
              <w:right w:w="0" w:type="dxa"/>
            </w:tcMar>
            <w:vAlign w:val="center"/>
          </w:tcPr>
          <w:p>
            <w:pPr>
              <w:spacing w:line="440" w:lineRule="atLeast"/>
              <w:jc w:val="center"/>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联系人</w:t>
            </w:r>
          </w:p>
        </w:tc>
        <w:tc>
          <w:tcPr>
            <w:tcW w:w="3956" w:type="dxa"/>
            <w:gridSpan w:val="3"/>
            <w:tcMar>
              <w:top w:w="0" w:type="dxa"/>
              <w:left w:w="0" w:type="dxa"/>
              <w:bottom w:w="0" w:type="dxa"/>
              <w:right w:w="0" w:type="dxa"/>
            </w:tcMar>
            <w:vAlign w:val="center"/>
          </w:tcPr>
          <w:p>
            <w:pPr>
              <w:spacing w:line="440" w:lineRule="atLeast"/>
              <w:jc w:val="center"/>
              <w:rPr>
                <w:rFonts w:hint="eastAsia" w:ascii="Times New Roman" w:hAnsi="Times New Roman" w:eastAsia="宋体"/>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kern w:val="0"/>
                <w:sz w:val="24"/>
                <w:lang w:eastAsia="zh-CN"/>
                <w14:textFill>
                  <w14:solidFill>
                    <w14:schemeClr w14:val="tx1"/>
                  </w14:solidFill>
                </w14:textFill>
              </w:rPr>
              <w:t>王建鹏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通信地址</w:t>
            </w:r>
          </w:p>
        </w:tc>
        <w:tc>
          <w:tcPr>
            <w:tcW w:w="7387" w:type="dxa"/>
            <w:gridSpan w:val="5"/>
            <w:tcMar>
              <w:top w:w="0" w:type="dxa"/>
              <w:left w:w="0" w:type="dxa"/>
              <w:bottom w:w="0" w:type="dxa"/>
              <w:right w:w="0" w:type="dxa"/>
            </w:tcMar>
            <w:vAlign w:val="center"/>
          </w:tcPr>
          <w:p>
            <w:pPr>
              <w:jc w:val="center"/>
              <w:rPr>
                <w:rFonts w:hint="eastAsia" w:ascii="Times New Roman" w:hAnsi="Times New Roman" w:eastAsia="宋体"/>
                <w:color w:val="auto"/>
                <w:sz w:val="24"/>
                <w:szCs w:val="24"/>
                <w:lang w:eastAsia="zh-CN"/>
              </w:rPr>
            </w:pPr>
            <w:r>
              <w:rPr>
                <w:rFonts w:hint="eastAsia" w:ascii="Times New Roman" w:hAnsi="Times New Roman"/>
                <w:color w:val="auto"/>
                <w:sz w:val="24"/>
                <w:szCs w:val="24"/>
                <w:lang w:eastAsia="zh-CN"/>
              </w:rPr>
              <w:t>盐山盐山镇范庄村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联系电话</w:t>
            </w:r>
          </w:p>
        </w:tc>
        <w:tc>
          <w:tcPr>
            <w:tcW w:w="1893"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hint="eastAsia" w:ascii="Times New Roman" w:hAnsi="Times New Roman"/>
                <w:color w:val="auto"/>
                <w:sz w:val="24"/>
                <w:szCs w:val="24"/>
              </w:rPr>
              <w:t>18713720654</w:t>
            </w:r>
          </w:p>
        </w:tc>
        <w:tc>
          <w:tcPr>
            <w:tcW w:w="1538" w:type="dxa"/>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ascii="Times New Roman" w:hAnsi="Times New Roman"/>
                <w:color w:val="auto"/>
                <w:sz w:val="24"/>
                <w:szCs w:val="24"/>
              </w:rPr>
              <w:t>邮编</w:t>
            </w:r>
          </w:p>
        </w:tc>
        <w:tc>
          <w:tcPr>
            <w:tcW w:w="3956" w:type="dxa"/>
            <w:gridSpan w:val="3"/>
            <w:tcMar>
              <w:top w:w="0" w:type="dxa"/>
              <w:left w:w="0" w:type="dxa"/>
              <w:bottom w:w="0" w:type="dxa"/>
              <w:right w:w="0" w:type="dxa"/>
            </w:tcMar>
            <w:vAlign w:val="center"/>
          </w:tcPr>
          <w:p>
            <w:pPr>
              <w:spacing w:line="440" w:lineRule="atLeast"/>
              <w:jc w:val="center"/>
              <w:rPr>
                <w:rFonts w:ascii="Times New Roman" w:hAnsi="Times New Roman"/>
                <w:color w:val="auto"/>
                <w:sz w:val="24"/>
                <w:szCs w:val="24"/>
              </w:rPr>
            </w:pPr>
            <w:r>
              <w:rPr>
                <w:rFonts w:hint="eastAsia" w:ascii="Times New Roman" w:hAnsi="Times New Roman"/>
                <w:color w:val="auto"/>
                <w:sz w:val="24"/>
                <w:szCs w:val="24"/>
              </w:rPr>
              <w:t>061</w:t>
            </w:r>
            <w:r>
              <w:rPr>
                <w:rFonts w:hint="eastAsia" w:ascii="Times New Roman" w:hAnsi="Times New Roman"/>
                <w:color w:val="auto"/>
                <w:sz w:val="24"/>
                <w:szCs w:val="24"/>
                <w:lang w:val="en-US" w:eastAsia="zh-CN"/>
              </w:rPr>
              <w:t>3</w:t>
            </w:r>
            <w:r>
              <w:rPr>
                <w:rFonts w:hint="eastAsia" w:ascii="Times New Roman" w:hAnsi="Times New Roman"/>
                <w:color w:val="auto"/>
                <w:sz w:val="24"/>
                <w:szCs w:val="24"/>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项目性质</w:t>
            </w:r>
          </w:p>
        </w:tc>
        <w:tc>
          <w:tcPr>
            <w:tcW w:w="1893" w:type="dxa"/>
            <w:tcMar>
              <w:top w:w="0" w:type="dxa"/>
              <w:left w:w="0" w:type="dxa"/>
              <w:bottom w:w="0" w:type="dxa"/>
              <w:right w:w="0" w:type="dxa"/>
            </w:tcMar>
            <w:vAlign w:val="center"/>
          </w:tcPr>
          <w:p>
            <w:pPr>
              <w:ind w:firstLine="120" w:firstLineChars="50"/>
              <w:jc w:val="center"/>
              <w:rPr>
                <w:rFonts w:ascii="Times New Roman" w:hAnsi="Times New Roman"/>
                <w:color w:val="auto"/>
                <w:sz w:val="24"/>
                <w:szCs w:val="24"/>
              </w:rPr>
            </w:pPr>
            <w:r>
              <w:rPr>
                <w:rFonts w:hint="eastAsia" w:ascii="Times New Roman" w:hAnsi="Times New Roman"/>
                <w:color w:val="auto"/>
                <w:sz w:val="24"/>
                <w:szCs w:val="24"/>
              </w:rPr>
              <w:t>新建</w:t>
            </w:r>
          </w:p>
        </w:tc>
        <w:tc>
          <w:tcPr>
            <w:tcW w:w="1538"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行业类别</w:t>
            </w:r>
          </w:p>
        </w:tc>
        <w:tc>
          <w:tcPr>
            <w:tcW w:w="3956" w:type="dxa"/>
            <w:gridSpan w:val="3"/>
            <w:tcMar>
              <w:top w:w="0" w:type="dxa"/>
              <w:left w:w="0" w:type="dxa"/>
              <w:bottom w:w="0" w:type="dxa"/>
              <w:right w:w="0" w:type="dxa"/>
            </w:tcMar>
            <w:vAlign w:val="center"/>
          </w:tcPr>
          <w:p>
            <w:pPr>
              <w:spacing w:line="260" w:lineRule="exact"/>
              <w:jc w:val="center"/>
              <w:rPr>
                <w:rFonts w:ascii="Times New Roman" w:hAnsi="Times New Roman"/>
                <w:color w:val="auto"/>
                <w:sz w:val="24"/>
                <w:szCs w:val="24"/>
              </w:rPr>
            </w:pPr>
            <w:r>
              <w:rPr>
                <w:rFonts w:hint="default" w:ascii="Times New Roman" w:hAnsi="Times New Roman"/>
                <w:color w:val="auto"/>
                <w:sz w:val="24"/>
                <w:szCs w:val="24"/>
                <w:lang w:eastAsia="zh-CN"/>
              </w:rPr>
              <w:t>金属结构制造</w:t>
            </w:r>
            <w:r>
              <w:rPr>
                <w:rFonts w:hint="default" w:ascii="Times New Roman" w:hAnsi="Times New Roman"/>
                <w:color w:val="auto"/>
                <w:sz w:val="24"/>
                <w:szCs w:val="24"/>
              </w:rPr>
              <w:t>C33</w:t>
            </w:r>
            <w:r>
              <w:rPr>
                <w:rFonts w:hint="default" w:ascii="Times New Roman" w:hAnsi="Times New Roman"/>
                <w:color w:val="auto"/>
                <w:sz w:val="24"/>
                <w:szCs w:val="24"/>
                <w:lang w:val="en-US" w:eastAsia="zh-CN"/>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总投资（万元）</w:t>
            </w:r>
          </w:p>
        </w:tc>
        <w:tc>
          <w:tcPr>
            <w:tcW w:w="1893" w:type="dxa"/>
            <w:tcMar>
              <w:top w:w="0" w:type="dxa"/>
              <w:left w:w="0" w:type="dxa"/>
              <w:bottom w:w="0" w:type="dxa"/>
              <w:right w:w="0" w:type="dxa"/>
            </w:tcMar>
            <w:vAlign w:val="center"/>
          </w:tcPr>
          <w:p>
            <w:pPr>
              <w:ind w:firstLine="120" w:firstLineChars="50"/>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190</w:t>
            </w:r>
          </w:p>
        </w:tc>
        <w:tc>
          <w:tcPr>
            <w:tcW w:w="1538" w:type="dxa"/>
            <w:tcMar>
              <w:top w:w="0" w:type="dxa"/>
              <w:left w:w="0" w:type="dxa"/>
              <w:bottom w:w="0" w:type="dxa"/>
              <w:right w:w="0" w:type="dxa"/>
            </w:tcMar>
            <w:vAlign w:val="center"/>
          </w:tcPr>
          <w:p>
            <w:pPr>
              <w:jc w:val="center"/>
              <w:rPr>
                <w:rFonts w:ascii="Times New Roman" w:hAnsi="Times New Roman"/>
                <w:color w:val="auto"/>
                <w:sz w:val="24"/>
                <w:szCs w:val="24"/>
              </w:rPr>
            </w:pPr>
            <w:r>
              <w:rPr>
                <w:rFonts w:ascii="Times New Roman" w:hAnsi="Times New Roman"/>
                <w:color w:val="auto"/>
                <w:sz w:val="24"/>
                <w:szCs w:val="24"/>
              </w:rPr>
              <w:t>环保投资</w:t>
            </w:r>
          </w:p>
          <w:p>
            <w:pPr>
              <w:jc w:val="center"/>
              <w:rPr>
                <w:rFonts w:ascii="Times New Roman" w:hAnsi="Times New Roman"/>
                <w:color w:val="auto"/>
                <w:sz w:val="24"/>
                <w:szCs w:val="24"/>
              </w:rPr>
            </w:pPr>
            <w:r>
              <w:rPr>
                <w:rFonts w:ascii="Times New Roman" w:hAnsi="Times New Roman"/>
                <w:color w:val="auto"/>
                <w:sz w:val="24"/>
                <w:szCs w:val="24"/>
              </w:rPr>
              <w:t>（万元）</w:t>
            </w:r>
          </w:p>
        </w:tc>
        <w:tc>
          <w:tcPr>
            <w:tcW w:w="754"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10</w:t>
            </w:r>
          </w:p>
        </w:tc>
        <w:tc>
          <w:tcPr>
            <w:tcW w:w="1375" w:type="dxa"/>
            <w:tcMar>
              <w:top w:w="0" w:type="dxa"/>
              <w:left w:w="0" w:type="dxa"/>
              <w:bottom w:w="0" w:type="dxa"/>
              <w:right w:w="0" w:type="dxa"/>
            </w:tcMar>
            <w:vAlign w:val="center"/>
          </w:tcPr>
          <w:p>
            <w:pPr>
              <w:spacing w:line="260" w:lineRule="exact"/>
              <w:jc w:val="center"/>
              <w:rPr>
                <w:rFonts w:ascii="Times New Roman" w:hAnsi="Times New Roman"/>
                <w:color w:val="auto"/>
                <w:sz w:val="24"/>
                <w:szCs w:val="24"/>
              </w:rPr>
            </w:pPr>
            <w:r>
              <w:rPr>
                <w:rFonts w:ascii="Times New Roman" w:hAnsi="Times New Roman"/>
                <w:color w:val="auto"/>
                <w:sz w:val="24"/>
                <w:szCs w:val="24"/>
              </w:rPr>
              <w:t>环保投资占总投资比列（%）</w:t>
            </w:r>
          </w:p>
        </w:tc>
        <w:tc>
          <w:tcPr>
            <w:tcW w:w="1827"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5.26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auto"/>
                <w:sz w:val="24"/>
                <w:szCs w:val="24"/>
              </w:rPr>
            </w:pPr>
            <w:r>
              <w:rPr>
                <w:rFonts w:ascii="Times New Roman" w:hAnsi="Times New Roman"/>
                <w:color w:val="auto"/>
                <w:sz w:val="24"/>
                <w:szCs w:val="24"/>
              </w:rPr>
              <w:t>建设地点</w:t>
            </w:r>
          </w:p>
        </w:tc>
        <w:tc>
          <w:tcPr>
            <w:tcW w:w="7387" w:type="dxa"/>
            <w:gridSpan w:val="5"/>
            <w:tcMar>
              <w:top w:w="0" w:type="dxa"/>
              <w:left w:w="0" w:type="dxa"/>
              <w:bottom w:w="0" w:type="dxa"/>
              <w:right w:w="0" w:type="dxa"/>
            </w:tcMar>
            <w:vAlign w:val="center"/>
          </w:tcPr>
          <w:p>
            <w:pPr>
              <w:spacing w:line="390" w:lineRule="atLeast"/>
              <w:jc w:val="center"/>
              <w:rPr>
                <w:rFonts w:hint="eastAsia" w:ascii="Times New Roman" w:hAnsi="Times New Roman" w:eastAsia="宋体"/>
                <w:color w:val="auto"/>
                <w:sz w:val="24"/>
                <w:szCs w:val="24"/>
                <w:lang w:eastAsia="zh-CN"/>
              </w:rPr>
            </w:pPr>
            <w:r>
              <w:rPr>
                <w:rFonts w:hint="eastAsia" w:ascii="Times New Roman" w:hAnsi="Times New Roman"/>
                <w:color w:val="auto"/>
                <w:kern w:val="0"/>
                <w:sz w:val="24"/>
                <w:szCs w:val="24"/>
                <w:lang w:eastAsia="zh-CN"/>
              </w:rPr>
              <w:t>盐山盐山镇范庄村</w:t>
            </w:r>
          </w:p>
        </w:tc>
      </w:tr>
    </w:tbl>
    <w:p>
      <w:pPr>
        <w:pStyle w:val="7"/>
        <w:rPr>
          <w:rFonts w:ascii="Times New Roman" w:hAnsi="Times New Roman"/>
          <w:color w:val="auto"/>
        </w:rPr>
      </w:pPr>
      <w:bookmarkStart w:id="38" w:name="_Toc27686"/>
      <w:bookmarkStart w:id="39" w:name="_Toc497001437"/>
      <w:bookmarkStart w:id="40" w:name="_Toc20144"/>
      <w:bookmarkStart w:id="41" w:name="_Toc17116"/>
      <w:bookmarkStart w:id="42" w:name="_Toc496979001"/>
      <w:bookmarkStart w:id="43" w:name="_Toc5505"/>
      <w:r>
        <w:rPr>
          <w:rFonts w:ascii="Times New Roman" w:hAnsi="Times New Roman"/>
          <w:color w:val="auto"/>
        </w:rPr>
        <w:t>2.1.2 地理位置及周边情况</w:t>
      </w:r>
      <w:bookmarkEnd w:id="38"/>
      <w:bookmarkEnd w:id="39"/>
      <w:bookmarkEnd w:id="40"/>
      <w:bookmarkEnd w:id="41"/>
      <w:bookmarkEnd w:id="42"/>
      <w:bookmarkEnd w:id="43"/>
    </w:p>
    <w:p>
      <w:pPr>
        <w:spacing w:line="440" w:lineRule="atLeast"/>
        <w:ind w:firstLine="480" w:firstLineChars="200"/>
        <w:rPr>
          <w:rFonts w:hint="eastAsia" w:ascii="Times New Roman" w:hAnsi="宋体"/>
          <w:color w:val="auto"/>
          <w:kern w:val="0"/>
          <w:sz w:val="24"/>
          <w:szCs w:val="20"/>
          <w:u w:color="000000"/>
        </w:rPr>
      </w:pPr>
      <w:bookmarkStart w:id="44" w:name="_Toc29219"/>
      <w:bookmarkStart w:id="45" w:name="_Toc8614"/>
      <w:bookmarkStart w:id="46" w:name="_Toc32226"/>
      <w:bookmarkStart w:id="47" w:name="_Toc20079"/>
      <w:bookmarkStart w:id="48" w:name="_Toc497001438"/>
      <w:bookmarkStart w:id="49" w:name="_Toc496979002"/>
      <w:r>
        <w:rPr>
          <w:rFonts w:hint="eastAsia" w:ascii="Times New Roman" w:hAnsi="宋体"/>
          <w:color w:val="auto"/>
          <w:kern w:val="0"/>
          <w:sz w:val="24"/>
          <w:szCs w:val="20"/>
          <w:u w:color="000000"/>
        </w:rPr>
        <w:t>项目位于河北省沧州市</w:t>
      </w:r>
      <w:r>
        <w:rPr>
          <w:rFonts w:hint="eastAsia" w:ascii="Times New Roman" w:hAnsi="宋体"/>
          <w:color w:val="auto"/>
          <w:kern w:val="0"/>
          <w:sz w:val="24"/>
          <w:szCs w:val="20"/>
          <w:u w:color="000000"/>
          <w:lang w:eastAsia="zh-CN"/>
        </w:rPr>
        <w:t>盐山盐山镇范庄村</w:t>
      </w:r>
      <w:r>
        <w:rPr>
          <w:rFonts w:hint="eastAsia" w:ascii="Times New Roman" w:hAnsi="宋体"/>
          <w:color w:val="auto"/>
          <w:kern w:val="0"/>
          <w:sz w:val="24"/>
          <w:szCs w:val="20"/>
          <w:u w:color="000000"/>
        </w:rPr>
        <w:t>，项目厂址中心地理坐标为</w:t>
      </w:r>
      <w:r>
        <w:rPr>
          <w:rFonts w:hint="eastAsia" w:ascii="Times New Roman" w:hAnsi="宋体"/>
          <w:color w:val="auto"/>
          <w:kern w:val="0"/>
          <w:sz w:val="24"/>
          <w:szCs w:val="20"/>
          <w:u w:color="000000"/>
          <w:lang w:eastAsia="zh-CN"/>
        </w:rPr>
        <w:t>北纬38°4'35.29"，东经117°11'14.21"。项目西北侧为空地、东南侧为省道、西南、东北侧为厂子。项目周围环境敏感点为西南侧102m处的范庄居民楼</w:t>
      </w:r>
      <w:r>
        <w:rPr>
          <w:rFonts w:hint="eastAsia" w:ascii="Times New Roman" w:hAnsi="宋体"/>
          <w:color w:val="auto"/>
          <w:kern w:val="0"/>
          <w:sz w:val="24"/>
          <w:szCs w:val="20"/>
          <w:u w:color="000000"/>
        </w:rPr>
        <w:t>。项目地理位置见附图1，周边关系见附图2。</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2.1.3 厂区平面布置</w:t>
      </w:r>
      <w:bookmarkEnd w:id="44"/>
      <w:bookmarkEnd w:id="45"/>
      <w:bookmarkEnd w:id="46"/>
      <w:bookmarkEnd w:id="47"/>
      <w:bookmarkEnd w:id="48"/>
      <w:bookmarkEnd w:id="49"/>
    </w:p>
    <w:p>
      <w:pPr>
        <w:spacing w:line="440" w:lineRule="atLeast"/>
        <w:ind w:firstLine="480" w:firstLineChars="200"/>
        <w:jc w:val="left"/>
        <w:rPr>
          <w:rFonts w:ascii="Times New Roman" w:hAnsi="Times New Roman"/>
          <w:color w:val="auto"/>
          <w:sz w:val="24"/>
          <w:szCs w:val="24"/>
        </w:rPr>
      </w:pPr>
      <w:r>
        <w:rPr>
          <w:rFonts w:hint="eastAsia" w:ascii="Times New Roman" w:hAnsi="Times New Roman"/>
          <w:color w:val="auto"/>
          <w:sz w:val="24"/>
        </w:rPr>
        <w:t>本项目在满足生产工艺流程的前提下，考虑运输、安全等各方面要求，按各种设施不同功能在生产车间内进行分区和组合，厂区布置合理，有利生产，方便管理，厂区具体平面布置见附图3。</w:t>
      </w:r>
    </w:p>
    <w:p>
      <w:pPr>
        <w:pStyle w:val="6"/>
        <w:spacing w:line="440" w:lineRule="atLeast"/>
        <w:rPr>
          <w:rFonts w:ascii="Times New Roman" w:hAnsi="Times New Roman"/>
          <w:color w:val="auto"/>
        </w:rPr>
      </w:pPr>
      <w:bookmarkStart w:id="50" w:name="_Toc23208"/>
      <w:bookmarkStart w:id="51" w:name="_Toc23037"/>
      <w:bookmarkStart w:id="52" w:name="_Toc27136"/>
      <w:bookmarkStart w:id="53" w:name="_Toc32048"/>
      <w:r>
        <w:rPr>
          <w:rFonts w:ascii="Times New Roman" w:hAnsi="Times New Roman"/>
          <w:color w:val="auto"/>
        </w:rPr>
        <w:t>2.2 建设内容</w:t>
      </w:r>
      <w:bookmarkEnd w:id="50"/>
      <w:bookmarkEnd w:id="51"/>
      <w:bookmarkEnd w:id="52"/>
      <w:bookmarkEnd w:id="53"/>
    </w:p>
    <w:p>
      <w:pPr>
        <w:pStyle w:val="7"/>
        <w:spacing w:line="440" w:lineRule="atLeast"/>
        <w:rPr>
          <w:rFonts w:ascii="Times New Roman" w:hAnsi="Times New Roman"/>
          <w:color w:val="auto"/>
        </w:rPr>
      </w:pPr>
      <w:bookmarkStart w:id="54" w:name="_Toc26634"/>
      <w:bookmarkStart w:id="55" w:name="_Toc27539"/>
      <w:bookmarkStart w:id="56" w:name="_Toc497001440"/>
      <w:bookmarkStart w:id="57" w:name="_Toc30677"/>
      <w:bookmarkStart w:id="58" w:name="_Toc10787"/>
      <w:bookmarkStart w:id="59" w:name="_Toc496979004"/>
      <w:r>
        <w:rPr>
          <w:rFonts w:ascii="Times New Roman" w:hAnsi="Times New Roman"/>
          <w:color w:val="auto"/>
        </w:rPr>
        <w:t>2.2.1 生产规模及产品方案</w:t>
      </w:r>
      <w:bookmarkEnd w:id="54"/>
      <w:bookmarkEnd w:id="55"/>
      <w:bookmarkEnd w:id="56"/>
      <w:bookmarkEnd w:id="57"/>
      <w:bookmarkEnd w:id="58"/>
      <w:bookmarkEnd w:id="59"/>
    </w:p>
    <w:p>
      <w:pPr>
        <w:pStyle w:val="7"/>
        <w:spacing w:before="156" w:beforeLines="50" w:line="360" w:lineRule="auto"/>
        <w:ind w:firstLine="480" w:firstLineChars="200"/>
        <w:rPr>
          <w:rFonts w:ascii="Times New Roman" w:hAnsi="Times New Roman"/>
          <w:color w:val="auto"/>
        </w:rPr>
      </w:pPr>
      <w:bookmarkStart w:id="60" w:name="_Toc26443"/>
      <w:bookmarkStart w:id="61" w:name="_Toc25732"/>
      <w:bookmarkStart w:id="62" w:name="_Toc30045"/>
      <w:bookmarkStart w:id="63" w:name="_Toc9009"/>
      <w:bookmarkStart w:id="64" w:name="_Toc26546"/>
      <w:bookmarkStart w:id="65" w:name="_Toc26138"/>
      <w:r>
        <w:rPr>
          <w:rFonts w:ascii="Times New Roman" w:hAnsi="Times New Roman"/>
          <w:color w:val="auto"/>
        </w:rPr>
        <w:t>本项目</w:t>
      </w:r>
      <w:bookmarkEnd w:id="60"/>
      <w:bookmarkStart w:id="66" w:name="_Toc497001441"/>
      <w:bookmarkStart w:id="67" w:name="_Toc496979005"/>
      <w:r>
        <w:rPr>
          <w:rFonts w:hint="default" w:ascii="Times New Roman" w:hAnsi="Times New Roman"/>
          <w:color w:val="auto"/>
          <w:lang w:eastAsia="zh-CN"/>
        </w:rPr>
        <w:t>年产标准件600件</w:t>
      </w:r>
      <w:r>
        <w:rPr>
          <w:rFonts w:hint="eastAsia" w:ascii="Times New Roman" w:hAnsi="Times New Roman"/>
          <w:color w:val="auto"/>
        </w:rPr>
        <w:t>。</w:t>
      </w:r>
      <w:bookmarkEnd w:id="61"/>
      <w:bookmarkEnd w:id="62"/>
      <w:bookmarkEnd w:id="63"/>
      <w:bookmarkEnd w:id="64"/>
      <w:bookmarkEnd w:id="65"/>
    </w:p>
    <w:p>
      <w:pPr>
        <w:rPr>
          <w:rFonts w:ascii="Times New Roman" w:hAnsi="Times New Roman"/>
          <w:color w:val="auto"/>
          <w:sz w:val="24"/>
          <w:szCs w:val="24"/>
        </w:rPr>
      </w:pPr>
      <w:bookmarkStart w:id="68" w:name="_Toc13472"/>
      <w:bookmarkStart w:id="69" w:name="_Toc20908"/>
      <w:bookmarkStart w:id="70" w:name="_Toc21731"/>
      <w:bookmarkStart w:id="71" w:name="_Toc23799"/>
      <w:r>
        <w:rPr>
          <w:rFonts w:ascii="Times New Roman" w:hAnsi="Times New Roman"/>
          <w:color w:val="auto"/>
          <w:sz w:val="24"/>
          <w:szCs w:val="24"/>
        </w:rPr>
        <w:t>2.2.2 主要原辅材料</w:t>
      </w:r>
      <w:bookmarkEnd w:id="66"/>
      <w:bookmarkEnd w:id="67"/>
      <w:bookmarkEnd w:id="68"/>
      <w:bookmarkEnd w:id="69"/>
      <w:bookmarkEnd w:id="70"/>
      <w:bookmarkEnd w:id="71"/>
    </w:p>
    <w:p>
      <w:pPr>
        <w:spacing w:line="440" w:lineRule="atLeast"/>
        <w:ind w:firstLine="480"/>
        <w:rPr>
          <w:rFonts w:ascii="Times New Roman" w:hAnsi="Times New Roman"/>
          <w:color w:val="auto"/>
          <w:sz w:val="24"/>
          <w:szCs w:val="24"/>
        </w:rPr>
      </w:pPr>
      <w:r>
        <w:rPr>
          <w:rFonts w:ascii="Times New Roman" w:hAnsi="Times New Roman"/>
          <w:color w:val="auto"/>
          <w:sz w:val="24"/>
          <w:szCs w:val="24"/>
        </w:rPr>
        <w:t>原辅材料及能源消耗表见表2-2。</w:t>
      </w:r>
    </w:p>
    <w:p>
      <w:pPr>
        <w:adjustRightInd w:val="0"/>
        <w:snapToGrid w:val="0"/>
        <w:spacing w:line="480" w:lineRule="atLeast"/>
        <w:jc w:val="center"/>
        <w:rPr>
          <w:rFonts w:ascii="Times New Roman" w:hAnsi="Times New Roman"/>
          <w:b/>
          <w:color w:val="auto"/>
          <w:sz w:val="24"/>
          <w:szCs w:val="24"/>
        </w:rPr>
      </w:pPr>
      <w:r>
        <w:rPr>
          <w:rFonts w:ascii="Times New Roman" w:hAnsi="Times New Roman"/>
          <w:b/>
          <w:color w:val="auto"/>
          <w:sz w:val="24"/>
          <w:szCs w:val="24"/>
        </w:rPr>
        <w:t>表2-2  原辅材料及能源消耗表</w:t>
      </w:r>
    </w:p>
    <w:tbl>
      <w:tblPr>
        <w:tblStyle w:val="18"/>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448"/>
        <w:gridCol w:w="1238"/>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widowControl/>
              <w:jc w:val="center"/>
              <w:rPr>
                <w:rFonts w:ascii="Times New Roman" w:hAnsi="Times New Roman"/>
                <w:b/>
                <w:bCs/>
                <w:color w:val="auto"/>
                <w:kern w:val="0"/>
                <w:szCs w:val="21"/>
              </w:rPr>
            </w:pPr>
            <w:bookmarkStart w:id="72" w:name="_Toc497001442"/>
            <w:bookmarkStart w:id="73" w:name="_Toc496979006"/>
            <w:bookmarkStart w:id="74" w:name="_Toc5968"/>
            <w:bookmarkStart w:id="75" w:name="_Toc2160"/>
            <w:bookmarkStart w:id="76" w:name="_Toc26045"/>
            <w:bookmarkStart w:id="77" w:name="_Toc4853"/>
            <w:r>
              <w:rPr>
                <w:rFonts w:ascii="Times New Roman" w:hAnsi="Times New Roman"/>
                <w:b/>
                <w:bCs/>
                <w:color w:val="auto"/>
                <w:kern w:val="0"/>
                <w:szCs w:val="21"/>
              </w:rPr>
              <w:t>序号</w:t>
            </w:r>
          </w:p>
        </w:tc>
        <w:tc>
          <w:tcPr>
            <w:tcW w:w="2448" w:type="dxa"/>
            <w:tcBorders>
              <w:tl2br w:val="nil"/>
              <w:tr2bl w:val="nil"/>
            </w:tcBorders>
            <w:vAlign w:val="center"/>
          </w:tcPr>
          <w:p>
            <w:pPr>
              <w:widowControl/>
              <w:jc w:val="center"/>
              <w:rPr>
                <w:rFonts w:ascii="Times New Roman" w:hAnsi="Times New Roman"/>
                <w:b/>
                <w:bCs/>
                <w:color w:val="auto"/>
                <w:kern w:val="0"/>
                <w:szCs w:val="21"/>
              </w:rPr>
            </w:pPr>
            <w:r>
              <w:rPr>
                <w:rFonts w:ascii="Times New Roman" w:hAnsi="Times New Roman"/>
                <w:b/>
                <w:bCs/>
                <w:color w:val="auto"/>
                <w:kern w:val="0"/>
                <w:szCs w:val="21"/>
              </w:rPr>
              <w:t>名称</w:t>
            </w:r>
          </w:p>
        </w:tc>
        <w:tc>
          <w:tcPr>
            <w:tcW w:w="1238" w:type="dxa"/>
            <w:tcBorders>
              <w:tl2br w:val="nil"/>
              <w:tr2bl w:val="nil"/>
            </w:tcBorders>
            <w:vAlign w:val="center"/>
          </w:tcPr>
          <w:p>
            <w:pPr>
              <w:widowControl/>
              <w:jc w:val="center"/>
              <w:rPr>
                <w:rFonts w:ascii="Times New Roman" w:hAnsi="Times New Roman"/>
                <w:b/>
                <w:bCs/>
                <w:color w:val="auto"/>
                <w:kern w:val="0"/>
                <w:szCs w:val="21"/>
              </w:rPr>
            </w:pPr>
            <w:r>
              <w:rPr>
                <w:rFonts w:ascii="Times New Roman" w:hAnsi="Times New Roman"/>
                <w:b/>
                <w:bCs/>
                <w:color w:val="auto"/>
                <w:kern w:val="0"/>
                <w:szCs w:val="21"/>
              </w:rPr>
              <w:t>单位</w:t>
            </w:r>
          </w:p>
        </w:tc>
        <w:tc>
          <w:tcPr>
            <w:tcW w:w="1881" w:type="dxa"/>
            <w:tcBorders>
              <w:tl2br w:val="nil"/>
              <w:tr2bl w:val="nil"/>
            </w:tcBorders>
            <w:vAlign w:val="center"/>
          </w:tcPr>
          <w:p>
            <w:pPr>
              <w:widowControl/>
              <w:jc w:val="center"/>
              <w:rPr>
                <w:rFonts w:ascii="Times New Roman" w:hAnsi="Times New Roman"/>
                <w:b/>
                <w:bCs/>
                <w:color w:val="auto"/>
                <w:kern w:val="0"/>
                <w:szCs w:val="21"/>
              </w:rPr>
            </w:pPr>
            <w:r>
              <w:rPr>
                <w:rFonts w:hint="eastAsia" w:ascii="Times New Roman" w:hAnsi="Times New Roman"/>
                <w:b/>
                <w:bCs/>
                <w:color w:val="auto"/>
                <w:kern w:val="0"/>
                <w:szCs w:val="21"/>
              </w:rPr>
              <w:t>环评年</w:t>
            </w:r>
            <w:r>
              <w:rPr>
                <w:rFonts w:ascii="Times New Roman" w:hAnsi="Times New Roman"/>
                <w:b/>
                <w:bCs/>
                <w:color w:val="auto"/>
                <w:kern w:val="0"/>
                <w:szCs w:val="21"/>
              </w:rPr>
              <w:t>消耗量</w:t>
            </w:r>
          </w:p>
        </w:tc>
        <w:tc>
          <w:tcPr>
            <w:tcW w:w="1871" w:type="dxa"/>
            <w:tcBorders>
              <w:tl2br w:val="nil"/>
              <w:tr2bl w:val="nil"/>
            </w:tcBorders>
            <w:vAlign w:val="center"/>
          </w:tcPr>
          <w:p>
            <w:pPr>
              <w:widowControl/>
              <w:jc w:val="center"/>
              <w:rPr>
                <w:rFonts w:ascii="Times New Roman" w:hAnsi="Times New Roman"/>
                <w:b/>
                <w:bCs/>
                <w:color w:val="auto"/>
                <w:kern w:val="0"/>
                <w:szCs w:val="21"/>
              </w:rPr>
            </w:pPr>
            <w:r>
              <w:rPr>
                <w:rFonts w:hint="eastAsia" w:ascii="Times New Roman" w:hAnsi="Times New Roman"/>
                <w:b/>
                <w:bCs/>
                <w:color w:val="auto"/>
                <w:kern w:val="0"/>
                <w:szCs w:val="21"/>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adjustRightInd w:val="0"/>
              <w:snapToGrid w:val="0"/>
              <w:spacing w:line="400" w:lineRule="atLeast"/>
              <w:jc w:val="center"/>
              <w:rPr>
                <w:rFonts w:ascii="Times New Roman" w:hAnsi="Times New Roman"/>
                <w:color w:val="auto"/>
                <w:kern w:val="0"/>
                <w:szCs w:val="21"/>
              </w:rPr>
            </w:pPr>
            <w:r>
              <w:rPr>
                <w:rFonts w:ascii="Times New Roman" w:hAnsi="Times New Roman"/>
                <w:color w:val="auto"/>
                <w:kern w:val="0"/>
                <w:szCs w:val="21"/>
              </w:rPr>
              <w:t>1</w:t>
            </w:r>
          </w:p>
        </w:tc>
        <w:tc>
          <w:tcPr>
            <w:tcW w:w="2448"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lang w:eastAsia="zh-CN"/>
              </w:rPr>
              <w:t>钢管</w:t>
            </w:r>
          </w:p>
        </w:tc>
        <w:tc>
          <w:tcPr>
            <w:tcW w:w="1238"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rPr>
              <w:t>t/a</w:t>
            </w:r>
          </w:p>
        </w:tc>
        <w:tc>
          <w:tcPr>
            <w:tcW w:w="1881"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lang w:val="en-US" w:eastAsia="zh-CN"/>
              </w:rPr>
              <w:t>3</w:t>
            </w:r>
            <w:r>
              <w:rPr>
                <w:rFonts w:hint="default" w:ascii="Times New Roman" w:hAnsi="Times New Roman" w:cs="Times New Roman"/>
                <w:color w:val="auto"/>
              </w:rPr>
              <w:t>00</w:t>
            </w:r>
          </w:p>
        </w:tc>
        <w:tc>
          <w:tcPr>
            <w:tcW w:w="1871" w:type="dxa"/>
            <w:tcBorders>
              <w:tl2br w:val="nil"/>
              <w:tr2bl w:val="nil"/>
            </w:tcBorders>
            <w:vAlign w:val="center"/>
          </w:tcPr>
          <w:p>
            <w:pPr>
              <w:adjustRightInd w:val="0"/>
              <w:snapToGrid w:val="0"/>
              <w:spacing w:line="40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adjustRightInd w:val="0"/>
              <w:snapToGrid w:val="0"/>
              <w:spacing w:line="400" w:lineRule="atLeast"/>
              <w:jc w:val="center"/>
              <w:rPr>
                <w:rFonts w:ascii="Times New Roman" w:hAnsi="Times New Roman"/>
                <w:color w:val="auto"/>
                <w:kern w:val="0"/>
                <w:szCs w:val="21"/>
              </w:rPr>
            </w:pPr>
            <w:r>
              <w:rPr>
                <w:rFonts w:ascii="Times New Roman" w:hAnsi="Times New Roman"/>
                <w:color w:val="auto"/>
                <w:kern w:val="0"/>
                <w:szCs w:val="21"/>
              </w:rPr>
              <w:t>2</w:t>
            </w:r>
          </w:p>
        </w:tc>
        <w:tc>
          <w:tcPr>
            <w:tcW w:w="2448"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lang w:eastAsia="zh-CN"/>
              </w:rPr>
              <w:t>钢板</w:t>
            </w:r>
          </w:p>
        </w:tc>
        <w:tc>
          <w:tcPr>
            <w:tcW w:w="1238"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rPr>
              <w:t>t/a</w:t>
            </w:r>
          </w:p>
        </w:tc>
        <w:tc>
          <w:tcPr>
            <w:tcW w:w="1881"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lang w:val="en-US" w:eastAsia="zh-CN"/>
              </w:rPr>
              <w:t>300</w:t>
            </w:r>
          </w:p>
        </w:tc>
        <w:tc>
          <w:tcPr>
            <w:tcW w:w="1871" w:type="dxa"/>
            <w:tcBorders>
              <w:tl2br w:val="nil"/>
              <w:tr2bl w:val="nil"/>
            </w:tcBorders>
            <w:vAlign w:val="center"/>
          </w:tcPr>
          <w:p>
            <w:pPr>
              <w:adjustRightInd w:val="0"/>
              <w:snapToGrid w:val="0"/>
              <w:spacing w:line="40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adjustRightInd w:val="0"/>
              <w:snapToGrid w:val="0"/>
              <w:spacing w:line="400" w:lineRule="atLeast"/>
              <w:jc w:val="center"/>
              <w:rPr>
                <w:rFonts w:ascii="Times New Roman" w:hAnsi="Times New Roman"/>
                <w:color w:val="auto"/>
                <w:kern w:val="0"/>
                <w:szCs w:val="21"/>
              </w:rPr>
            </w:pPr>
            <w:r>
              <w:rPr>
                <w:rFonts w:ascii="Times New Roman" w:hAnsi="Times New Roman"/>
                <w:color w:val="auto"/>
                <w:kern w:val="0"/>
                <w:szCs w:val="21"/>
              </w:rPr>
              <w:t>3</w:t>
            </w:r>
          </w:p>
        </w:tc>
        <w:tc>
          <w:tcPr>
            <w:tcW w:w="2448"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lang w:eastAsia="zh-CN"/>
              </w:rPr>
              <w:t>钢砂</w:t>
            </w:r>
          </w:p>
        </w:tc>
        <w:tc>
          <w:tcPr>
            <w:tcW w:w="1238"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rPr>
              <w:t>t/a</w:t>
            </w:r>
          </w:p>
        </w:tc>
        <w:tc>
          <w:tcPr>
            <w:tcW w:w="1881"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lang w:val="en-US" w:eastAsia="zh-CN"/>
              </w:rPr>
              <w:t>1</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olor w:val="auto"/>
                <w:kern w:val="0"/>
                <w:szCs w:val="21"/>
                <w:lang w:eastAsia="zh-CN"/>
              </w:rPr>
            </w:pPr>
            <w:r>
              <w:rPr>
                <w:rFonts w:hint="eastAsia" w:ascii="Times New Roman" w:hAnsi="Times New Roman"/>
                <w:color w:val="auto"/>
                <w:kern w:val="0"/>
                <w:szCs w:val="21"/>
                <w:lang w:val="en-US" w:eastAsia="zh-CN"/>
              </w:rPr>
              <w:t>没有购置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adjustRightInd w:val="0"/>
              <w:snapToGrid w:val="0"/>
              <w:spacing w:line="400" w:lineRule="atLeast"/>
              <w:jc w:val="center"/>
              <w:rPr>
                <w:rFonts w:hint="eastAsia" w:ascii="Times New Roman" w:hAnsi="Times New Roman" w:eastAsia="宋体"/>
                <w:color w:val="auto"/>
                <w:kern w:val="0"/>
                <w:szCs w:val="21"/>
                <w:lang w:val="en-US" w:eastAsia="zh-CN"/>
              </w:rPr>
            </w:pPr>
            <w:r>
              <w:rPr>
                <w:rFonts w:hint="eastAsia" w:ascii="Times New Roman" w:hAnsi="Times New Roman"/>
                <w:color w:val="auto"/>
                <w:kern w:val="0"/>
                <w:szCs w:val="21"/>
                <w:lang w:val="en-US" w:eastAsia="zh-CN"/>
              </w:rPr>
              <w:t>4</w:t>
            </w:r>
          </w:p>
        </w:tc>
        <w:tc>
          <w:tcPr>
            <w:tcW w:w="2448" w:type="dxa"/>
            <w:tcBorders>
              <w:tl2br w:val="nil"/>
              <w:tr2bl w:val="nil"/>
            </w:tcBorders>
            <w:vAlign w:val="center"/>
          </w:tcPr>
          <w:p>
            <w:pPr>
              <w:spacing w:line="0" w:lineRule="atLeast"/>
              <w:jc w:val="center"/>
              <w:rPr>
                <w:color w:val="auto"/>
                <w:szCs w:val="21"/>
              </w:rPr>
            </w:pPr>
            <w:r>
              <w:rPr>
                <w:rFonts w:hint="default" w:ascii="Times New Roman" w:hAnsi="Times New Roman" w:cs="Times New Roman"/>
                <w:color w:val="auto"/>
              </w:rPr>
              <w:t>水</w:t>
            </w:r>
          </w:p>
        </w:tc>
        <w:tc>
          <w:tcPr>
            <w:tcW w:w="1238" w:type="dxa"/>
            <w:tcBorders>
              <w:tl2br w:val="nil"/>
              <w:tr2bl w:val="nil"/>
            </w:tcBorders>
            <w:vAlign w:val="center"/>
          </w:tcPr>
          <w:p>
            <w:pPr>
              <w:spacing w:line="0" w:lineRule="atLeast"/>
              <w:jc w:val="center"/>
              <w:rPr>
                <w:color w:val="auto"/>
              </w:rPr>
            </w:pPr>
            <w:r>
              <w:rPr>
                <w:rFonts w:hint="default" w:ascii="Times New Roman" w:hAnsi="Times New Roman" w:cs="Times New Roman"/>
                <w:color w:val="auto"/>
              </w:rPr>
              <w:t>m</w:t>
            </w:r>
            <w:r>
              <w:rPr>
                <w:rFonts w:hint="default" w:ascii="Times New Roman" w:hAnsi="Times New Roman" w:cs="Times New Roman"/>
                <w:color w:val="auto"/>
                <w:vertAlign w:val="superscript"/>
              </w:rPr>
              <w:t>3</w:t>
            </w:r>
            <w:r>
              <w:rPr>
                <w:rFonts w:hint="default" w:ascii="Times New Roman" w:hAnsi="Times New Roman" w:cs="Times New Roman"/>
                <w:color w:val="auto"/>
              </w:rPr>
              <w:t>/a</w:t>
            </w:r>
          </w:p>
        </w:tc>
        <w:tc>
          <w:tcPr>
            <w:tcW w:w="1881" w:type="dxa"/>
            <w:tcBorders>
              <w:tl2br w:val="nil"/>
              <w:tr2bl w:val="nil"/>
            </w:tcBorders>
            <w:vAlign w:val="center"/>
          </w:tcPr>
          <w:p>
            <w:pPr>
              <w:spacing w:line="0" w:lineRule="atLeast"/>
              <w:jc w:val="center"/>
              <w:rPr>
                <w:color w:val="auto"/>
                <w:szCs w:val="21"/>
              </w:rPr>
            </w:pPr>
            <w:r>
              <w:rPr>
                <w:rFonts w:hint="default" w:ascii="Times New Roman" w:hAnsi="Times New Roman" w:cs="Times New Roman"/>
                <w:color w:val="auto"/>
                <w:lang w:val="en-US" w:eastAsia="zh-CN"/>
              </w:rPr>
              <w:t>30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adjustRightInd w:val="0"/>
              <w:snapToGrid w:val="0"/>
              <w:spacing w:line="400" w:lineRule="atLeast"/>
              <w:jc w:val="center"/>
              <w:rPr>
                <w:rFonts w:hint="eastAsia" w:ascii="Times New Roman" w:hAnsi="Times New Roman" w:eastAsia="宋体"/>
                <w:color w:val="auto"/>
                <w:kern w:val="0"/>
                <w:szCs w:val="21"/>
                <w:lang w:val="en-US" w:eastAsia="zh-CN"/>
              </w:rPr>
            </w:pPr>
            <w:r>
              <w:rPr>
                <w:rFonts w:hint="eastAsia" w:ascii="Times New Roman" w:hAnsi="Times New Roman"/>
                <w:color w:val="auto"/>
                <w:kern w:val="0"/>
                <w:szCs w:val="21"/>
                <w:lang w:val="en-US" w:eastAsia="zh-CN"/>
              </w:rPr>
              <w:t>5</w:t>
            </w:r>
          </w:p>
        </w:tc>
        <w:tc>
          <w:tcPr>
            <w:tcW w:w="2448" w:type="dxa"/>
            <w:tcBorders>
              <w:tl2br w:val="nil"/>
              <w:tr2bl w:val="nil"/>
            </w:tcBorders>
            <w:vAlign w:val="center"/>
          </w:tcPr>
          <w:p>
            <w:pPr>
              <w:spacing w:line="0" w:lineRule="atLeast"/>
              <w:jc w:val="center"/>
              <w:rPr>
                <w:color w:val="auto"/>
                <w:szCs w:val="21"/>
              </w:rPr>
            </w:pPr>
            <w:r>
              <w:rPr>
                <w:rFonts w:hint="default" w:ascii="Times New Roman" w:hAnsi="Times New Roman" w:cs="Times New Roman"/>
                <w:color w:val="auto"/>
              </w:rPr>
              <w:t>电</w:t>
            </w:r>
          </w:p>
        </w:tc>
        <w:tc>
          <w:tcPr>
            <w:tcW w:w="1238" w:type="dxa"/>
            <w:tcBorders>
              <w:tl2br w:val="nil"/>
              <w:tr2bl w:val="nil"/>
            </w:tcBorders>
            <w:vAlign w:val="center"/>
          </w:tcPr>
          <w:p>
            <w:pPr>
              <w:spacing w:line="0" w:lineRule="atLeast"/>
              <w:jc w:val="center"/>
              <w:rPr>
                <w:color w:val="auto"/>
              </w:rPr>
            </w:pPr>
            <w:r>
              <w:rPr>
                <w:rFonts w:hint="default" w:ascii="Times New Roman" w:hAnsi="Times New Roman" w:cs="Times New Roman"/>
                <w:color w:val="auto"/>
              </w:rPr>
              <w:t>万kW·h/a</w:t>
            </w:r>
          </w:p>
        </w:tc>
        <w:tc>
          <w:tcPr>
            <w:tcW w:w="1881" w:type="dxa"/>
            <w:tcBorders>
              <w:tl2br w:val="nil"/>
              <w:tr2bl w:val="nil"/>
            </w:tcBorders>
            <w:vAlign w:val="center"/>
          </w:tcPr>
          <w:p>
            <w:pPr>
              <w:spacing w:line="0" w:lineRule="atLeast"/>
              <w:jc w:val="center"/>
              <w:rPr>
                <w:color w:val="auto"/>
                <w:szCs w:val="21"/>
              </w:rPr>
            </w:pPr>
            <w:r>
              <w:rPr>
                <w:rFonts w:hint="default" w:ascii="Times New Roman" w:hAnsi="Times New Roman" w:cs="Times New Roman"/>
                <w:color w:val="auto"/>
                <w:lang w:val="en-US" w:eastAsia="zh-CN"/>
              </w:rPr>
              <w:t>1.5</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olor w:val="auto"/>
                <w:kern w:val="0"/>
                <w:szCs w:val="21"/>
              </w:rPr>
              <w:t>与环评一致</w:t>
            </w:r>
          </w:p>
        </w:tc>
      </w:tr>
    </w:tbl>
    <w:p>
      <w:pPr>
        <w:pStyle w:val="7"/>
        <w:rPr>
          <w:rFonts w:ascii="Times New Roman" w:hAnsi="Times New Roman"/>
          <w:color w:val="auto"/>
        </w:rPr>
      </w:pPr>
      <w:r>
        <w:rPr>
          <w:rFonts w:ascii="Times New Roman" w:hAnsi="Times New Roman"/>
          <w:color w:val="auto"/>
        </w:rPr>
        <w:t>2.2.3 主体设施建设内容</w:t>
      </w:r>
      <w:bookmarkEnd w:id="72"/>
      <w:bookmarkEnd w:id="73"/>
      <w:bookmarkEnd w:id="74"/>
      <w:bookmarkEnd w:id="75"/>
      <w:bookmarkEnd w:id="76"/>
      <w:bookmarkEnd w:id="77"/>
    </w:p>
    <w:p>
      <w:pPr>
        <w:adjustRightInd w:val="0"/>
        <w:snapToGrid w:val="0"/>
        <w:spacing w:line="480" w:lineRule="atLeast"/>
        <w:ind w:firstLine="480" w:firstLineChars="200"/>
        <w:rPr>
          <w:rFonts w:ascii="Times New Roman" w:hAnsi="Times New Roman"/>
          <w:color w:val="FF0000"/>
          <w:sz w:val="24"/>
          <w:szCs w:val="24"/>
        </w:rPr>
      </w:pPr>
      <w:r>
        <w:rPr>
          <w:rFonts w:hint="eastAsia" w:ascii="Times New Roman" w:hAnsi="Times New Roman"/>
          <w:color w:val="auto"/>
          <w:sz w:val="24"/>
          <w:szCs w:val="24"/>
        </w:rPr>
        <w:t>本项目主体工程为</w:t>
      </w:r>
      <w:r>
        <w:rPr>
          <w:rFonts w:hint="eastAsia" w:ascii="Times New Roman" w:hAnsi="Times New Roman"/>
          <w:color w:val="auto"/>
          <w:sz w:val="24"/>
          <w:szCs w:val="24"/>
          <w:lang w:eastAsia="zh-CN"/>
        </w:rPr>
        <w:t>年产标准件600件</w:t>
      </w:r>
      <w:r>
        <w:rPr>
          <w:rFonts w:hint="eastAsia" w:ascii="Times New Roman" w:hAnsi="Times New Roman"/>
          <w:color w:val="auto"/>
          <w:sz w:val="24"/>
          <w:szCs w:val="24"/>
        </w:rPr>
        <w:t>，占地</w:t>
      </w:r>
      <w:r>
        <w:rPr>
          <w:rFonts w:ascii="Times New Roman" w:hAnsi="Times New Roman"/>
          <w:color w:val="auto"/>
          <w:sz w:val="24"/>
          <w:szCs w:val="24"/>
        </w:rPr>
        <w:t>面积为</w:t>
      </w:r>
      <w:r>
        <w:rPr>
          <w:rFonts w:hint="eastAsia" w:ascii="Times New Roman" w:hAnsi="Times New Roman"/>
          <w:color w:val="auto"/>
          <w:sz w:val="24"/>
          <w:szCs w:val="24"/>
          <w:lang w:val="en-US" w:eastAsia="zh-CN"/>
        </w:rPr>
        <w:t>933.3</w:t>
      </w:r>
      <w:r>
        <w:rPr>
          <w:rFonts w:ascii="Times New Roman" w:hAnsi="Times New Roman"/>
          <w:color w:val="auto"/>
          <w:sz w:val="24"/>
          <w:szCs w:val="24"/>
        </w:rPr>
        <w:t>m</w:t>
      </w:r>
      <w:r>
        <w:rPr>
          <w:rFonts w:ascii="Times New Roman" w:hAnsi="Times New Roman"/>
          <w:color w:val="auto"/>
          <w:sz w:val="24"/>
          <w:szCs w:val="24"/>
          <w:vertAlign w:val="superscript"/>
        </w:rPr>
        <w:t>2</w:t>
      </w:r>
      <w:r>
        <w:rPr>
          <w:rFonts w:hint="eastAsia" w:ascii="Times New Roman" w:hAnsi="Times New Roman"/>
          <w:color w:val="auto"/>
          <w:sz w:val="24"/>
          <w:szCs w:val="24"/>
        </w:rPr>
        <w:t>。</w:t>
      </w:r>
      <w:r>
        <w:rPr>
          <w:rFonts w:hint="eastAsia" w:ascii="Times New Roman" w:hAnsi="Times New Roman" w:cs="AIAUJG+ËÎÌå"/>
          <w:color w:val="auto"/>
          <w:spacing w:val="-4"/>
          <w:sz w:val="24"/>
        </w:rPr>
        <w:t>本项目由主体工程、</w:t>
      </w:r>
      <w:r>
        <w:rPr>
          <w:rFonts w:hint="eastAsia" w:ascii="Times New Roman" w:hAnsi="Times New Roman"/>
          <w:color w:val="auto"/>
          <w:sz w:val="24"/>
          <w:szCs w:val="24"/>
        </w:rPr>
        <w:t>辅助工程、环保工程和公用工程组成</w:t>
      </w:r>
      <w:r>
        <w:rPr>
          <w:rFonts w:ascii="Times New Roman" w:hAnsi="Times New Roman"/>
          <w:color w:val="auto"/>
          <w:sz w:val="24"/>
          <w:szCs w:val="24"/>
        </w:rPr>
        <w:t>。项目工程内容一览表见表2-3</w:t>
      </w:r>
      <w:r>
        <w:rPr>
          <w:rFonts w:hint="eastAsia" w:ascii="Times New Roman" w:hAnsi="Times New Roman"/>
          <w:color w:val="auto"/>
          <w:sz w:val="24"/>
          <w:szCs w:val="24"/>
        </w:rPr>
        <w:t>。</w:t>
      </w:r>
    </w:p>
    <w:p>
      <w:pPr>
        <w:spacing w:line="480" w:lineRule="atLeast"/>
        <w:jc w:val="center"/>
        <w:rPr>
          <w:rFonts w:ascii="Times New Roman" w:hAnsi="Times New Roman"/>
          <w:b/>
          <w:color w:val="auto"/>
          <w:sz w:val="24"/>
          <w:szCs w:val="24"/>
        </w:rPr>
      </w:pPr>
      <w:r>
        <w:rPr>
          <w:rFonts w:ascii="Times New Roman" w:hAnsi="Times New Roman"/>
          <w:b/>
          <w:color w:val="auto"/>
          <w:sz w:val="24"/>
          <w:szCs w:val="24"/>
        </w:rPr>
        <w:t>表2-3  工程内容一览表</w:t>
      </w:r>
    </w:p>
    <w:tbl>
      <w:tblPr>
        <w:tblStyle w:val="18"/>
        <w:tblW w:w="85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5"/>
        <w:gridCol w:w="1325"/>
        <w:gridCol w:w="5425"/>
        <w:gridCol w:w="10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Align w:val="center"/>
          </w:tcPr>
          <w:p>
            <w:pPr>
              <w:pStyle w:val="7"/>
              <w:jc w:val="center"/>
              <w:rPr>
                <w:rFonts w:ascii="Times New Roman" w:hAnsi="Times New Roman"/>
                <w:color w:val="auto"/>
                <w:sz w:val="21"/>
                <w:szCs w:val="21"/>
              </w:rPr>
            </w:pPr>
            <w:bookmarkStart w:id="78" w:name="_Toc27810"/>
            <w:bookmarkStart w:id="79" w:name="_Toc1691"/>
            <w:bookmarkStart w:id="80" w:name="_Toc496979007"/>
            <w:bookmarkStart w:id="81" w:name="_Toc30584"/>
            <w:bookmarkStart w:id="82" w:name="_Toc17854"/>
            <w:bookmarkStart w:id="83" w:name="_Toc497001443"/>
            <w:r>
              <w:rPr>
                <w:rFonts w:ascii="Times New Roman" w:hAnsi="Times New Roman"/>
                <w:color w:val="auto"/>
                <w:sz w:val="21"/>
                <w:szCs w:val="21"/>
              </w:rPr>
              <w:t>工程类别</w:t>
            </w:r>
          </w:p>
        </w:tc>
        <w:tc>
          <w:tcPr>
            <w:tcW w:w="1325" w:type="dxa"/>
            <w:vAlign w:val="center"/>
          </w:tcPr>
          <w:p>
            <w:pPr>
              <w:pStyle w:val="7"/>
              <w:jc w:val="center"/>
              <w:rPr>
                <w:rFonts w:ascii="Times New Roman" w:hAnsi="Times New Roman"/>
                <w:color w:val="auto"/>
                <w:sz w:val="21"/>
                <w:szCs w:val="21"/>
              </w:rPr>
            </w:pPr>
            <w:r>
              <w:rPr>
                <w:rFonts w:ascii="Times New Roman" w:hAnsi="Times New Roman"/>
                <w:color w:val="auto"/>
                <w:sz w:val="21"/>
                <w:szCs w:val="21"/>
              </w:rPr>
              <w:t>项目名称</w:t>
            </w:r>
          </w:p>
        </w:tc>
        <w:tc>
          <w:tcPr>
            <w:tcW w:w="5425" w:type="dxa"/>
            <w:vAlign w:val="center"/>
          </w:tcPr>
          <w:p>
            <w:pPr>
              <w:pStyle w:val="7"/>
              <w:jc w:val="center"/>
              <w:rPr>
                <w:rFonts w:ascii="Times New Roman" w:hAnsi="Times New Roman"/>
                <w:color w:val="auto"/>
                <w:sz w:val="21"/>
                <w:szCs w:val="21"/>
              </w:rPr>
            </w:pPr>
            <w:r>
              <w:rPr>
                <w:rFonts w:ascii="Times New Roman" w:hAnsi="Times New Roman"/>
                <w:color w:val="auto"/>
                <w:sz w:val="21"/>
                <w:szCs w:val="21"/>
              </w:rPr>
              <w:t>建设内容</w:t>
            </w:r>
          </w:p>
        </w:tc>
        <w:tc>
          <w:tcPr>
            <w:tcW w:w="1014" w:type="dxa"/>
            <w:vAlign w:val="center"/>
          </w:tcPr>
          <w:p>
            <w:pPr>
              <w:widowControl/>
              <w:jc w:val="center"/>
              <w:rPr>
                <w:rFonts w:ascii="Times New Roman" w:hAnsi="Times New Roman"/>
                <w:b/>
                <w:bCs/>
                <w:color w:val="auto"/>
                <w:kern w:val="0"/>
                <w:szCs w:val="21"/>
              </w:rPr>
            </w:pPr>
            <w:r>
              <w:rPr>
                <w:rFonts w:hint="eastAsia" w:ascii="Times New Roman" w:hAnsi="Times New Roman"/>
                <w:color w:val="auto"/>
                <w:kern w:val="0"/>
                <w:szCs w:val="21"/>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755" w:type="dxa"/>
            <w:vMerge w:val="restart"/>
            <w:vAlign w:val="center"/>
          </w:tcPr>
          <w:p>
            <w:pPr>
              <w:pStyle w:val="7"/>
              <w:jc w:val="center"/>
              <w:rPr>
                <w:rFonts w:ascii="Times New Roman" w:hAnsi="Times New Roman"/>
                <w:color w:val="auto"/>
                <w:sz w:val="21"/>
                <w:szCs w:val="21"/>
              </w:rPr>
            </w:pPr>
            <w:r>
              <w:rPr>
                <w:rFonts w:hint="eastAsia" w:ascii="Times New Roman" w:hAnsi="Times New Roman"/>
                <w:color w:val="auto"/>
                <w:sz w:val="21"/>
                <w:szCs w:val="21"/>
              </w:rPr>
              <w:t>主体工程</w:t>
            </w:r>
          </w:p>
        </w:tc>
        <w:tc>
          <w:tcPr>
            <w:tcW w:w="1325" w:type="dxa"/>
            <w:vAlign w:val="center"/>
          </w:tcPr>
          <w:p>
            <w:pPr>
              <w:spacing w:line="240" w:lineRule="auto"/>
              <w:jc w:val="center"/>
              <w:rPr>
                <w:rFonts w:ascii="Times New Roman" w:hAnsi="Times New Roman"/>
                <w:color w:val="auto"/>
                <w:sz w:val="21"/>
                <w:szCs w:val="21"/>
              </w:rPr>
            </w:pPr>
            <w:r>
              <w:rPr>
                <w:color w:val="auto"/>
                <w:szCs w:val="21"/>
              </w:rPr>
              <w:t>车间、仓库</w:t>
            </w:r>
          </w:p>
        </w:tc>
        <w:tc>
          <w:tcPr>
            <w:tcW w:w="5425" w:type="dxa"/>
            <w:vAlign w:val="center"/>
          </w:tcPr>
          <w:p>
            <w:pPr>
              <w:spacing w:line="240" w:lineRule="auto"/>
              <w:jc w:val="center"/>
              <w:rPr>
                <w:rFonts w:ascii="Times New Roman" w:hAnsi="Times New Roman"/>
                <w:color w:val="auto"/>
                <w:sz w:val="21"/>
                <w:szCs w:val="21"/>
              </w:rPr>
            </w:pPr>
            <w:r>
              <w:rPr>
                <w:rFonts w:hint="default" w:ascii="Times New Roman" w:hAnsi="Times New Roman" w:cs="Times New Roman"/>
                <w:color w:val="auto"/>
                <w:szCs w:val="21"/>
                <w:lang w:eastAsia="zh-CN"/>
              </w:rPr>
              <w:t>车间</w:t>
            </w:r>
            <w:r>
              <w:rPr>
                <w:rFonts w:hint="default" w:ascii="Times New Roman" w:hAnsi="Times New Roman" w:cs="Times New Roman"/>
                <w:color w:val="auto"/>
                <w:szCs w:val="21"/>
              </w:rPr>
              <w:t>面积</w:t>
            </w:r>
            <w:r>
              <w:rPr>
                <w:rFonts w:hint="default" w:ascii="Times New Roman" w:hAnsi="Times New Roman" w:cs="Times New Roman"/>
                <w:color w:val="auto"/>
                <w:szCs w:val="21"/>
                <w:lang w:val="en-US" w:eastAsia="zh-CN"/>
              </w:rPr>
              <w:t>360</w:t>
            </w:r>
            <w:r>
              <w:rPr>
                <w:rFonts w:hint="default" w:ascii="Times New Roman" w:hAnsi="Times New Roman" w:cs="Times New Roman"/>
                <w:color w:val="auto"/>
                <w:szCs w:val="21"/>
              </w:rPr>
              <w:t>m</w:t>
            </w:r>
            <w:r>
              <w:rPr>
                <w:rFonts w:hint="default" w:ascii="Times New Roman" w:hAnsi="Times New Roman" w:cs="Times New Roman"/>
                <w:color w:val="auto"/>
                <w:szCs w:val="21"/>
                <w:vertAlign w:val="superscript"/>
              </w:rPr>
              <w:t>2</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color w:val="auto"/>
                <w:sz w:val="21"/>
                <w:szCs w:val="21"/>
              </w:rPr>
            </w:pPr>
          </w:p>
        </w:tc>
        <w:tc>
          <w:tcPr>
            <w:tcW w:w="1325" w:type="dxa"/>
            <w:vAlign w:val="center"/>
          </w:tcPr>
          <w:p>
            <w:pPr>
              <w:spacing w:line="240" w:lineRule="auto"/>
              <w:jc w:val="center"/>
              <w:rPr>
                <w:rFonts w:ascii="Times New Roman" w:hAnsi="Times New Roman"/>
                <w:color w:val="auto"/>
                <w:sz w:val="21"/>
                <w:szCs w:val="21"/>
              </w:rPr>
            </w:pPr>
            <w:r>
              <w:rPr>
                <w:rFonts w:hint="eastAsia"/>
                <w:color w:val="auto"/>
                <w:szCs w:val="21"/>
              </w:rPr>
              <w:t>办公室</w:t>
            </w:r>
          </w:p>
        </w:tc>
        <w:tc>
          <w:tcPr>
            <w:tcW w:w="5425" w:type="dxa"/>
            <w:vAlign w:val="center"/>
          </w:tcPr>
          <w:p>
            <w:pPr>
              <w:spacing w:line="240" w:lineRule="auto"/>
              <w:jc w:val="center"/>
              <w:rPr>
                <w:rFonts w:ascii="Times New Roman" w:hAnsi="Times New Roman"/>
                <w:color w:val="auto"/>
                <w:sz w:val="21"/>
                <w:szCs w:val="21"/>
              </w:rPr>
            </w:pPr>
            <w:r>
              <w:rPr>
                <w:rFonts w:hint="default" w:ascii="Times New Roman" w:hAnsi="Times New Roman" w:cs="Times New Roman"/>
                <w:color w:val="auto"/>
                <w:szCs w:val="21"/>
              </w:rPr>
              <w:t>建筑面积</w:t>
            </w:r>
            <w:r>
              <w:rPr>
                <w:rFonts w:hint="default" w:ascii="Times New Roman" w:hAnsi="Times New Roman" w:cs="Times New Roman"/>
                <w:color w:val="auto"/>
                <w:szCs w:val="21"/>
                <w:lang w:val="en-US" w:eastAsia="zh-CN"/>
              </w:rPr>
              <w:t>96</w:t>
            </w:r>
            <w:r>
              <w:rPr>
                <w:rFonts w:hint="default" w:ascii="Times New Roman" w:hAnsi="Times New Roman" w:cs="Times New Roman"/>
                <w:color w:val="auto"/>
                <w:szCs w:val="21"/>
              </w:rPr>
              <w:t>m</w:t>
            </w:r>
            <w:r>
              <w:rPr>
                <w:rFonts w:hint="default" w:ascii="Times New Roman" w:hAnsi="Times New Roman" w:cs="Times New Roman"/>
                <w:color w:val="auto"/>
                <w:szCs w:val="21"/>
                <w:vertAlign w:val="superscript"/>
              </w:rPr>
              <w:t>2</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restart"/>
            <w:vAlign w:val="center"/>
          </w:tcPr>
          <w:p>
            <w:pPr>
              <w:pStyle w:val="7"/>
              <w:jc w:val="center"/>
              <w:rPr>
                <w:rFonts w:ascii="Times New Roman" w:hAnsi="Times New Roman"/>
                <w:color w:val="auto"/>
                <w:sz w:val="21"/>
                <w:szCs w:val="21"/>
              </w:rPr>
            </w:pPr>
            <w:r>
              <w:rPr>
                <w:rFonts w:ascii="Times New Roman" w:hAnsi="Times New Roman"/>
                <w:color w:val="auto"/>
                <w:sz w:val="21"/>
                <w:szCs w:val="21"/>
              </w:rPr>
              <w:t>公用工程</w:t>
            </w:r>
          </w:p>
        </w:tc>
        <w:tc>
          <w:tcPr>
            <w:tcW w:w="1325" w:type="dxa"/>
          </w:tcPr>
          <w:p>
            <w:pPr>
              <w:pStyle w:val="7"/>
              <w:jc w:val="center"/>
              <w:rPr>
                <w:rFonts w:ascii="Times New Roman" w:hAnsi="Times New Roman"/>
                <w:color w:val="auto"/>
                <w:sz w:val="21"/>
                <w:szCs w:val="21"/>
              </w:rPr>
            </w:pPr>
            <w:r>
              <w:rPr>
                <w:rFonts w:hint="eastAsia"/>
                <w:color w:val="auto"/>
                <w:sz w:val="21"/>
                <w:szCs w:val="21"/>
              </w:rPr>
              <w:t>供水</w:t>
            </w:r>
          </w:p>
        </w:tc>
        <w:tc>
          <w:tcPr>
            <w:tcW w:w="5425" w:type="dxa"/>
          </w:tcPr>
          <w:p>
            <w:pPr>
              <w:pStyle w:val="7"/>
              <w:jc w:val="center"/>
              <w:rPr>
                <w:rFonts w:ascii="Times New Roman" w:hAnsi="Times New Roman"/>
                <w:color w:val="auto"/>
                <w:sz w:val="21"/>
                <w:szCs w:val="21"/>
              </w:rPr>
            </w:pPr>
            <w:r>
              <w:rPr>
                <w:rFonts w:hint="eastAsia"/>
                <w:color w:val="auto"/>
                <w:sz w:val="21"/>
                <w:szCs w:val="21"/>
              </w:rPr>
              <w:t>由</w:t>
            </w:r>
            <w:r>
              <w:rPr>
                <w:rFonts w:hint="eastAsia"/>
                <w:color w:val="auto"/>
                <w:sz w:val="21"/>
                <w:szCs w:val="21"/>
                <w:lang w:val="en-US" w:eastAsia="zh-CN"/>
              </w:rPr>
              <w:t>当地</w:t>
            </w:r>
            <w:r>
              <w:rPr>
                <w:rFonts w:hint="eastAsia"/>
                <w:color w:val="auto"/>
                <w:sz w:val="21"/>
                <w:szCs w:val="21"/>
              </w:rPr>
              <w:t>供水管网提供</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color w:val="auto"/>
                <w:sz w:val="21"/>
                <w:szCs w:val="21"/>
              </w:rPr>
            </w:pPr>
          </w:p>
        </w:tc>
        <w:tc>
          <w:tcPr>
            <w:tcW w:w="1325" w:type="dxa"/>
          </w:tcPr>
          <w:p>
            <w:pPr>
              <w:pStyle w:val="7"/>
              <w:jc w:val="center"/>
              <w:rPr>
                <w:rFonts w:ascii="Times New Roman" w:hAnsi="Times New Roman"/>
                <w:color w:val="auto"/>
                <w:sz w:val="21"/>
                <w:szCs w:val="21"/>
              </w:rPr>
            </w:pPr>
            <w:r>
              <w:rPr>
                <w:rFonts w:hint="eastAsia"/>
                <w:color w:val="auto"/>
                <w:sz w:val="21"/>
                <w:szCs w:val="21"/>
              </w:rPr>
              <w:t>供电</w:t>
            </w:r>
          </w:p>
        </w:tc>
        <w:tc>
          <w:tcPr>
            <w:tcW w:w="5425" w:type="dxa"/>
          </w:tcPr>
          <w:p>
            <w:pPr>
              <w:pStyle w:val="7"/>
              <w:jc w:val="center"/>
              <w:rPr>
                <w:rFonts w:ascii="Times New Roman" w:hAnsi="Times New Roman"/>
                <w:color w:val="auto"/>
                <w:sz w:val="21"/>
                <w:szCs w:val="21"/>
              </w:rPr>
            </w:pPr>
            <w:r>
              <w:rPr>
                <w:rFonts w:hint="eastAsia"/>
                <w:color w:val="auto"/>
                <w:sz w:val="21"/>
                <w:szCs w:val="21"/>
              </w:rPr>
              <w:t>由</w:t>
            </w:r>
            <w:r>
              <w:rPr>
                <w:rFonts w:hint="eastAsia"/>
                <w:color w:val="auto"/>
                <w:sz w:val="21"/>
                <w:szCs w:val="21"/>
                <w:lang w:val="en-US" w:eastAsia="zh-CN"/>
              </w:rPr>
              <w:t>当地</w:t>
            </w:r>
            <w:r>
              <w:rPr>
                <w:rFonts w:hint="eastAsia"/>
                <w:color w:val="auto"/>
                <w:sz w:val="21"/>
                <w:szCs w:val="21"/>
              </w:rPr>
              <w:t>变电所供给</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color w:val="auto"/>
                <w:sz w:val="21"/>
                <w:szCs w:val="21"/>
              </w:rPr>
            </w:pPr>
          </w:p>
        </w:tc>
        <w:tc>
          <w:tcPr>
            <w:tcW w:w="1325" w:type="dxa"/>
          </w:tcPr>
          <w:p>
            <w:pPr>
              <w:pStyle w:val="7"/>
              <w:jc w:val="center"/>
              <w:rPr>
                <w:rFonts w:ascii="Times New Roman" w:hAnsi="Times New Roman"/>
                <w:color w:val="auto"/>
                <w:sz w:val="21"/>
                <w:szCs w:val="21"/>
              </w:rPr>
            </w:pPr>
            <w:r>
              <w:rPr>
                <w:rFonts w:hint="eastAsia"/>
                <w:color w:val="auto"/>
                <w:sz w:val="21"/>
                <w:szCs w:val="21"/>
              </w:rPr>
              <w:t>供热</w:t>
            </w:r>
          </w:p>
        </w:tc>
        <w:tc>
          <w:tcPr>
            <w:tcW w:w="5425" w:type="dxa"/>
          </w:tcPr>
          <w:p>
            <w:pPr>
              <w:pStyle w:val="7"/>
              <w:jc w:val="center"/>
              <w:rPr>
                <w:rFonts w:ascii="Times New Roman" w:hAnsi="Times New Roman"/>
                <w:color w:val="auto"/>
                <w:sz w:val="21"/>
                <w:szCs w:val="21"/>
              </w:rPr>
            </w:pPr>
            <w:r>
              <w:rPr>
                <w:rFonts w:hint="eastAsia"/>
                <w:color w:val="auto"/>
                <w:sz w:val="21"/>
                <w:szCs w:val="21"/>
              </w:rPr>
              <w:t>生产</w:t>
            </w:r>
            <w:r>
              <w:rPr>
                <w:rFonts w:hint="eastAsia"/>
                <w:color w:val="auto"/>
                <w:sz w:val="21"/>
                <w:szCs w:val="21"/>
                <w:lang w:val="en-US" w:eastAsia="zh-CN"/>
              </w:rPr>
              <w:t>不</w:t>
            </w:r>
            <w:r>
              <w:rPr>
                <w:rFonts w:hint="eastAsia"/>
                <w:color w:val="auto"/>
                <w:sz w:val="21"/>
                <w:szCs w:val="21"/>
              </w:rPr>
              <w:t>用热，办公室取暖由空调提供</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 w:hRule="atLeast"/>
        </w:trPr>
        <w:tc>
          <w:tcPr>
            <w:tcW w:w="755" w:type="dxa"/>
            <w:vMerge w:val="restart"/>
            <w:vAlign w:val="center"/>
          </w:tcPr>
          <w:p>
            <w:pPr>
              <w:pStyle w:val="7"/>
              <w:jc w:val="center"/>
              <w:rPr>
                <w:rFonts w:ascii="Times New Roman" w:hAnsi="Times New Roman"/>
                <w:color w:val="auto"/>
                <w:sz w:val="21"/>
                <w:szCs w:val="21"/>
              </w:rPr>
            </w:pPr>
            <w:r>
              <w:rPr>
                <w:rFonts w:ascii="Times New Roman" w:hAnsi="Times New Roman"/>
                <w:color w:val="auto"/>
                <w:sz w:val="21"/>
                <w:szCs w:val="21"/>
              </w:rPr>
              <w:t>环保工程</w:t>
            </w:r>
          </w:p>
        </w:tc>
        <w:tc>
          <w:tcPr>
            <w:tcW w:w="1325" w:type="dxa"/>
          </w:tcPr>
          <w:p>
            <w:pPr>
              <w:pStyle w:val="7"/>
              <w:jc w:val="center"/>
              <w:rPr>
                <w:rFonts w:hint="eastAsia" w:ascii="Times New Roman" w:hAnsi="Times New Roman"/>
                <w:color w:val="auto"/>
                <w:sz w:val="21"/>
                <w:szCs w:val="21"/>
              </w:rPr>
            </w:pPr>
            <w:r>
              <w:rPr>
                <w:rFonts w:hint="eastAsia"/>
                <w:color w:val="auto"/>
                <w:sz w:val="21"/>
                <w:szCs w:val="21"/>
              </w:rPr>
              <w:t>废气</w:t>
            </w:r>
          </w:p>
        </w:tc>
        <w:tc>
          <w:tcPr>
            <w:tcW w:w="5425" w:type="dxa"/>
          </w:tcPr>
          <w:p>
            <w:pPr>
              <w:pStyle w:val="7"/>
              <w:jc w:val="center"/>
              <w:rPr>
                <w:rFonts w:hint="default" w:ascii="Times New Roman" w:hAnsi="Times New Roman" w:eastAsia="宋体"/>
                <w:color w:val="auto"/>
                <w:sz w:val="21"/>
                <w:szCs w:val="21"/>
                <w:lang w:val="en-US" w:eastAsia="zh-CN"/>
              </w:rPr>
            </w:pPr>
            <w:r>
              <w:rPr>
                <w:rFonts w:hint="eastAsia" w:ascii="Times New Roman" w:hAnsi="Times New Roman"/>
                <w:color w:val="auto"/>
                <w:sz w:val="21"/>
                <w:szCs w:val="21"/>
                <w:lang w:val="en-US" w:eastAsia="zh-CN"/>
              </w:rPr>
              <w:t>项目无废气产生</w:t>
            </w:r>
          </w:p>
        </w:tc>
        <w:tc>
          <w:tcPr>
            <w:tcW w:w="1014" w:type="dxa"/>
            <w:vAlign w:val="center"/>
          </w:tcPr>
          <w:p>
            <w:pPr>
              <w:adjustRightInd w:val="0"/>
              <w:snapToGrid w:val="0"/>
              <w:spacing w:line="360" w:lineRule="atLeast"/>
              <w:jc w:val="center"/>
              <w:rPr>
                <w:rFonts w:hint="eastAsia" w:ascii="Times New Roman" w:hAnsi="Times New Roman" w:eastAsia="宋体"/>
                <w:color w:val="auto"/>
                <w:kern w:val="0"/>
                <w:szCs w:val="21"/>
                <w:lang w:eastAsia="zh-CN"/>
              </w:rPr>
            </w:pPr>
            <w:r>
              <w:rPr>
                <w:rFonts w:hint="eastAsia" w:ascii="Times New Roman" w:hAnsi="Times New Roman"/>
                <w:color w:val="auto"/>
                <w:kern w:val="0"/>
                <w:szCs w:val="21"/>
                <w:lang w:val="en-US" w:eastAsia="zh-CN"/>
              </w:rPr>
              <w:t>变更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color w:val="auto"/>
                <w:sz w:val="21"/>
                <w:szCs w:val="21"/>
              </w:rPr>
            </w:pPr>
          </w:p>
        </w:tc>
        <w:tc>
          <w:tcPr>
            <w:tcW w:w="1325" w:type="dxa"/>
            <w:vAlign w:val="center"/>
          </w:tcPr>
          <w:p>
            <w:pPr>
              <w:pStyle w:val="7"/>
              <w:jc w:val="center"/>
              <w:rPr>
                <w:rFonts w:ascii="Times New Roman" w:hAnsi="Times New Roman"/>
                <w:color w:val="auto"/>
                <w:sz w:val="21"/>
                <w:szCs w:val="21"/>
              </w:rPr>
            </w:pPr>
            <w:r>
              <w:rPr>
                <w:rFonts w:ascii="Times New Roman" w:hAnsi="Times New Roman"/>
                <w:color w:val="auto"/>
                <w:sz w:val="21"/>
                <w:szCs w:val="21"/>
              </w:rPr>
              <w:t>废水</w:t>
            </w:r>
          </w:p>
        </w:tc>
        <w:tc>
          <w:tcPr>
            <w:tcW w:w="5425" w:type="dxa"/>
            <w:vAlign w:val="center"/>
          </w:tcPr>
          <w:p>
            <w:pPr>
              <w:pStyle w:val="7"/>
              <w:jc w:val="center"/>
              <w:rPr>
                <w:rFonts w:ascii="Times New Roman" w:hAnsi="Times New Roman"/>
                <w:color w:val="auto"/>
                <w:sz w:val="21"/>
                <w:szCs w:val="21"/>
              </w:rPr>
            </w:pPr>
            <w:r>
              <w:rPr>
                <w:rFonts w:ascii="Times New Roman" w:hAnsi="Times New Roman"/>
                <w:color w:val="auto"/>
                <w:sz w:val="21"/>
                <w:szCs w:val="21"/>
              </w:rPr>
              <w:t>项目生产无需用水，厂区设防渗旱厕，定期清掏</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color w:val="auto"/>
                <w:sz w:val="21"/>
                <w:szCs w:val="21"/>
              </w:rPr>
            </w:pPr>
          </w:p>
        </w:tc>
        <w:tc>
          <w:tcPr>
            <w:tcW w:w="1325" w:type="dxa"/>
            <w:vAlign w:val="center"/>
          </w:tcPr>
          <w:p>
            <w:pPr>
              <w:pStyle w:val="7"/>
              <w:jc w:val="center"/>
              <w:rPr>
                <w:rFonts w:ascii="Times New Roman" w:hAnsi="Times New Roman"/>
                <w:color w:val="auto"/>
                <w:sz w:val="21"/>
                <w:szCs w:val="21"/>
              </w:rPr>
            </w:pPr>
            <w:r>
              <w:rPr>
                <w:rFonts w:ascii="Times New Roman" w:hAnsi="Times New Roman"/>
                <w:color w:val="auto"/>
                <w:sz w:val="21"/>
                <w:szCs w:val="21"/>
              </w:rPr>
              <w:t>噪声</w:t>
            </w:r>
          </w:p>
        </w:tc>
        <w:tc>
          <w:tcPr>
            <w:tcW w:w="5425" w:type="dxa"/>
            <w:vAlign w:val="center"/>
          </w:tcPr>
          <w:p>
            <w:pPr>
              <w:pStyle w:val="7"/>
              <w:jc w:val="center"/>
              <w:rPr>
                <w:rFonts w:ascii="Times New Roman" w:hAnsi="Times New Roman"/>
                <w:color w:val="auto"/>
                <w:sz w:val="21"/>
                <w:szCs w:val="21"/>
              </w:rPr>
            </w:pPr>
            <w:r>
              <w:rPr>
                <w:rFonts w:hint="eastAsia" w:ascii="Times New Roman" w:hAnsi="Times New Roman"/>
                <w:color w:val="auto"/>
                <w:sz w:val="21"/>
                <w:szCs w:val="21"/>
              </w:rPr>
              <w:t>选用低噪声设备，设备加减振装置等措施，布局合理，高噪声设备远离厂界</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0" w:hRule="atLeast"/>
        </w:trPr>
        <w:tc>
          <w:tcPr>
            <w:tcW w:w="755" w:type="dxa"/>
            <w:vMerge w:val="continue"/>
            <w:vAlign w:val="center"/>
          </w:tcPr>
          <w:p>
            <w:pPr>
              <w:pStyle w:val="7"/>
              <w:jc w:val="center"/>
              <w:rPr>
                <w:rFonts w:ascii="Times New Roman" w:hAnsi="Times New Roman"/>
                <w:color w:val="auto"/>
                <w:sz w:val="21"/>
                <w:szCs w:val="21"/>
              </w:rPr>
            </w:pPr>
          </w:p>
        </w:tc>
        <w:tc>
          <w:tcPr>
            <w:tcW w:w="1325" w:type="dxa"/>
            <w:vAlign w:val="center"/>
          </w:tcPr>
          <w:p>
            <w:pPr>
              <w:pStyle w:val="7"/>
              <w:jc w:val="center"/>
              <w:rPr>
                <w:rFonts w:ascii="Times New Roman" w:hAnsi="Times New Roman"/>
                <w:color w:val="auto"/>
                <w:sz w:val="21"/>
                <w:szCs w:val="21"/>
              </w:rPr>
            </w:pPr>
            <w:r>
              <w:rPr>
                <w:rFonts w:ascii="Times New Roman" w:hAnsi="Times New Roman"/>
                <w:color w:val="auto"/>
                <w:sz w:val="21"/>
                <w:szCs w:val="21"/>
              </w:rPr>
              <w:t>固废</w:t>
            </w:r>
          </w:p>
        </w:tc>
        <w:tc>
          <w:tcPr>
            <w:tcW w:w="5425" w:type="dxa"/>
            <w:vAlign w:val="center"/>
          </w:tcPr>
          <w:p>
            <w:pPr>
              <w:pStyle w:val="7"/>
              <w:jc w:val="center"/>
              <w:rPr>
                <w:rFonts w:hint="eastAsia" w:ascii="Times New Roman" w:hAnsi="Times New Roman"/>
                <w:color w:val="auto"/>
                <w:sz w:val="21"/>
                <w:szCs w:val="21"/>
              </w:rPr>
            </w:pPr>
            <w:r>
              <w:rPr>
                <w:rFonts w:hint="eastAsia" w:ascii="Times New Roman" w:hAnsi="Times New Roman"/>
                <w:color w:val="auto"/>
                <w:sz w:val="21"/>
                <w:szCs w:val="21"/>
              </w:rPr>
              <w:t>挤生产过程中产生的下脚料收集后外售；</w:t>
            </w:r>
          </w:p>
          <w:p>
            <w:pPr>
              <w:pStyle w:val="7"/>
              <w:jc w:val="center"/>
              <w:rPr>
                <w:rFonts w:hint="eastAsia" w:ascii="Times New Roman" w:hAnsi="Times New Roman"/>
                <w:color w:val="auto"/>
                <w:sz w:val="21"/>
                <w:szCs w:val="21"/>
              </w:rPr>
            </w:pPr>
            <w:r>
              <w:rPr>
                <w:rFonts w:hint="eastAsia" w:ascii="Times New Roman" w:hAnsi="Times New Roman"/>
                <w:color w:val="auto"/>
                <w:sz w:val="21"/>
                <w:szCs w:val="21"/>
                <w:lang w:val="en-US" w:eastAsia="zh-CN"/>
              </w:rPr>
              <w:t>检验不合格产品收集后外售</w:t>
            </w:r>
            <w:r>
              <w:rPr>
                <w:rFonts w:hint="eastAsia" w:ascii="Times New Roman" w:hAnsi="Times New Roman"/>
                <w:color w:val="auto"/>
                <w:sz w:val="21"/>
                <w:szCs w:val="21"/>
              </w:rPr>
              <w:t>；</w:t>
            </w:r>
          </w:p>
          <w:p>
            <w:pPr>
              <w:pStyle w:val="7"/>
              <w:jc w:val="center"/>
              <w:rPr>
                <w:rFonts w:ascii="Times New Roman" w:hAnsi="Times New Roman"/>
                <w:color w:val="auto"/>
                <w:sz w:val="21"/>
                <w:szCs w:val="21"/>
              </w:rPr>
            </w:pPr>
            <w:r>
              <w:rPr>
                <w:rFonts w:hint="eastAsia" w:ascii="Times New Roman" w:hAnsi="Times New Roman"/>
                <w:color w:val="auto"/>
                <w:sz w:val="21"/>
                <w:szCs w:val="21"/>
              </w:rPr>
              <w:t>生活垃圾由环卫人员运至垃圾处理厂处理。</w:t>
            </w:r>
          </w:p>
        </w:tc>
        <w:tc>
          <w:tcPr>
            <w:tcW w:w="1014" w:type="dxa"/>
            <w:vAlign w:val="center"/>
          </w:tcPr>
          <w:p>
            <w:pPr>
              <w:adjustRightInd w:val="0"/>
              <w:snapToGrid w:val="0"/>
              <w:spacing w:line="36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bl>
    <w:p>
      <w:pPr>
        <w:pStyle w:val="7"/>
        <w:rPr>
          <w:rFonts w:ascii="Times New Roman" w:hAnsi="Times New Roman"/>
          <w:color w:val="auto"/>
        </w:rPr>
      </w:pPr>
      <w:r>
        <w:rPr>
          <w:rFonts w:ascii="Times New Roman" w:hAnsi="Times New Roman"/>
          <w:color w:val="auto"/>
        </w:rPr>
        <w:t>2.2.4 生产设备</w:t>
      </w:r>
      <w:bookmarkEnd w:id="78"/>
      <w:bookmarkEnd w:id="79"/>
      <w:bookmarkEnd w:id="80"/>
      <w:bookmarkEnd w:id="81"/>
      <w:bookmarkEnd w:id="82"/>
      <w:bookmarkEnd w:id="83"/>
    </w:p>
    <w:p>
      <w:pPr>
        <w:spacing w:before="156" w:beforeLines="50" w:line="360" w:lineRule="auto"/>
        <w:ind w:firstLine="480" w:firstLineChars="200"/>
        <w:textAlignment w:val="baseline"/>
        <w:rPr>
          <w:rFonts w:ascii="Times New Roman" w:hAnsi="Times New Roman"/>
          <w:color w:val="auto"/>
          <w:sz w:val="24"/>
          <w:szCs w:val="24"/>
        </w:rPr>
      </w:pPr>
      <w:r>
        <w:rPr>
          <w:rFonts w:ascii="Times New Roman" w:hAnsi="Times New Roman"/>
          <w:color w:val="auto"/>
          <w:sz w:val="24"/>
          <w:szCs w:val="24"/>
        </w:rPr>
        <w:t>项目</w:t>
      </w:r>
      <w:r>
        <w:rPr>
          <w:rFonts w:hint="eastAsia" w:ascii="Times New Roman" w:hAnsi="Times New Roman"/>
          <w:color w:val="auto"/>
          <w:sz w:val="24"/>
          <w:szCs w:val="24"/>
        </w:rPr>
        <w:t>主要生产</w:t>
      </w:r>
      <w:r>
        <w:rPr>
          <w:rFonts w:ascii="Times New Roman" w:hAnsi="Times New Roman"/>
          <w:color w:val="auto"/>
          <w:sz w:val="24"/>
          <w:szCs w:val="24"/>
        </w:rPr>
        <w:t>设备一览表见表2-4</w:t>
      </w:r>
      <w:r>
        <w:rPr>
          <w:rFonts w:hint="eastAsia" w:ascii="Times New Roman" w:hAnsi="Times New Roman"/>
          <w:color w:val="auto"/>
          <w:sz w:val="24"/>
          <w:szCs w:val="24"/>
        </w:rPr>
        <w:t>。</w:t>
      </w:r>
    </w:p>
    <w:p>
      <w:pPr>
        <w:spacing w:line="480" w:lineRule="atLeast"/>
        <w:jc w:val="center"/>
        <w:rPr>
          <w:rFonts w:ascii="Times New Roman" w:hAnsi="Times New Roman"/>
          <w:b/>
          <w:color w:val="auto"/>
          <w:sz w:val="24"/>
          <w:szCs w:val="24"/>
        </w:rPr>
      </w:pPr>
      <w:r>
        <w:rPr>
          <w:rFonts w:ascii="Times New Roman" w:hAnsi="Times New Roman"/>
          <w:b/>
          <w:color w:val="auto"/>
          <w:sz w:val="24"/>
          <w:szCs w:val="24"/>
        </w:rPr>
        <w:t xml:space="preserve">表2-4  </w:t>
      </w:r>
      <w:r>
        <w:rPr>
          <w:rFonts w:hint="eastAsia" w:ascii="Times New Roman" w:hAnsi="Times New Roman"/>
          <w:b/>
          <w:color w:val="auto"/>
          <w:sz w:val="24"/>
          <w:szCs w:val="24"/>
        </w:rPr>
        <w:t>主要</w:t>
      </w:r>
      <w:r>
        <w:rPr>
          <w:rFonts w:ascii="Times New Roman" w:hAnsi="Times New Roman"/>
          <w:b/>
          <w:color w:val="auto"/>
          <w:sz w:val="24"/>
          <w:szCs w:val="24"/>
        </w:rPr>
        <w:t>设备一览表</w:t>
      </w:r>
    </w:p>
    <w:tbl>
      <w:tblPr>
        <w:tblStyle w:val="18"/>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2277"/>
        <w:gridCol w:w="1617"/>
        <w:gridCol w:w="1785"/>
        <w:gridCol w:w="1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widowControl/>
              <w:spacing w:line="0" w:lineRule="atLeast"/>
              <w:jc w:val="center"/>
              <w:rPr>
                <w:rFonts w:ascii="Times New Roman" w:hAnsi="Times New Roman"/>
                <w:b/>
                <w:bCs/>
                <w:color w:val="auto"/>
                <w:kern w:val="0"/>
                <w:szCs w:val="21"/>
              </w:rPr>
            </w:pPr>
            <w:bookmarkStart w:id="84" w:name="_Toc9178"/>
            <w:bookmarkStart w:id="85" w:name="_Toc25900"/>
            <w:bookmarkStart w:id="86" w:name="_Toc376"/>
            <w:bookmarkStart w:id="87" w:name="_Toc23184"/>
            <w:r>
              <w:rPr>
                <w:rFonts w:ascii="Times New Roman" w:hAnsi="Times New Roman"/>
                <w:b/>
                <w:bCs/>
                <w:color w:val="auto"/>
                <w:kern w:val="0"/>
                <w:szCs w:val="21"/>
              </w:rPr>
              <w:t>序号</w:t>
            </w:r>
          </w:p>
        </w:tc>
        <w:tc>
          <w:tcPr>
            <w:tcW w:w="2277" w:type="dxa"/>
            <w:tcBorders>
              <w:tl2br w:val="nil"/>
              <w:tr2bl w:val="nil"/>
            </w:tcBorders>
            <w:vAlign w:val="center"/>
          </w:tcPr>
          <w:p>
            <w:pPr>
              <w:widowControl/>
              <w:spacing w:line="0" w:lineRule="atLeast"/>
              <w:jc w:val="center"/>
              <w:rPr>
                <w:rFonts w:ascii="Times New Roman" w:hAnsi="Times New Roman"/>
                <w:b/>
                <w:bCs/>
                <w:color w:val="auto"/>
                <w:kern w:val="0"/>
                <w:szCs w:val="21"/>
              </w:rPr>
            </w:pPr>
            <w:r>
              <w:rPr>
                <w:rFonts w:ascii="Times New Roman" w:hAnsi="Times New Roman"/>
                <w:b/>
                <w:bCs/>
                <w:color w:val="auto"/>
                <w:kern w:val="0"/>
                <w:szCs w:val="21"/>
              </w:rPr>
              <w:t>设备名称</w:t>
            </w:r>
          </w:p>
        </w:tc>
        <w:tc>
          <w:tcPr>
            <w:tcW w:w="1617" w:type="dxa"/>
            <w:tcBorders>
              <w:tl2br w:val="nil"/>
              <w:tr2bl w:val="nil"/>
            </w:tcBorders>
            <w:vAlign w:val="center"/>
          </w:tcPr>
          <w:p>
            <w:pPr>
              <w:widowControl/>
              <w:spacing w:line="0" w:lineRule="atLeast"/>
              <w:jc w:val="center"/>
              <w:rPr>
                <w:rFonts w:ascii="Times New Roman" w:hAnsi="Times New Roman"/>
                <w:b/>
                <w:bCs/>
                <w:color w:val="auto"/>
                <w:kern w:val="0"/>
                <w:szCs w:val="21"/>
              </w:rPr>
            </w:pPr>
            <w:r>
              <w:rPr>
                <w:rFonts w:hint="eastAsia" w:ascii="Times New Roman" w:hAnsi="Times New Roman"/>
                <w:b/>
                <w:bCs/>
                <w:color w:val="auto"/>
                <w:kern w:val="0"/>
                <w:szCs w:val="21"/>
              </w:rPr>
              <w:t>单位</w:t>
            </w:r>
          </w:p>
        </w:tc>
        <w:tc>
          <w:tcPr>
            <w:tcW w:w="1785" w:type="dxa"/>
            <w:tcBorders>
              <w:tl2br w:val="nil"/>
              <w:tr2bl w:val="nil"/>
            </w:tcBorders>
            <w:vAlign w:val="center"/>
          </w:tcPr>
          <w:p>
            <w:pPr>
              <w:widowControl/>
              <w:spacing w:line="0" w:lineRule="atLeast"/>
              <w:jc w:val="center"/>
              <w:rPr>
                <w:rFonts w:ascii="Times New Roman" w:hAnsi="Times New Roman"/>
                <w:b/>
                <w:bCs/>
                <w:color w:val="auto"/>
                <w:kern w:val="0"/>
                <w:szCs w:val="21"/>
              </w:rPr>
            </w:pPr>
            <w:r>
              <w:rPr>
                <w:rFonts w:hint="eastAsia" w:ascii="Times New Roman" w:hAnsi="Times New Roman"/>
                <w:b/>
                <w:bCs/>
                <w:color w:val="auto"/>
                <w:kern w:val="0"/>
                <w:szCs w:val="21"/>
              </w:rPr>
              <w:t>环评中数量</w:t>
            </w:r>
          </w:p>
        </w:tc>
        <w:tc>
          <w:tcPr>
            <w:tcW w:w="1778" w:type="dxa"/>
            <w:tcBorders>
              <w:tl2br w:val="nil"/>
              <w:tr2bl w:val="nil"/>
            </w:tcBorders>
            <w:vAlign w:val="center"/>
          </w:tcPr>
          <w:p>
            <w:pPr>
              <w:widowControl/>
              <w:spacing w:line="0" w:lineRule="atLeast"/>
              <w:jc w:val="center"/>
              <w:rPr>
                <w:rFonts w:ascii="Times New Roman" w:hAnsi="Times New Roman"/>
                <w:b/>
                <w:bCs/>
                <w:color w:val="auto"/>
                <w:kern w:val="0"/>
                <w:szCs w:val="21"/>
              </w:rPr>
            </w:pPr>
            <w:r>
              <w:rPr>
                <w:rFonts w:hint="eastAsia" w:ascii="Times New Roman" w:hAnsi="Times New Roman"/>
                <w:b/>
                <w:bCs/>
                <w:color w:val="auto"/>
                <w:kern w:val="0"/>
                <w:szCs w:val="21"/>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0" w:lineRule="atLeast"/>
              <w:jc w:val="center"/>
              <w:rPr>
                <w:rFonts w:ascii="Times New Roman" w:hAnsi="Times New Roman"/>
                <w:color w:val="auto"/>
                <w:kern w:val="0"/>
                <w:szCs w:val="21"/>
              </w:rPr>
            </w:pPr>
            <w:r>
              <w:rPr>
                <w:rFonts w:ascii="Times New Roman" w:hAnsi="Times New Roman"/>
                <w:color w:val="auto"/>
                <w:kern w:val="0"/>
                <w:szCs w:val="21"/>
              </w:rPr>
              <w:t>1</w:t>
            </w:r>
          </w:p>
        </w:tc>
        <w:tc>
          <w:tcPr>
            <w:tcW w:w="2277"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szCs w:val="21"/>
                <w:lang w:eastAsia="zh-CN"/>
              </w:rPr>
              <w:t>喷砂机</w:t>
            </w:r>
          </w:p>
        </w:tc>
        <w:tc>
          <w:tcPr>
            <w:tcW w:w="1617"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szCs w:val="21"/>
              </w:rPr>
              <w:t>台</w:t>
            </w:r>
          </w:p>
        </w:tc>
        <w:tc>
          <w:tcPr>
            <w:tcW w:w="1785"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szCs w:val="21"/>
                <w:lang w:val="en-US" w:eastAsia="zh-CN"/>
              </w:rPr>
              <w:t>1</w:t>
            </w:r>
          </w:p>
        </w:tc>
        <w:tc>
          <w:tcPr>
            <w:tcW w:w="1778" w:type="dxa"/>
            <w:tcBorders>
              <w:tl2br w:val="nil"/>
              <w:tr2bl w:val="nil"/>
            </w:tcBorders>
            <w:vAlign w:val="center"/>
          </w:tcPr>
          <w:p>
            <w:pPr>
              <w:adjustRightInd w:val="0"/>
              <w:snapToGrid w:val="0"/>
              <w:spacing w:line="0" w:lineRule="atLeast"/>
              <w:jc w:val="center"/>
              <w:rPr>
                <w:rFonts w:hint="eastAsia" w:ascii="Times New Roman" w:hAnsi="Times New Roman" w:eastAsia="宋体"/>
                <w:color w:val="auto"/>
                <w:kern w:val="0"/>
                <w:szCs w:val="21"/>
                <w:lang w:eastAsia="zh-CN"/>
              </w:rPr>
            </w:pPr>
            <w:r>
              <w:rPr>
                <w:rFonts w:hint="eastAsia" w:ascii="Times New Roman" w:hAnsi="Times New Roman"/>
                <w:color w:val="auto"/>
                <w:kern w:val="0"/>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0" w:lineRule="atLeast"/>
              <w:jc w:val="center"/>
              <w:rPr>
                <w:rFonts w:ascii="Times New Roman" w:hAnsi="Times New Roman"/>
                <w:color w:val="auto"/>
                <w:kern w:val="0"/>
                <w:szCs w:val="21"/>
              </w:rPr>
            </w:pPr>
            <w:r>
              <w:rPr>
                <w:rFonts w:ascii="Times New Roman" w:hAnsi="Times New Roman"/>
                <w:color w:val="auto"/>
                <w:kern w:val="0"/>
                <w:szCs w:val="21"/>
              </w:rPr>
              <w:t>2</w:t>
            </w:r>
          </w:p>
        </w:tc>
        <w:tc>
          <w:tcPr>
            <w:tcW w:w="2277"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szCs w:val="21"/>
                <w:lang w:eastAsia="zh-CN"/>
              </w:rPr>
              <w:t>锯床</w:t>
            </w:r>
          </w:p>
        </w:tc>
        <w:tc>
          <w:tcPr>
            <w:tcW w:w="1617"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szCs w:val="21"/>
              </w:rPr>
              <w:t>台</w:t>
            </w:r>
          </w:p>
        </w:tc>
        <w:tc>
          <w:tcPr>
            <w:tcW w:w="1785" w:type="dxa"/>
            <w:tcBorders>
              <w:tl2br w:val="nil"/>
              <w:tr2bl w:val="nil"/>
            </w:tcBorders>
            <w:vAlign w:val="center"/>
          </w:tcPr>
          <w:p>
            <w:pPr>
              <w:jc w:val="center"/>
              <w:rPr>
                <w:rFonts w:ascii="Times New Roman" w:hAnsi="Times New Roman"/>
                <w:color w:val="auto"/>
                <w:kern w:val="0"/>
                <w:szCs w:val="21"/>
              </w:rPr>
            </w:pPr>
            <w:r>
              <w:rPr>
                <w:rFonts w:hint="default" w:ascii="Times New Roman" w:hAnsi="Times New Roman" w:cs="Times New Roman"/>
                <w:color w:val="auto"/>
                <w:szCs w:val="21"/>
                <w:lang w:val="en-US" w:eastAsia="zh-CN"/>
              </w:rPr>
              <w:t>2</w:t>
            </w:r>
          </w:p>
        </w:tc>
        <w:tc>
          <w:tcPr>
            <w:tcW w:w="1778" w:type="dxa"/>
            <w:tcBorders>
              <w:tl2br w:val="nil"/>
              <w:tr2bl w:val="nil"/>
            </w:tcBorders>
            <w:vAlign w:val="center"/>
          </w:tcPr>
          <w:p>
            <w:pPr>
              <w:adjustRightInd w:val="0"/>
              <w:snapToGrid w:val="0"/>
              <w:spacing w:line="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0" w:lineRule="atLeast"/>
              <w:jc w:val="center"/>
              <w:rPr>
                <w:rFonts w:ascii="Times New Roman" w:hAnsi="Times New Roman"/>
                <w:color w:val="auto"/>
                <w:kern w:val="0"/>
                <w:szCs w:val="21"/>
              </w:rPr>
            </w:pPr>
            <w:r>
              <w:rPr>
                <w:rFonts w:hint="eastAsia" w:ascii="Times New Roman" w:hAnsi="Times New Roman"/>
                <w:color w:val="auto"/>
                <w:kern w:val="0"/>
                <w:szCs w:val="21"/>
              </w:rPr>
              <w:t>3</w:t>
            </w:r>
          </w:p>
        </w:tc>
        <w:tc>
          <w:tcPr>
            <w:tcW w:w="2277" w:type="dxa"/>
            <w:tcBorders>
              <w:tl2br w:val="nil"/>
              <w:tr2bl w:val="nil"/>
            </w:tcBorders>
            <w:vAlign w:val="center"/>
          </w:tcPr>
          <w:p>
            <w:pPr>
              <w:spacing w:line="0" w:lineRule="atLeast"/>
              <w:jc w:val="center"/>
              <w:rPr>
                <w:color w:val="auto"/>
                <w:kern w:val="0"/>
                <w:szCs w:val="21"/>
              </w:rPr>
            </w:pPr>
            <w:r>
              <w:rPr>
                <w:rFonts w:hint="default" w:ascii="Times New Roman" w:hAnsi="Times New Roman" w:cs="Times New Roman"/>
                <w:color w:val="auto"/>
                <w:szCs w:val="21"/>
                <w:lang w:eastAsia="zh-CN"/>
              </w:rPr>
              <w:t>车床</w:t>
            </w:r>
          </w:p>
        </w:tc>
        <w:tc>
          <w:tcPr>
            <w:tcW w:w="1617" w:type="dxa"/>
            <w:tcBorders>
              <w:tl2br w:val="nil"/>
              <w:tr2bl w:val="nil"/>
            </w:tcBorders>
            <w:vAlign w:val="center"/>
          </w:tcPr>
          <w:p>
            <w:pPr>
              <w:spacing w:line="0" w:lineRule="atLeast"/>
              <w:jc w:val="center"/>
              <w:rPr>
                <w:rFonts w:ascii="Times New Roman" w:hAnsi="Times New Roman"/>
                <w:color w:val="auto"/>
                <w:kern w:val="0"/>
                <w:szCs w:val="21"/>
              </w:rPr>
            </w:pPr>
            <w:r>
              <w:rPr>
                <w:rFonts w:hint="default" w:ascii="Times New Roman" w:hAnsi="Times New Roman" w:cs="Times New Roman"/>
                <w:color w:val="auto"/>
                <w:szCs w:val="21"/>
              </w:rPr>
              <w:t>台</w:t>
            </w:r>
          </w:p>
        </w:tc>
        <w:tc>
          <w:tcPr>
            <w:tcW w:w="1785" w:type="dxa"/>
            <w:tcBorders>
              <w:tl2br w:val="nil"/>
              <w:tr2bl w:val="nil"/>
            </w:tcBorders>
            <w:vAlign w:val="center"/>
          </w:tcPr>
          <w:p>
            <w:pPr>
              <w:jc w:val="center"/>
              <w:rPr>
                <w:rFonts w:ascii="Times New Roman" w:hAnsi="Times New Roman"/>
                <w:color w:val="auto"/>
                <w:kern w:val="0"/>
                <w:szCs w:val="21"/>
              </w:rPr>
            </w:pPr>
            <w:r>
              <w:rPr>
                <w:rFonts w:hint="default" w:ascii="Times New Roman" w:hAnsi="Times New Roman" w:cs="Times New Roman"/>
                <w:color w:val="auto"/>
                <w:szCs w:val="21"/>
                <w:lang w:val="en-US" w:eastAsia="zh-CN"/>
              </w:rPr>
              <w:t>5</w:t>
            </w:r>
          </w:p>
        </w:tc>
        <w:tc>
          <w:tcPr>
            <w:tcW w:w="1778" w:type="dxa"/>
            <w:tcBorders>
              <w:tl2br w:val="nil"/>
              <w:tr2bl w:val="nil"/>
            </w:tcBorders>
            <w:vAlign w:val="center"/>
          </w:tcPr>
          <w:p>
            <w:pPr>
              <w:adjustRightInd w:val="0"/>
              <w:snapToGrid w:val="0"/>
              <w:spacing w:line="0" w:lineRule="atLeast"/>
              <w:jc w:val="center"/>
              <w:rPr>
                <w:rFonts w:ascii="Times New Roman" w:hAnsi="Times New Roman"/>
                <w:color w:val="auto"/>
                <w:kern w:val="0"/>
                <w:szCs w:val="21"/>
              </w:rPr>
            </w:pPr>
            <w:r>
              <w:rPr>
                <w:rFonts w:hint="eastAsia" w:ascii="Times New Roman" w:hAnsi="Times New Roman"/>
                <w:color w:val="auto"/>
                <w:kern w:val="0"/>
                <w:szCs w:val="21"/>
              </w:rPr>
              <w:t>与环评一致</w:t>
            </w:r>
          </w:p>
        </w:tc>
      </w:tr>
    </w:tbl>
    <w:p>
      <w:pPr>
        <w:pStyle w:val="6"/>
        <w:rPr>
          <w:rFonts w:ascii="Times New Roman" w:hAnsi="Times New Roman"/>
          <w:color w:val="auto"/>
        </w:rPr>
      </w:pPr>
      <w:r>
        <w:rPr>
          <w:rFonts w:ascii="Times New Roman" w:hAnsi="Times New Roman"/>
          <w:color w:val="auto"/>
        </w:rPr>
        <w:t>2.3 工艺流程</w:t>
      </w:r>
      <w:bookmarkEnd w:id="84"/>
      <w:bookmarkEnd w:id="85"/>
      <w:bookmarkEnd w:id="86"/>
      <w:bookmarkEnd w:id="87"/>
    </w:p>
    <w:p>
      <w:pPr>
        <w:spacing w:after="312" w:afterLines="100" w:line="480" w:lineRule="atLeast"/>
        <w:ind w:firstLine="482"/>
        <w:rPr>
          <w:rFonts w:ascii="Times New Roman" w:hAnsi="Times New Roman"/>
          <w:color w:val="auto"/>
          <w:sz w:val="24"/>
          <w:szCs w:val="24"/>
        </w:rPr>
      </w:pPr>
      <w:r>
        <w:rPr>
          <w:rFonts w:ascii="Times New Roman" w:hAnsi="Times New Roman"/>
          <w:color w:val="auto"/>
          <w:sz w:val="24"/>
          <w:szCs w:val="24"/>
        </w:rPr>
        <w:t>工艺流程及产污环节见图2-1。</w:t>
      </w:r>
    </w:p>
    <w:p>
      <w:pPr>
        <w:pStyle w:val="2"/>
        <w:rPr>
          <w:color w:val="FF0000"/>
        </w:rPr>
      </w:pPr>
      <w:r>
        <w:drawing>
          <wp:inline distT="0" distB="0" distL="114300" distR="114300">
            <wp:extent cx="5272405" cy="1302385"/>
            <wp:effectExtent l="0" t="0" r="4445" b="1206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72405" cy="1302385"/>
                    </a:xfrm>
                    <a:prstGeom prst="rect">
                      <a:avLst/>
                    </a:prstGeom>
                    <a:noFill/>
                    <a:ln>
                      <a:noFill/>
                    </a:ln>
                  </pic:spPr>
                </pic:pic>
              </a:graphicData>
            </a:graphic>
          </wp:inline>
        </w:drawing>
      </w:r>
    </w:p>
    <w:p>
      <w:pPr>
        <w:widowControl/>
        <w:spacing w:line="360" w:lineRule="auto"/>
        <w:jc w:val="center"/>
        <w:textAlignment w:val="baseline"/>
        <w:rPr>
          <w:rFonts w:ascii="Times New Roman" w:hAnsi="Times New Roman"/>
          <w:b/>
          <w:color w:val="auto"/>
          <w:kern w:val="0"/>
          <w:sz w:val="24"/>
          <w:szCs w:val="20"/>
          <w:u w:color="000000"/>
        </w:rPr>
      </w:pPr>
      <w:bookmarkStart w:id="88" w:name="_Toc29955"/>
      <w:bookmarkStart w:id="89" w:name="_Toc12284"/>
      <w:bookmarkStart w:id="90" w:name="_Toc2746"/>
      <w:bookmarkStart w:id="91" w:name="_Toc12629"/>
      <w:r>
        <w:rPr>
          <w:rFonts w:hint="eastAsia" w:ascii="Times New Roman" w:hAnsi="Times New Roman"/>
          <w:b/>
          <w:color w:val="auto"/>
          <w:kern w:val="0"/>
          <w:sz w:val="24"/>
          <w:szCs w:val="20"/>
          <w:u w:color="000000"/>
        </w:rPr>
        <w:t xml:space="preserve">图2 </w:t>
      </w:r>
      <w:r>
        <w:rPr>
          <w:rFonts w:ascii="Times New Roman" w:hAnsi="Times New Roman"/>
          <w:b/>
          <w:color w:val="auto"/>
          <w:kern w:val="0"/>
          <w:sz w:val="24"/>
          <w:szCs w:val="20"/>
          <w:u w:color="000000"/>
        </w:rPr>
        <w:t>-1</w:t>
      </w:r>
      <w:r>
        <w:rPr>
          <w:rFonts w:hint="eastAsia" w:ascii="Times New Roman" w:hAnsi="Times New Roman"/>
          <w:b/>
          <w:color w:val="auto"/>
          <w:kern w:val="0"/>
          <w:sz w:val="24"/>
          <w:szCs w:val="20"/>
          <w:u w:color="000000"/>
        </w:rPr>
        <w:t xml:space="preserve">   生产工艺流程及产污节点</w:t>
      </w:r>
    </w:p>
    <w:p>
      <w:pPr>
        <w:pStyle w:val="2"/>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color w:val="auto"/>
          <w:sz w:val="24"/>
          <w:szCs w:val="24"/>
        </w:rPr>
      </w:pPr>
      <w:r>
        <w:rPr>
          <w:rFonts w:hint="eastAsia" w:ascii="Times New Roman" w:hAnsi="Times New Roman"/>
          <w:color w:val="auto"/>
          <w:sz w:val="24"/>
          <w:szCs w:val="24"/>
        </w:rPr>
        <w:t>工艺流</w:t>
      </w:r>
      <w:r>
        <w:rPr>
          <w:rFonts w:hint="eastAsia" w:ascii="Times New Roman" w:hAnsi="Times New Roman"/>
          <w:color w:val="auto"/>
          <w:kern w:val="28"/>
          <w:sz w:val="24"/>
          <w:szCs w:val="24"/>
        </w:rPr>
        <w:t>程</w:t>
      </w:r>
      <w:r>
        <w:rPr>
          <w:rFonts w:hint="eastAsia" w:ascii="Times New Roman" w:hAnsi="Times New Roman"/>
          <w:color w:val="auto"/>
          <w:sz w:val="24"/>
          <w:szCs w:val="24"/>
        </w:rPr>
        <w:t>简述：</w:t>
      </w:r>
    </w:p>
    <w:p>
      <w:pPr>
        <w:keepNext w:val="0"/>
        <w:keepLines w:val="0"/>
        <w:pageBreakBefore w:val="0"/>
        <w:widowControl w:val="0"/>
        <w:tabs>
          <w:tab w:val="left" w:pos="495"/>
        </w:tabs>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上料</w:t>
      </w:r>
      <w:r>
        <w:rPr>
          <w:rFonts w:hint="default" w:ascii="Times New Roman" w:hAnsi="Times New Roman" w:cs="Times New Roman"/>
          <w:color w:val="auto"/>
          <w:sz w:val="24"/>
          <w:szCs w:val="24"/>
        </w:rPr>
        <w:t>切割：根据产品需求，利用</w:t>
      </w:r>
      <w:r>
        <w:rPr>
          <w:rFonts w:hint="default" w:ascii="Times New Roman" w:hAnsi="Times New Roman" w:cs="Times New Roman"/>
          <w:color w:val="auto"/>
          <w:sz w:val="24"/>
          <w:szCs w:val="24"/>
          <w:lang w:eastAsia="zh-CN"/>
        </w:rPr>
        <w:t>切割机切割</w:t>
      </w:r>
      <w:r>
        <w:rPr>
          <w:rFonts w:hint="default" w:ascii="Times New Roman" w:hAnsi="Times New Roman" w:cs="Times New Roman"/>
          <w:color w:val="auto"/>
          <w:sz w:val="24"/>
          <w:szCs w:val="24"/>
        </w:rPr>
        <w:t>。</w:t>
      </w:r>
    </w:p>
    <w:p>
      <w:pPr>
        <w:keepNext w:val="0"/>
        <w:keepLines w:val="0"/>
        <w:pageBreakBefore w:val="0"/>
        <w:widowControl w:val="0"/>
        <w:tabs>
          <w:tab w:val="left" w:pos="495"/>
        </w:tabs>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车床</w:t>
      </w:r>
      <w:r>
        <w:rPr>
          <w:rFonts w:hint="default" w:ascii="Times New Roman" w:hAnsi="Times New Roman" w:cs="Times New Roman"/>
          <w:color w:val="auto"/>
          <w:sz w:val="24"/>
          <w:szCs w:val="24"/>
        </w:rPr>
        <w:t>：根据产品需要</w:t>
      </w:r>
      <w:r>
        <w:rPr>
          <w:rFonts w:hint="default" w:ascii="Times New Roman" w:hAnsi="Times New Roman" w:cs="Times New Roman"/>
          <w:color w:val="auto"/>
          <w:sz w:val="24"/>
          <w:szCs w:val="24"/>
          <w:lang w:eastAsia="zh-CN"/>
        </w:rPr>
        <w:t>用车床对标准件车出半成品</w:t>
      </w:r>
      <w:r>
        <w:rPr>
          <w:rFonts w:hint="default" w:ascii="Times New Roman" w:hAnsi="Times New Roman" w:cs="Times New Roman"/>
          <w:color w:val="auto"/>
          <w:sz w:val="24"/>
          <w:szCs w:val="24"/>
        </w:rPr>
        <w:t>。</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color w:val="auto"/>
          <w:sz w:val="24"/>
          <w:szCs w:val="24"/>
        </w:rPr>
      </w:pPr>
      <w:r>
        <w:rPr>
          <w:rFonts w:hint="default" w:ascii="Times New Roman" w:hAnsi="Times New Roman" w:cs="Times New Roman"/>
          <w:color w:val="auto"/>
          <w:sz w:val="24"/>
          <w:szCs w:val="24"/>
          <w:lang w:eastAsia="zh-CN"/>
        </w:rPr>
        <w:t>检验：检验合格后入库。</w:t>
      </w:r>
    </w:p>
    <w:p>
      <w:pPr>
        <w:pStyle w:val="6"/>
        <w:rPr>
          <w:rFonts w:ascii="Times New Roman" w:hAnsi="Times New Roman"/>
          <w:color w:val="auto"/>
        </w:rPr>
      </w:pPr>
      <w:r>
        <w:rPr>
          <w:rFonts w:ascii="Times New Roman" w:hAnsi="Times New Roman"/>
          <w:color w:val="auto"/>
        </w:rPr>
        <w:t>2.4 劳动定员及工作制度</w:t>
      </w:r>
      <w:bookmarkEnd w:id="88"/>
      <w:bookmarkEnd w:id="89"/>
      <w:bookmarkEnd w:id="90"/>
      <w:bookmarkEnd w:id="91"/>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本项目劳动定员为</w:t>
      </w:r>
      <w:r>
        <w:rPr>
          <w:rFonts w:hint="eastAsia" w:ascii="Times New Roman" w:hAnsi="Times New Roman"/>
          <w:color w:val="auto"/>
          <w:sz w:val="24"/>
          <w:szCs w:val="24"/>
          <w:lang w:val="en-US" w:eastAsia="zh-CN"/>
        </w:rPr>
        <w:t>5</w:t>
      </w:r>
      <w:r>
        <w:rPr>
          <w:rFonts w:ascii="Times New Roman" w:hAnsi="Times New Roman"/>
          <w:color w:val="auto"/>
          <w:sz w:val="24"/>
          <w:szCs w:val="24"/>
        </w:rPr>
        <w:t>人，年工作日为300天，</w:t>
      </w:r>
      <w:r>
        <w:rPr>
          <w:rFonts w:hint="eastAsia" w:ascii="Times New Roman" w:hAnsi="Times New Roman"/>
          <w:color w:val="auto"/>
          <w:sz w:val="24"/>
          <w:szCs w:val="24"/>
        </w:rPr>
        <w:t>一</w:t>
      </w:r>
      <w:r>
        <w:rPr>
          <w:rFonts w:ascii="Times New Roman" w:hAnsi="Times New Roman"/>
          <w:color w:val="auto"/>
          <w:sz w:val="24"/>
          <w:szCs w:val="24"/>
        </w:rPr>
        <w:t>班8h工作制。</w:t>
      </w:r>
    </w:p>
    <w:p>
      <w:pPr>
        <w:pStyle w:val="6"/>
        <w:rPr>
          <w:rFonts w:ascii="Times New Roman" w:hAnsi="Times New Roman"/>
          <w:color w:val="auto"/>
        </w:rPr>
      </w:pPr>
      <w:bookmarkStart w:id="92" w:name="_Toc18609"/>
      <w:bookmarkStart w:id="93" w:name="_Toc4180"/>
      <w:bookmarkStart w:id="94" w:name="_Toc172"/>
      <w:bookmarkStart w:id="95" w:name="_Toc23560"/>
      <w:r>
        <w:rPr>
          <w:rFonts w:ascii="Times New Roman" w:hAnsi="Times New Roman"/>
          <w:color w:val="auto"/>
        </w:rPr>
        <w:t>2.5 公用工程</w:t>
      </w:r>
      <w:bookmarkEnd w:id="92"/>
      <w:bookmarkEnd w:id="93"/>
      <w:bookmarkEnd w:id="94"/>
      <w:bookmarkEnd w:id="95"/>
    </w:p>
    <w:p>
      <w:pPr>
        <w:pStyle w:val="7"/>
        <w:spacing w:line="440" w:lineRule="atLeast"/>
        <w:rPr>
          <w:rFonts w:ascii="Times New Roman" w:hAnsi="Times New Roman"/>
          <w:color w:val="auto"/>
        </w:rPr>
      </w:pPr>
      <w:bookmarkStart w:id="96" w:name="_Toc11895"/>
      <w:bookmarkStart w:id="97" w:name="_Toc23987"/>
      <w:bookmarkStart w:id="98" w:name="_Toc30661"/>
      <w:bookmarkStart w:id="99" w:name="_Toc497001447"/>
      <w:bookmarkStart w:id="100" w:name="_Toc496979011"/>
      <w:bookmarkStart w:id="101" w:name="_Toc30587"/>
      <w:r>
        <w:rPr>
          <w:rFonts w:ascii="Times New Roman" w:hAnsi="Times New Roman"/>
          <w:color w:val="auto"/>
        </w:rPr>
        <w:t>2.5.1 给排水</w:t>
      </w:r>
      <w:bookmarkEnd w:id="96"/>
      <w:bookmarkEnd w:id="97"/>
      <w:bookmarkEnd w:id="98"/>
      <w:bookmarkEnd w:id="99"/>
      <w:bookmarkEnd w:id="100"/>
      <w:bookmarkEnd w:id="101"/>
    </w:p>
    <w:p>
      <w:pPr>
        <w:pStyle w:val="7"/>
        <w:spacing w:line="440" w:lineRule="atLeast"/>
        <w:ind w:firstLine="480" w:firstLineChars="200"/>
        <w:rPr>
          <w:rFonts w:ascii="Times New Roman" w:hAnsi="Times New Roman"/>
          <w:color w:val="auto"/>
        </w:rPr>
      </w:pPr>
      <w:bookmarkStart w:id="102" w:name="_Toc497001448"/>
      <w:bookmarkStart w:id="103" w:name="_Toc922"/>
      <w:bookmarkStart w:id="104" w:name="_Toc496979012"/>
      <w:r>
        <w:rPr>
          <w:rFonts w:ascii="Times New Roman" w:hAnsi="Times New Roman"/>
          <w:color w:val="auto"/>
        </w:rPr>
        <w:t>1）给水：项目用水由</w:t>
      </w:r>
      <w:r>
        <w:rPr>
          <w:rFonts w:hint="eastAsia" w:ascii="Times New Roman" w:hAnsi="Times New Roman"/>
          <w:color w:val="auto"/>
          <w:lang w:val="en-US" w:eastAsia="zh-CN"/>
        </w:rPr>
        <w:t>当地</w:t>
      </w:r>
      <w:r>
        <w:rPr>
          <w:rFonts w:ascii="Times New Roman" w:hAnsi="Times New Roman"/>
          <w:color w:val="auto"/>
        </w:rPr>
        <w:t>供水管网提供。</w:t>
      </w:r>
    </w:p>
    <w:p>
      <w:pPr>
        <w:pStyle w:val="7"/>
        <w:spacing w:line="440" w:lineRule="atLeast"/>
        <w:ind w:firstLine="480" w:firstLineChars="200"/>
        <w:rPr>
          <w:rFonts w:ascii="Times New Roman" w:hAnsi="Times New Roman"/>
          <w:color w:val="auto"/>
          <w:kern w:val="28"/>
        </w:rPr>
      </w:pPr>
      <w:bookmarkStart w:id="105" w:name="_Toc30676"/>
      <w:r>
        <w:rPr>
          <w:rFonts w:ascii="Times New Roman" w:hAnsi="Times New Roman"/>
          <w:color w:val="auto"/>
        </w:rPr>
        <w:t>2）排水</w:t>
      </w:r>
      <w:r>
        <w:rPr>
          <w:rFonts w:ascii="Times New Roman" w:hAnsi="Times New Roman"/>
          <w:color w:val="auto"/>
          <w:kern w:val="28"/>
        </w:rPr>
        <w:t>：</w:t>
      </w:r>
      <w:bookmarkEnd w:id="105"/>
      <w:r>
        <w:rPr>
          <w:rFonts w:hint="eastAsia" w:ascii="Times New Roman" w:hAnsi="Times New Roman"/>
          <w:color w:val="auto"/>
          <w:kern w:val="28"/>
        </w:rPr>
        <w:t>项目无生产废水产生；废水主要为职工生活盥洗污水，用于厂区泼洒抑尘不外排</w:t>
      </w:r>
    </w:p>
    <w:p>
      <w:pPr>
        <w:pStyle w:val="7"/>
        <w:spacing w:line="440" w:lineRule="atLeast"/>
        <w:rPr>
          <w:rFonts w:ascii="Times New Roman" w:hAnsi="Times New Roman"/>
          <w:color w:val="auto"/>
        </w:rPr>
      </w:pPr>
      <w:bookmarkStart w:id="106" w:name="_Toc24223"/>
      <w:bookmarkStart w:id="107" w:name="_Toc21823"/>
      <w:bookmarkStart w:id="108" w:name="_Toc26592"/>
      <w:r>
        <w:rPr>
          <w:rFonts w:ascii="Times New Roman" w:hAnsi="Times New Roman"/>
          <w:color w:val="auto"/>
        </w:rPr>
        <w:t>2.5.2 供电</w:t>
      </w:r>
      <w:bookmarkEnd w:id="102"/>
      <w:bookmarkEnd w:id="103"/>
      <w:bookmarkEnd w:id="104"/>
      <w:bookmarkEnd w:id="106"/>
      <w:bookmarkEnd w:id="107"/>
      <w:bookmarkEnd w:id="108"/>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项目用电由当地供电管网提供</w:t>
      </w:r>
      <w:r>
        <w:rPr>
          <w:rFonts w:hint="eastAsia" w:ascii="Times New Roman" w:hAnsi="Times New Roman"/>
          <w:color w:val="auto"/>
          <w:sz w:val="24"/>
          <w:szCs w:val="24"/>
        </w:rPr>
        <w:t>。</w:t>
      </w:r>
    </w:p>
    <w:p>
      <w:pPr>
        <w:pStyle w:val="7"/>
        <w:rPr>
          <w:rFonts w:ascii="Times New Roman" w:hAnsi="Times New Roman"/>
          <w:color w:val="auto"/>
        </w:rPr>
      </w:pPr>
      <w:bookmarkStart w:id="109" w:name="_Toc27473"/>
      <w:bookmarkStart w:id="110" w:name="_Toc138"/>
      <w:bookmarkStart w:id="111" w:name="_Toc11980"/>
      <w:bookmarkStart w:id="112" w:name="_Toc2253"/>
      <w:r>
        <w:rPr>
          <w:rFonts w:ascii="Times New Roman" w:hAnsi="Times New Roman"/>
          <w:color w:val="auto"/>
        </w:rPr>
        <w:t>2.5.3供暖</w:t>
      </w:r>
      <w:bookmarkEnd w:id="109"/>
      <w:bookmarkEnd w:id="110"/>
      <w:bookmarkEnd w:id="111"/>
      <w:bookmarkEnd w:id="112"/>
    </w:p>
    <w:p>
      <w:pPr>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项目车间冬季不供暖，办公室采用电取暖。</w:t>
      </w:r>
    </w:p>
    <w:p>
      <w:pPr>
        <w:pStyle w:val="6"/>
        <w:spacing w:line="440" w:lineRule="atLeast"/>
        <w:rPr>
          <w:rFonts w:ascii="Times New Roman" w:hAnsi="Times New Roman"/>
          <w:color w:val="auto"/>
        </w:rPr>
      </w:pPr>
      <w:bookmarkStart w:id="113" w:name="_Toc23930"/>
      <w:bookmarkStart w:id="114" w:name="_Toc14595"/>
      <w:bookmarkStart w:id="115" w:name="_Toc12064"/>
      <w:bookmarkStart w:id="116" w:name="_Toc21958"/>
      <w:r>
        <w:rPr>
          <w:rFonts w:ascii="Times New Roman" w:hAnsi="Times New Roman"/>
          <w:color w:val="auto"/>
        </w:rPr>
        <w:t>2.6 环评审批情况</w:t>
      </w:r>
      <w:bookmarkEnd w:id="113"/>
      <w:bookmarkEnd w:id="114"/>
      <w:bookmarkEnd w:id="115"/>
      <w:bookmarkEnd w:id="116"/>
    </w:p>
    <w:p>
      <w:pPr>
        <w:spacing w:line="360" w:lineRule="auto"/>
        <w:ind w:firstLine="480" w:firstLineChars="200"/>
        <w:rPr>
          <w:rFonts w:ascii="Times New Roman" w:hAnsi="Times New Roman"/>
          <w:color w:val="FF0000"/>
          <w:sz w:val="24"/>
          <w:szCs w:val="24"/>
        </w:rPr>
      </w:pPr>
      <w:r>
        <w:rPr>
          <w:rFonts w:hint="eastAsia" w:ascii="Times New Roman" w:hAnsi="Times New Roman"/>
          <w:color w:val="FF0000"/>
          <w:sz w:val="24"/>
          <w:szCs w:val="24"/>
          <w:lang w:val="en-US" w:eastAsia="zh-CN"/>
        </w:rPr>
        <w:t>湖北黄环环保科技有限公司</w:t>
      </w:r>
      <w:r>
        <w:rPr>
          <w:rFonts w:hint="eastAsia" w:ascii="Times New Roman" w:hAnsi="Times New Roman"/>
          <w:color w:val="FF0000"/>
          <w:sz w:val="24"/>
        </w:rPr>
        <w:t>于</w:t>
      </w:r>
      <w:r>
        <w:rPr>
          <w:rFonts w:ascii="Times New Roman" w:hAnsi="Times New Roman"/>
          <w:color w:val="FF0000"/>
          <w:sz w:val="24"/>
          <w:szCs w:val="24"/>
        </w:rPr>
        <w:t>201</w:t>
      </w:r>
      <w:r>
        <w:rPr>
          <w:rFonts w:hint="eastAsia" w:ascii="Times New Roman" w:hAnsi="Times New Roman"/>
          <w:color w:val="FF0000"/>
          <w:sz w:val="24"/>
          <w:szCs w:val="24"/>
        </w:rPr>
        <w:t>9</w:t>
      </w:r>
      <w:r>
        <w:rPr>
          <w:rFonts w:ascii="Times New Roman" w:hAnsi="Times New Roman"/>
          <w:color w:val="FF0000"/>
          <w:sz w:val="24"/>
          <w:szCs w:val="24"/>
        </w:rPr>
        <w:t>年</w:t>
      </w:r>
      <w:r>
        <w:rPr>
          <w:rFonts w:hint="eastAsia" w:ascii="Times New Roman" w:hAnsi="Times New Roman"/>
          <w:color w:val="FF0000"/>
          <w:sz w:val="24"/>
          <w:szCs w:val="24"/>
          <w:lang w:val="en-US" w:eastAsia="zh-CN"/>
        </w:rPr>
        <w:t>12</w:t>
      </w:r>
      <w:r>
        <w:rPr>
          <w:rFonts w:ascii="Times New Roman" w:hAnsi="Times New Roman"/>
          <w:color w:val="FF0000"/>
          <w:sz w:val="24"/>
          <w:szCs w:val="24"/>
        </w:rPr>
        <w:t>月</w:t>
      </w:r>
      <w:r>
        <w:rPr>
          <w:rFonts w:hint="eastAsia" w:ascii="Times New Roman" w:hAnsi="Times New Roman"/>
          <w:color w:val="FF0000"/>
          <w:sz w:val="24"/>
          <w:szCs w:val="24"/>
        </w:rPr>
        <w:t>编制完成了</w:t>
      </w:r>
      <w:r>
        <w:rPr>
          <w:rFonts w:ascii="Times New Roman" w:hAnsi="Times New Roman"/>
          <w:color w:val="FF0000"/>
          <w:sz w:val="24"/>
          <w:szCs w:val="24"/>
        </w:rPr>
        <w:t>《</w:t>
      </w:r>
      <w:r>
        <w:rPr>
          <w:rFonts w:hint="eastAsia" w:ascii="Times New Roman" w:hAnsi="Times New Roman"/>
          <w:color w:val="FF0000"/>
          <w:sz w:val="24"/>
          <w:szCs w:val="24"/>
          <w:lang w:eastAsia="zh-CN"/>
        </w:rPr>
        <w:t>河北商合管件制造有限公司标准件生产项目</w:t>
      </w:r>
      <w:r>
        <w:rPr>
          <w:rFonts w:hint="eastAsia" w:ascii="Times New Roman" w:hAnsi="Times New Roman"/>
          <w:color w:val="FF0000"/>
          <w:kern w:val="0"/>
          <w:sz w:val="24"/>
          <w:szCs w:val="24"/>
        </w:rPr>
        <w:t>环境影响报告表</w:t>
      </w:r>
      <w:r>
        <w:rPr>
          <w:rFonts w:ascii="Times New Roman" w:hAnsi="Times New Roman"/>
          <w:color w:val="FF0000"/>
          <w:sz w:val="24"/>
          <w:szCs w:val="24"/>
        </w:rPr>
        <w:t>》</w:t>
      </w:r>
      <w:r>
        <w:rPr>
          <w:rFonts w:hint="eastAsia" w:ascii="Times New Roman" w:hAnsi="Times New Roman"/>
          <w:color w:val="FF0000"/>
          <w:sz w:val="24"/>
          <w:szCs w:val="24"/>
        </w:rPr>
        <w:t>，并于</w:t>
      </w:r>
      <w:r>
        <w:rPr>
          <w:rFonts w:ascii="Times New Roman" w:hAnsi="Times New Roman"/>
          <w:color w:val="FF0000"/>
          <w:sz w:val="24"/>
          <w:szCs w:val="24"/>
        </w:rPr>
        <w:t>20</w:t>
      </w:r>
      <w:r>
        <w:rPr>
          <w:rFonts w:hint="eastAsia" w:ascii="Times New Roman" w:hAnsi="Times New Roman"/>
          <w:color w:val="FF0000"/>
          <w:sz w:val="24"/>
          <w:szCs w:val="24"/>
        </w:rPr>
        <w:t>19</w:t>
      </w:r>
      <w:r>
        <w:rPr>
          <w:rFonts w:ascii="Times New Roman" w:hAnsi="Times New Roman"/>
          <w:color w:val="FF0000"/>
          <w:sz w:val="24"/>
          <w:szCs w:val="24"/>
        </w:rPr>
        <w:t>年</w:t>
      </w:r>
      <w:r>
        <w:rPr>
          <w:rFonts w:hint="eastAsia" w:ascii="Times New Roman" w:hAnsi="Times New Roman"/>
          <w:color w:val="FF0000"/>
          <w:sz w:val="24"/>
          <w:szCs w:val="24"/>
          <w:lang w:val="en-US" w:eastAsia="zh-CN"/>
        </w:rPr>
        <w:t>12</w:t>
      </w:r>
      <w:r>
        <w:rPr>
          <w:rFonts w:ascii="Times New Roman" w:hAnsi="Times New Roman"/>
          <w:color w:val="FF0000"/>
          <w:sz w:val="24"/>
          <w:szCs w:val="24"/>
        </w:rPr>
        <w:t>月</w:t>
      </w:r>
      <w:r>
        <w:rPr>
          <w:rFonts w:hint="eastAsia" w:ascii="Times New Roman" w:hAnsi="Times New Roman"/>
          <w:color w:val="FF0000"/>
          <w:sz w:val="24"/>
          <w:szCs w:val="24"/>
          <w:lang w:val="en-US" w:eastAsia="zh-CN"/>
        </w:rPr>
        <w:t>26</w:t>
      </w:r>
      <w:r>
        <w:rPr>
          <w:rFonts w:ascii="Times New Roman" w:hAnsi="Times New Roman"/>
          <w:color w:val="FF0000"/>
          <w:sz w:val="24"/>
          <w:szCs w:val="24"/>
        </w:rPr>
        <w:t>日</w:t>
      </w:r>
      <w:r>
        <w:rPr>
          <w:rFonts w:hint="eastAsia" w:ascii="Times New Roman" w:hAnsi="Times New Roman"/>
          <w:color w:val="FF0000"/>
          <w:sz w:val="24"/>
          <w:szCs w:val="24"/>
        </w:rPr>
        <w:t>取得了</w:t>
      </w:r>
      <w:r>
        <w:rPr>
          <w:rFonts w:hint="eastAsia" w:ascii="Times New Roman" w:hAnsi="Times New Roman"/>
          <w:color w:val="FF0000"/>
          <w:sz w:val="24"/>
          <w:szCs w:val="24"/>
          <w:lang w:eastAsia="zh-CN"/>
        </w:rPr>
        <w:t>沧州市生态环境局盐山分局</w:t>
      </w:r>
      <w:r>
        <w:rPr>
          <w:rFonts w:ascii="Times New Roman" w:hAnsi="Times New Roman"/>
          <w:color w:val="FF0000"/>
          <w:sz w:val="24"/>
          <w:szCs w:val="24"/>
        </w:rPr>
        <w:t>关于《</w:t>
      </w:r>
      <w:r>
        <w:rPr>
          <w:rFonts w:hint="eastAsia" w:ascii="Times New Roman" w:hAnsi="Times New Roman"/>
          <w:color w:val="FF0000"/>
          <w:sz w:val="24"/>
          <w:szCs w:val="24"/>
          <w:lang w:eastAsia="zh-CN"/>
        </w:rPr>
        <w:t>河北商合管件制造有限公司标准件生产项目</w:t>
      </w:r>
      <w:r>
        <w:rPr>
          <w:rFonts w:ascii="Times New Roman" w:hAnsi="Times New Roman"/>
          <w:color w:val="FF0000"/>
          <w:sz w:val="24"/>
          <w:szCs w:val="24"/>
        </w:rPr>
        <w:t>》的审批意见</w:t>
      </w:r>
      <w:r>
        <w:rPr>
          <w:rFonts w:hint="eastAsia" w:ascii="Times New Roman" w:hAnsi="Times New Roman"/>
          <w:color w:val="FF0000"/>
          <w:sz w:val="24"/>
          <w:szCs w:val="24"/>
        </w:rPr>
        <w:t>，审批文号为</w:t>
      </w:r>
      <w:r>
        <w:rPr>
          <w:rFonts w:hint="eastAsia" w:ascii="Times New Roman" w:hAnsi="Times New Roman"/>
          <w:color w:val="FF0000"/>
          <w:kern w:val="0"/>
          <w:sz w:val="24"/>
          <w:szCs w:val="24"/>
        </w:rPr>
        <w:t>沧县环评[2019]</w:t>
      </w:r>
      <w:r>
        <w:rPr>
          <w:rFonts w:hint="eastAsia" w:ascii="Times New Roman" w:hAnsi="Times New Roman"/>
          <w:color w:val="FF0000"/>
          <w:kern w:val="0"/>
          <w:sz w:val="24"/>
          <w:szCs w:val="24"/>
          <w:lang w:val="en-US" w:eastAsia="zh-CN"/>
        </w:rPr>
        <w:t>895</w:t>
      </w:r>
      <w:r>
        <w:rPr>
          <w:rFonts w:hint="eastAsia" w:ascii="Times New Roman" w:hAnsi="Times New Roman"/>
          <w:color w:val="FF0000"/>
          <w:kern w:val="0"/>
          <w:sz w:val="24"/>
          <w:szCs w:val="24"/>
        </w:rPr>
        <w:t>号</w:t>
      </w:r>
      <w:r>
        <w:rPr>
          <w:rFonts w:hint="eastAsia" w:ascii="Times New Roman" w:hAnsi="Times New Roman"/>
          <w:color w:val="FF0000"/>
          <w:sz w:val="24"/>
          <w:szCs w:val="24"/>
        </w:rPr>
        <w:t>。</w:t>
      </w:r>
    </w:p>
    <w:p>
      <w:pPr>
        <w:pStyle w:val="6"/>
        <w:spacing w:before="156" w:beforeLines="50" w:line="440" w:lineRule="atLeast"/>
        <w:rPr>
          <w:rFonts w:ascii="Times New Roman" w:hAnsi="Times New Roman"/>
          <w:color w:val="auto"/>
          <w:szCs w:val="22"/>
        </w:rPr>
      </w:pPr>
      <w:bookmarkStart w:id="117" w:name="_Toc27205"/>
      <w:bookmarkStart w:id="118" w:name="_Toc6019"/>
      <w:bookmarkStart w:id="119" w:name="_Toc31951"/>
      <w:bookmarkStart w:id="120" w:name="_Toc29987"/>
      <w:r>
        <w:rPr>
          <w:rFonts w:ascii="Times New Roman" w:hAnsi="Times New Roman"/>
          <w:color w:val="auto"/>
          <w:szCs w:val="22"/>
        </w:rPr>
        <w:t>2.7 项目投资</w:t>
      </w:r>
      <w:bookmarkEnd w:id="117"/>
      <w:bookmarkEnd w:id="118"/>
      <w:bookmarkEnd w:id="119"/>
      <w:bookmarkEnd w:id="120"/>
    </w:p>
    <w:p>
      <w:pPr>
        <w:pStyle w:val="6"/>
        <w:ind w:firstLine="480" w:firstLineChars="200"/>
        <w:rPr>
          <w:rFonts w:ascii="Times New Roman" w:hAnsi="Times New Roman"/>
          <w:b w:val="0"/>
          <w:bCs/>
          <w:color w:val="auto"/>
          <w:sz w:val="24"/>
          <w:szCs w:val="24"/>
        </w:rPr>
      </w:pPr>
      <w:bookmarkStart w:id="121" w:name="_Toc3229"/>
      <w:bookmarkStart w:id="122" w:name="_Toc21008"/>
      <w:bookmarkStart w:id="123" w:name="_Toc15687"/>
      <w:r>
        <w:rPr>
          <w:rFonts w:ascii="Times New Roman" w:hAnsi="Times New Roman"/>
          <w:b w:val="0"/>
          <w:bCs/>
          <w:color w:val="auto"/>
          <w:sz w:val="24"/>
          <w:szCs w:val="24"/>
        </w:rPr>
        <w:t>本项目</w:t>
      </w:r>
      <w:r>
        <w:rPr>
          <w:rFonts w:hint="eastAsia" w:ascii="Times New Roman" w:hAnsi="Times New Roman"/>
          <w:b w:val="0"/>
          <w:bCs/>
          <w:color w:val="auto"/>
          <w:sz w:val="24"/>
          <w:szCs w:val="24"/>
        </w:rPr>
        <w:t>设计</w:t>
      </w:r>
      <w:r>
        <w:rPr>
          <w:rFonts w:ascii="Times New Roman" w:hAnsi="Times New Roman"/>
          <w:b w:val="0"/>
          <w:bCs/>
          <w:color w:val="auto"/>
          <w:sz w:val="24"/>
          <w:szCs w:val="24"/>
        </w:rPr>
        <w:t>总投资为</w:t>
      </w:r>
      <w:r>
        <w:rPr>
          <w:rFonts w:hint="eastAsia" w:ascii="Times New Roman" w:hAnsi="Times New Roman"/>
          <w:b w:val="0"/>
          <w:bCs/>
          <w:color w:val="auto"/>
          <w:sz w:val="24"/>
          <w:szCs w:val="24"/>
          <w:lang w:val="en-US" w:eastAsia="zh-CN"/>
        </w:rPr>
        <w:t>190</w:t>
      </w:r>
      <w:r>
        <w:rPr>
          <w:rFonts w:ascii="Times New Roman" w:hAnsi="Times New Roman"/>
          <w:b w:val="0"/>
          <w:bCs/>
          <w:color w:val="auto"/>
          <w:sz w:val="24"/>
          <w:szCs w:val="24"/>
        </w:rPr>
        <w:t>万元，其中</w:t>
      </w:r>
      <w:r>
        <w:rPr>
          <w:rFonts w:hint="eastAsia" w:ascii="Times New Roman" w:hAnsi="Times New Roman"/>
          <w:b w:val="0"/>
          <w:bCs/>
          <w:color w:val="auto"/>
          <w:sz w:val="24"/>
          <w:szCs w:val="24"/>
        </w:rPr>
        <w:t>设计</w:t>
      </w:r>
      <w:r>
        <w:rPr>
          <w:rFonts w:ascii="Times New Roman" w:hAnsi="Times New Roman"/>
          <w:b w:val="0"/>
          <w:bCs/>
          <w:color w:val="auto"/>
          <w:sz w:val="24"/>
          <w:szCs w:val="24"/>
        </w:rPr>
        <w:t>环境保护总投资</w:t>
      </w:r>
      <w:r>
        <w:rPr>
          <w:rFonts w:hint="eastAsia" w:ascii="Times New Roman" w:hAnsi="Times New Roman"/>
          <w:b w:val="0"/>
          <w:bCs/>
          <w:color w:val="auto"/>
          <w:sz w:val="24"/>
          <w:szCs w:val="24"/>
          <w:lang w:val="en-US" w:eastAsia="zh-CN"/>
        </w:rPr>
        <w:t>10</w:t>
      </w:r>
      <w:r>
        <w:rPr>
          <w:rFonts w:ascii="Times New Roman" w:hAnsi="Times New Roman"/>
          <w:b w:val="0"/>
          <w:bCs/>
          <w:color w:val="auto"/>
          <w:sz w:val="24"/>
          <w:szCs w:val="24"/>
        </w:rPr>
        <w:t>万元，占总投资的</w:t>
      </w:r>
      <w:r>
        <w:rPr>
          <w:rFonts w:hint="eastAsia" w:ascii="Times New Roman" w:hAnsi="Times New Roman"/>
          <w:b w:val="0"/>
          <w:bCs/>
          <w:color w:val="auto"/>
          <w:sz w:val="24"/>
          <w:szCs w:val="24"/>
          <w:lang w:val="en-US" w:eastAsia="zh-CN"/>
        </w:rPr>
        <w:t>5.26</w:t>
      </w:r>
      <w:r>
        <w:rPr>
          <w:rFonts w:ascii="Times New Roman" w:hAnsi="Times New Roman"/>
          <w:b w:val="0"/>
          <w:bCs/>
          <w:color w:val="auto"/>
          <w:sz w:val="24"/>
          <w:szCs w:val="24"/>
        </w:rPr>
        <w:t>%。</w:t>
      </w:r>
      <w:bookmarkStart w:id="124" w:name="_Toc15491"/>
      <w:r>
        <w:rPr>
          <w:rFonts w:hint="eastAsia" w:ascii="Times New Roman" w:hAnsi="Times New Roman"/>
          <w:b w:val="0"/>
          <w:bCs/>
          <w:color w:val="auto"/>
          <w:sz w:val="24"/>
          <w:szCs w:val="24"/>
        </w:rPr>
        <w:t>实际总投资为</w:t>
      </w:r>
      <w:r>
        <w:rPr>
          <w:rFonts w:hint="eastAsia" w:ascii="Times New Roman" w:hAnsi="Times New Roman"/>
          <w:b w:val="0"/>
          <w:bCs/>
          <w:color w:val="auto"/>
          <w:sz w:val="24"/>
          <w:szCs w:val="24"/>
          <w:lang w:val="en-US" w:eastAsia="zh-CN"/>
        </w:rPr>
        <w:t>190</w:t>
      </w:r>
      <w:r>
        <w:rPr>
          <w:rFonts w:hint="eastAsia" w:ascii="Times New Roman" w:hAnsi="Times New Roman"/>
          <w:b w:val="0"/>
          <w:bCs/>
          <w:color w:val="auto"/>
          <w:sz w:val="24"/>
          <w:szCs w:val="24"/>
        </w:rPr>
        <w:t>万元，其中环境保护总投资</w:t>
      </w:r>
      <w:r>
        <w:rPr>
          <w:rFonts w:hint="eastAsia" w:ascii="Times New Roman" w:hAnsi="Times New Roman"/>
          <w:b w:val="0"/>
          <w:bCs/>
          <w:color w:val="auto"/>
          <w:sz w:val="24"/>
          <w:szCs w:val="24"/>
          <w:lang w:val="en-US" w:eastAsia="zh-CN"/>
        </w:rPr>
        <w:t>1</w:t>
      </w:r>
      <w:r>
        <w:rPr>
          <w:rFonts w:hint="eastAsia" w:ascii="Times New Roman" w:hAnsi="Times New Roman"/>
          <w:b w:val="0"/>
          <w:bCs/>
          <w:color w:val="auto"/>
          <w:sz w:val="24"/>
          <w:szCs w:val="24"/>
        </w:rPr>
        <w:t>万元，占总投资的</w:t>
      </w:r>
      <w:r>
        <w:rPr>
          <w:rFonts w:hint="eastAsia" w:ascii="Times New Roman" w:hAnsi="Times New Roman"/>
          <w:b w:val="0"/>
          <w:bCs/>
          <w:color w:val="auto"/>
          <w:sz w:val="24"/>
          <w:szCs w:val="24"/>
          <w:lang w:val="en-US" w:eastAsia="zh-CN"/>
        </w:rPr>
        <w:t>0.53</w:t>
      </w:r>
      <w:r>
        <w:rPr>
          <w:rFonts w:hint="eastAsia" w:ascii="Times New Roman" w:hAnsi="Times New Roman"/>
          <w:b w:val="0"/>
          <w:bCs/>
          <w:color w:val="auto"/>
          <w:sz w:val="24"/>
          <w:szCs w:val="24"/>
        </w:rPr>
        <w:t>%。</w:t>
      </w:r>
      <w:bookmarkEnd w:id="121"/>
      <w:bookmarkEnd w:id="122"/>
      <w:bookmarkEnd w:id="123"/>
    </w:p>
    <w:p>
      <w:pPr>
        <w:pStyle w:val="6"/>
        <w:spacing w:before="156" w:beforeLines="50"/>
        <w:rPr>
          <w:rFonts w:ascii="Times New Roman" w:hAnsi="Times New Roman"/>
          <w:color w:val="auto"/>
        </w:rPr>
      </w:pPr>
      <w:bookmarkStart w:id="125" w:name="_Toc22160"/>
      <w:bookmarkStart w:id="126" w:name="_Toc3625"/>
      <w:bookmarkStart w:id="127" w:name="_Toc2981"/>
      <w:r>
        <w:rPr>
          <w:rFonts w:ascii="Times New Roman" w:hAnsi="Times New Roman"/>
          <w:color w:val="auto"/>
        </w:rPr>
        <w:t>2.8 项目变更情况说明</w:t>
      </w:r>
      <w:bookmarkEnd w:id="124"/>
      <w:bookmarkEnd w:id="125"/>
      <w:bookmarkEnd w:id="126"/>
      <w:bookmarkEnd w:id="127"/>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环评文件中建设内容与环评及批复文件要求基本一致</w:t>
      </w:r>
      <w:r>
        <w:rPr>
          <w:rFonts w:ascii="Times New Roman" w:hAnsi="Times New Roman"/>
          <w:color w:val="auto"/>
          <w:sz w:val="24"/>
          <w:szCs w:val="24"/>
        </w:rPr>
        <w:t>。</w:t>
      </w:r>
    </w:p>
    <w:p>
      <w:pPr>
        <w:rPr>
          <w:rFonts w:ascii="Times New Roman" w:hAnsi="Times New Roman"/>
          <w:color w:val="auto"/>
        </w:rPr>
      </w:pPr>
      <w:bookmarkStart w:id="128" w:name="_Toc18868"/>
      <w:bookmarkStart w:id="129" w:name="_Toc30604"/>
      <w:bookmarkStart w:id="130" w:name="_Toc7013"/>
      <w:bookmarkStart w:id="131" w:name="_Toc3130"/>
      <w:r>
        <w:rPr>
          <w:rFonts w:ascii="Times New Roman" w:hAnsi="Times New Roman"/>
          <w:color w:val="auto"/>
        </w:rPr>
        <w:br w:type="page"/>
      </w:r>
    </w:p>
    <w:p>
      <w:pPr>
        <w:pStyle w:val="6"/>
        <w:spacing w:before="156" w:beforeLines="50"/>
        <w:rPr>
          <w:rFonts w:ascii="Times New Roman" w:hAnsi="Times New Roman"/>
          <w:color w:val="auto"/>
        </w:rPr>
      </w:pPr>
      <w:r>
        <w:rPr>
          <w:rFonts w:ascii="Times New Roman" w:hAnsi="Times New Roman"/>
          <w:color w:val="auto"/>
        </w:rPr>
        <w:t>2.9 环境保护“三同时”落实情况</w:t>
      </w:r>
      <w:bookmarkEnd w:id="128"/>
      <w:bookmarkEnd w:id="129"/>
      <w:bookmarkEnd w:id="130"/>
      <w:bookmarkEnd w:id="131"/>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表2-</w:t>
      </w:r>
      <w:bookmarkStart w:id="132" w:name="_Hlk496992852"/>
      <w:r>
        <w:rPr>
          <w:rFonts w:hint="eastAsia" w:ascii="Times New Roman" w:hAnsi="Times New Roman"/>
          <w:b/>
          <w:color w:val="auto"/>
          <w:sz w:val="24"/>
          <w:szCs w:val="24"/>
        </w:rPr>
        <w:t>5</w:t>
      </w:r>
      <w:r>
        <w:rPr>
          <w:rFonts w:ascii="Times New Roman" w:hAnsi="Times New Roman"/>
          <w:b/>
          <w:color w:val="auto"/>
          <w:sz w:val="24"/>
          <w:szCs w:val="24"/>
        </w:rPr>
        <w:t>环境保护“三同时”落实情况</w:t>
      </w:r>
      <w:bookmarkEnd w:id="132"/>
    </w:p>
    <w:tbl>
      <w:tblPr>
        <w:tblStyle w:val="18"/>
        <w:tblW w:w="8522" w:type="dxa"/>
        <w:jc w:val="center"/>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Layout w:type="fixed"/>
        <w:tblCellMar>
          <w:top w:w="0" w:type="dxa"/>
          <w:left w:w="57" w:type="dxa"/>
          <w:bottom w:w="0" w:type="dxa"/>
          <w:right w:w="57" w:type="dxa"/>
        </w:tblCellMar>
      </w:tblPr>
      <w:tblGrid>
        <w:gridCol w:w="413"/>
        <w:gridCol w:w="710"/>
        <w:gridCol w:w="855"/>
        <w:gridCol w:w="1481"/>
        <w:gridCol w:w="1650"/>
        <w:gridCol w:w="2712"/>
        <w:gridCol w:w="701"/>
      </w:tblGrid>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PrEx>
        <w:trPr>
          <w:trHeight w:val="338" w:hRule="atLeast"/>
          <w:jc w:val="center"/>
        </w:trPr>
        <w:tc>
          <w:tcPr>
            <w:tcW w:w="413" w:type="dxa"/>
            <w:noWrap w:val="0"/>
            <w:vAlign w:val="center"/>
          </w:tcPr>
          <w:p>
            <w:pPr>
              <w:pStyle w:val="4"/>
              <w:adjustRightInd w:val="0"/>
              <w:spacing w:line="240" w:lineRule="auto"/>
              <w:jc w:val="center"/>
              <w:rPr>
                <w:color w:val="auto"/>
                <w:sz w:val="21"/>
                <w:szCs w:val="21"/>
              </w:rPr>
            </w:pPr>
            <w:r>
              <w:rPr>
                <w:color w:val="auto"/>
                <w:sz w:val="21"/>
                <w:szCs w:val="21"/>
              </w:rPr>
              <w:t>项目</w:t>
            </w:r>
          </w:p>
        </w:tc>
        <w:tc>
          <w:tcPr>
            <w:tcW w:w="710" w:type="dxa"/>
            <w:noWrap w:val="0"/>
            <w:vAlign w:val="center"/>
          </w:tcPr>
          <w:p>
            <w:pPr>
              <w:pStyle w:val="4"/>
              <w:adjustRightInd w:val="0"/>
              <w:spacing w:line="240" w:lineRule="auto"/>
              <w:jc w:val="center"/>
              <w:rPr>
                <w:color w:val="auto"/>
                <w:sz w:val="21"/>
                <w:szCs w:val="21"/>
              </w:rPr>
            </w:pPr>
            <w:r>
              <w:rPr>
                <w:color w:val="auto"/>
                <w:sz w:val="21"/>
                <w:szCs w:val="21"/>
              </w:rPr>
              <w:t>污染源</w:t>
            </w:r>
          </w:p>
        </w:tc>
        <w:tc>
          <w:tcPr>
            <w:tcW w:w="855" w:type="dxa"/>
            <w:noWrap w:val="0"/>
            <w:vAlign w:val="center"/>
          </w:tcPr>
          <w:p>
            <w:pPr>
              <w:pStyle w:val="4"/>
              <w:adjustRightInd w:val="0"/>
              <w:spacing w:line="240" w:lineRule="auto"/>
              <w:jc w:val="center"/>
              <w:rPr>
                <w:color w:val="auto"/>
                <w:sz w:val="21"/>
                <w:szCs w:val="21"/>
              </w:rPr>
            </w:pPr>
            <w:r>
              <w:rPr>
                <w:color w:val="auto"/>
                <w:sz w:val="21"/>
                <w:szCs w:val="21"/>
              </w:rPr>
              <w:t>污染物</w:t>
            </w:r>
          </w:p>
        </w:tc>
        <w:tc>
          <w:tcPr>
            <w:tcW w:w="1481" w:type="dxa"/>
            <w:noWrap w:val="0"/>
            <w:vAlign w:val="center"/>
          </w:tcPr>
          <w:p>
            <w:pPr>
              <w:pStyle w:val="4"/>
              <w:adjustRightInd w:val="0"/>
              <w:spacing w:line="240" w:lineRule="auto"/>
              <w:jc w:val="center"/>
              <w:rPr>
                <w:color w:val="auto"/>
                <w:sz w:val="21"/>
                <w:szCs w:val="21"/>
              </w:rPr>
            </w:pPr>
            <w:r>
              <w:rPr>
                <w:color w:val="auto"/>
                <w:sz w:val="21"/>
                <w:szCs w:val="21"/>
              </w:rPr>
              <w:t>环保设施名称</w:t>
            </w:r>
          </w:p>
        </w:tc>
        <w:tc>
          <w:tcPr>
            <w:tcW w:w="1650" w:type="dxa"/>
            <w:noWrap w:val="0"/>
            <w:vAlign w:val="center"/>
          </w:tcPr>
          <w:p>
            <w:pPr>
              <w:pStyle w:val="4"/>
              <w:adjustRightInd w:val="0"/>
              <w:spacing w:line="240" w:lineRule="auto"/>
              <w:jc w:val="center"/>
              <w:rPr>
                <w:color w:val="auto"/>
                <w:sz w:val="21"/>
                <w:szCs w:val="21"/>
              </w:rPr>
            </w:pPr>
            <w:r>
              <w:rPr>
                <w:color w:val="auto"/>
                <w:sz w:val="21"/>
                <w:szCs w:val="21"/>
              </w:rPr>
              <w:t>验收指标</w:t>
            </w:r>
          </w:p>
        </w:tc>
        <w:tc>
          <w:tcPr>
            <w:tcW w:w="2712" w:type="dxa"/>
            <w:noWrap w:val="0"/>
            <w:vAlign w:val="center"/>
          </w:tcPr>
          <w:p>
            <w:pPr>
              <w:pStyle w:val="4"/>
              <w:adjustRightInd w:val="0"/>
              <w:spacing w:line="240" w:lineRule="auto"/>
              <w:jc w:val="center"/>
              <w:rPr>
                <w:color w:val="auto"/>
                <w:sz w:val="21"/>
                <w:szCs w:val="21"/>
              </w:rPr>
            </w:pPr>
            <w:r>
              <w:rPr>
                <w:color w:val="auto"/>
                <w:sz w:val="21"/>
                <w:szCs w:val="21"/>
              </w:rPr>
              <w:t>验收标准</w:t>
            </w:r>
          </w:p>
        </w:tc>
        <w:tc>
          <w:tcPr>
            <w:tcW w:w="701" w:type="dxa"/>
            <w:noWrap w:val="0"/>
            <w:vAlign w:val="center"/>
          </w:tcPr>
          <w:p>
            <w:pPr>
              <w:pStyle w:val="4"/>
              <w:adjustRightInd w:val="0"/>
              <w:spacing w:line="240" w:lineRule="auto"/>
              <w:jc w:val="center"/>
              <w:rPr>
                <w:rFonts w:hint="eastAsia" w:eastAsia="宋体"/>
                <w:color w:val="auto"/>
                <w:sz w:val="21"/>
                <w:szCs w:val="21"/>
                <w:lang w:val="en-US" w:eastAsia="zh-CN"/>
              </w:rPr>
            </w:pPr>
            <w:r>
              <w:rPr>
                <w:rFonts w:hint="eastAsia"/>
                <w:color w:val="auto"/>
                <w:sz w:val="21"/>
                <w:szCs w:val="21"/>
                <w:lang w:val="en-US" w:eastAsia="zh-CN"/>
              </w:rPr>
              <w:t>落实情况</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2085" w:hRule="atLeast"/>
          <w:jc w:val="center"/>
        </w:trPr>
        <w:tc>
          <w:tcPr>
            <w:tcW w:w="413" w:type="dxa"/>
            <w:noWrap w:val="0"/>
            <w:vAlign w:val="center"/>
          </w:tcPr>
          <w:p>
            <w:pPr>
              <w:pStyle w:val="4"/>
              <w:adjustRightInd w:val="0"/>
              <w:spacing w:line="240" w:lineRule="auto"/>
              <w:jc w:val="center"/>
              <w:rPr>
                <w:color w:val="auto"/>
                <w:sz w:val="21"/>
                <w:szCs w:val="21"/>
              </w:rPr>
            </w:pPr>
            <w:r>
              <w:rPr>
                <w:color w:val="auto"/>
                <w:sz w:val="21"/>
                <w:szCs w:val="21"/>
              </w:rPr>
              <w:t>废气</w:t>
            </w:r>
          </w:p>
        </w:tc>
        <w:tc>
          <w:tcPr>
            <w:tcW w:w="710" w:type="dxa"/>
            <w:noWrap w:val="0"/>
            <w:vAlign w:val="center"/>
          </w:tcPr>
          <w:p>
            <w:pPr>
              <w:spacing w:line="240" w:lineRule="auto"/>
              <w:jc w:val="center"/>
              <w:rPr>
                <w:color w:val="auto"/>
                <w:szCs w:val="21"/>
              </w:rPr>
            </w:pPr>
            <w:r>
              <w:rPr>
                <w:rFonts w:hint="eastAsia"/>
                <w:color w:val="auto"/>
                <w:szCs w:val="21"/>
                <w:lang w:val="en-US" w:eastAsia="zh-CN"/>
              </w:rPr>
              <w:t>抛丸</w:t>
            </w:r>
            <w:r>
              <w:rPr>
                <w:color w:val="auto"/>
                <w:szCs w:val="21"/>
              </w:rPr>
              <w:t>工序</w:t>
            </w:r>
          </w:p>
        </w:tc>
        <w:tc>
          <w:tcPr>
            <w:tcW w:w="855" w:type="dxa"/>
            <w:noWrap w:val="0"/>
            <w:vAlign w:val="center"/>
          </w:tcPr>
          <w:p>
            <w:pPr>
              <w:pStyle w:val="4"/>
              <w:adjustRightInd w:val="0"/>
              <w:spacing w:line="240" w:lineRule="auto"/>
              <w:jc w:val="center"/>
              <w:rPr>
                <w:bCs/>
                <w:color w:val="auto"/>
                <w:szCs w:val="21"/>
              </w:rPr>
            </w:pPr>
            <w:r>
              <w:rPr>
                <w:rFonts w:hint="default" w:ascii="Times New Roman" w:hAnsi="Times New Roman" w:eastAsia="宋体" w:cs="Times New Roman"/>
                <w:color w:val="auto"/>
                <w:sz w:val="21"/>
                <w:szCs w:val="21"/>
                <w:lang w:val="en-US" w:eastAsia="zh-CN"/>
              </w:rPr>
              <w:t>颗粒物</w:t>
            </w:r>
          </w:p>
        </w:tc>
        <w:tc>
          <w:tcPr>
            <w:tcW w:w="1481" w:type="dxa"/>
            <w:noWrap w:val="0"/>
            <w:vAlign w:val="center"/>
          </w:tcPr>
          <w:p>
            <w:pPr>
              <w:pStyle w:val="4"/>
              <w:adjustRightInd w:val="0"/>
              <w:spacing w:line="240" w:lineRule="auto"/>
              <w:jc w:val="center"/>
              <w:rPr>
                <w:color w:val="auto"/>
                <w:szCs w:val="21"/>
              </w:rPr>
            </w:pPr>
            <w:r>
              <w:rPr>
                <w:rFonts w:hint="default" w:ascii="Times New Roman" w:hAnsi="Times New Roman" w:cs="Times New Roman"/>
                <w:color w:val="auto"/>
                <w:sz w:val="21"/>
                <w:szCs w:val="21"/>
                <w:lang w:val="en-US" w:eastAsia="zh-CN"/>
              </w:rPr>
              <w:t>自带布袋除尘器+15m排气筒</w:t>
            </w:r>
          </w:p>
        </w:tc>
        <w:tc>
          <w:tcPr>
            <w:tcW w:w="1650" w:type="dxa"/>
            <w:noWrap w:val="0"/>
            <w:vAlign w:val="center"/>
          </w:tcPr>
          <w:p>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颗粒物排放浓度≤120mg/m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w:t>
            </w:r>
          </w:p>
          <w:p>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排放速率≤3.5kg/h</w:t>
            </w:r>
          </w:p>
          <w:p>
            <w:pPr>
              <w:autoSpaceDE w:val="0"/>
              <w:autoSpaceDN w:val="0"/>
              <w:jc w:val="center"/>
              <w:rPr>
                <w:color w:val="auto"/>
                <w:szCs w:val="21"/>
              </w:rPr>
            </w:pPr>
            <w:r>
              <w:rPr>
                <w:rFonts w:hint="default" w:ascii="Times New Roman" w:hAnsi="Times New Roman" w:cs="Times New Roman"/>
                <w:color w:val="auto"/>
                <w:sz w:val="21"/>
                <w:szCs w:val="21"/>
              </w:rPr>
              <w:t>排气筒高度：15m</w:t>
            </w:r>
          </w:p>
        </w:tc>
        <w:tc>
          <w:tcPr>
            <w:tcW w:w="2712" w:type="dxa"/>
            <w:tcBorders/>
            <w:noWrap w:val="0"/>
            <w:vAlign w:val="center"/>
          </w:tcPr>
          <w:p>
            <w:pPr>
              <w:jc w:val="center"/>
              <w:rPr>
                <w:color w:val="auto"/>
                <w:szCs w:val="21"/>
              </w:rPr>
            </w:pPr>
            <w:r>
              <w:rPr>
                <w:rFonts w:hint="default" w:ascii="Times New Roman" w:hAnsi="Times New Roman" w:cs="Times New Roman"/>
                <w:color w:val="auto"/>
                <w:sz w:val="21"/>
                <w:szCs w:val="21"/>
              </w:rPr>
              <w:t>《大气污染物综合排放标准》（GB16297-1996）表2二级标准</w:t>
            </w:r>
          </w:p>
        </w:tc>
        <w:tc>
          <w:tcPr>
            <w:tcW w:w="701" w:type="dxa"/>
            <w:noWrap w:val="0"/>
            <w:vAlign w:val="center"/>
          </w:tcPr>
          <w:p>
            <w:pPr>
              <w:widowControl w:val="0"/>
              <w:spacing w:line="240" w:lineRule="auto"/>
              <w:jc w:val="center"/>
              <w:rPr>
                <w:rFonts w:hint="default" w:eastAsia="宋体"/>
                <w:color w:val="auto"/>
                <w:szCs w:val="21"/>
                <w:lang w:val="en-US" w:eastAsia="zh-CN"/>
              </w:rPr>
            </w:pPr>
            <w:r>
              <w:rPr>
                <w:rFonts w:hint="eastAsia"/>
                <w:color w:val="auto"/>
                <w:szCs w:val="21"/>
                <w:lang w:val="en-US" w:eastAsia="zh-CN"/>
              </w:rPr>
              <w:t>没有建设</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379" w:hRule="atLeast"/>
          <w:jc w:val="center"/>
        </w:trPr>
        <w:tc>
          <w:tcPr>
            <w:tcW w:w="413" w:type="dxa"/>
            <w:noWrap w:val="0"/>
            <w:vAlign w:val="center"/>
          </w:tcPr>
          <w:p>
            <w:pPr>
              <w:pStyle w:val="4"/>
              <w:adjustRightInd w:val="0"/>
              <w:spacing w:line="240" w:lineRule="auto"/>
              <w:jc w:val="center"/>
              <w:rPr>
                <w:color w:val="auto"/>
                <w:sz w:val="21"/>
                <w:szCs w:val="21"/>
              </w:rPr>
            </w:pPr>
            <w:r>
              <w:rPr>
                <w:color w:val="auto"/>
                <w:sz w:val="21"/>
                <w:szCs w:val="21"/>
              </w:rPr>
              <w:t>废水</w:t>
            </w:r>
          </w:p>
        </w:tc>
        <w:tc>
          <w:tcPr>
            <w:tcW w:w="710" w:type="dxa"/>
            <w:noWrap w:val="0"/>
            <w:vAlign w:val="center"/>
          </w:tcPr>
          <w:p>
            <w:pPr>
              <w:pStyle w:val="4"/>
              <w:adjustRightInd w:val="0"/>
              <w:spacing w:line="240" w:lineRule="auto"/>
              <w:jc w:val="center"/>
              <w:rPr>
                <w:color w:val="auto"/>
                <w:sz w:val="21"/>
                <w:szCs w:val="21"/>
              </w:rPr>
            </w:pPr>
            <w:r>
              <w:rPr>
                <w:color w:val="auto"/>
                <w:sz w:val="21"/>
                <w:szCs w:val="21"/>
              </w:rPr>
              <w:t>厂区职工生活污水</w:t>
            </w:r>
          </w:p>
        </w:tc>
        <w:tc>
          <w:tcPr>
            <w:tcW w:w="855" w:type="dxa"/>
            <w:noWrap w:val="0"/>
            <w:vAlign w:val="center"/>
          </w:tcPr>
          <w:p>
            <w:pPr>
              <w:widowControl w:val="0"/>
              <w:spacing w:line="240" w:lineRule="auto"/>
              <w:jc w:val="center"/>
              <w:rPr>
                <w:bCs/>
                <w:color w:val="auto"/>
                <w:szCs w:val="21"/>
              </w:rPr>
            </w:pPr>
            <w:r>
              <w:rPr>
                <w:bCs/>
                <w:color w:val="auto"/>
                <w:szCs w:val="21"/>
              </w:rPr>
              <w:t>COD</w:t>
            </w:r>
          </w:p>
          <w:p>
            <w:pPr>
              <w:widowControl w:val="0"/>
              <w:spacing w:line="240" w:lineRule="auto"/>
              <w:jc w:val="center"/>
              <w:rPr>
                <w:bCs/>
                <w:color w:val="auto"/>
                <w:szCs w:val="21"/>
              </w:rPr>
            </w:pPr>
            <w:r>
              <w:rPr>
                <w:bCs/>
                <w:color w:val="auto"/>
                <w:szCs w:val="21"/>
              </w:rPr>
              <w:t>氨氮</w:t>
            </w:r>
          </w:p>
          <w:p>
            <w:pPr>
              <w:widowControl w:val="0"/>
              <w:spacing w:line="240" w:lineRule="auto"/>
              <w:jc w:val="center"/>
              <w:rPr>
                <w:color w:val="auto"/>
                <w:szCs w:val="21"/>
              </w:rPr>
            </w:pPr>
            <w:r>
              <w:rPr>
                <w:bCs/>
                <w:color w:val="auto"/>
                <w:szCs w:val="21"/>
              </w:rPr>
              <w:t>SS</w:t>
            </w:r>
          </w:p>
        </w:tc>
        <w:tc>
          <w:tcPr>
            <w:tcW w:w="1481" w:type="dxa"/>
            <w:noWrap w:val="0"/>
            <w:vAlign w:val="center"/>
          </w:tcPr>
          <w:p>
            <w:pPr>
              <w:widowControl w:val="0"/>
              <w:spacing w:line="240" w:lineRule="auto"/>
              <w:jc w:val="center"/>
              <w:rPr>
                <w:color w:val="auto"/>
                <w:szCs w:val="21"/>
              </w:rPr>
            </w:pPr>
            <w:r>
              <w:rPr>
                <w:bCs/>
                <w:color w:val="auto"/>
                <w:szCs w:val="21"/>
              </w:rPr>
              <w:t>设防渗旱厕，定期清掏</w:t>
            </w:r>
          </w:p>
        </w:tc>
        <w:tc>
          <w:tcPr>
            <w:tcW w:w="1650" w:type="dxa"/>
            <w:noWrap w:val="0"/>
            <w:vAlign w:val="center"/>
          </w:tcPr>
          <w:p>
            <w:pPr>
              <w:widowControl w:val="0"/>
              <w:spacing w:line="240" w:lineRule="auto"/>
              <w:jc w:val="center"/>
              <w:rPr>
                <w:color w:val="auto"/>
                <w:szCs w:val="21"/>
              </w:rPr>
            </w:pPr>
            <w:r>
              <w:rPr>
                <w:color w:val="auto"/>
                <w:szCs w:val="21"/>
              </w:rPr>
              <w:t>不外排</w:t>
            </w:r>
          </w:p>
        </w:tc>
        <w:tc>
          <w:tcPr>
            <w:tcW w:w="2712" w:type="dxa"/>
            <w:noWrap w:val="0"/>
            <w:vAlign w:val="center"/>
          </w:tcPr>
          <w:p>
            <w:pPr>
              <w:widowControl w:val="0"/>
              <w:snapToGrid w:val="0"/>
              <w:spacing w:line="240" w:lineRule="auto"/>
              <w:ind w:left="-107" w:leftChars="-51" w:right="-61" w:rightChars="-29"/>
              <w:jc w:val="center"/>
              <w:rPr>
                <w:color w:val="auto"/>
                <w:szCs w:val="21"/>
              </w:rPr>
            </w:pPr>
            <w:r>
              <w:rPr>
                <w:color w:val="auto"/>
                <w:spacing w:val="2"/>
                <w:kern w:val="2"/>
                <w:szCs w:val="21"/>
              </w:rPr>
              <w:t>/</w:t>
            </w:r>
          </w:p>
        </w:tc>
        <w:tc>
          <w:tcPr>
            <w:tcW w:w="701" w:type="dxa"/>
            <w:noWrap w:val="0"/>
            <w:vAlign w:val="center"/>
          </w:tcPr>
          <w:p>
            <w:pPr>
              <w:widowControl w:val="0"/>
              <w:snapToGrid w:val="0"/>
              <w:spacing w:line="240" w:lineRule="auto"/>
              <w:ind w:left="-107" w:leftChars="-51" w:right="-61" w:rightChars="-29"/>
              <w:jc w:val="center"/>
              <w:rPr>
                <w:rFonts w:hint="eastAsia" w:eastAsia="宋体"/>
                <w:color w:val="auto"/>
                <w:spacing w:val="2"/>
                <w:kern w:val="2"/>
                <w:szCs w:val="21"/>
                <w:lang w:val="en-US" w:eastAsia="zh-CN"/>
              </w:rPr>
            </w:pPr>
            <w:r>
              <w:rPr>
                <w:rFonts w:hint="eastAsia"/>
                <w:color w:val="auto"/>
                <w:spacing w:val="2"/>
                <w:kern w:val="2"/>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1009" w:hRule="atLeast"/>
          <w:jc w:val="center"/>
        </w:trPr>
        <w:tc>
          <w:tcPr>
            <w:tcW w:w="413" w:type="dxa"/>
            <w:vMerge w:val="restart"/>
            <w:noWrap w:val="0"/>
            <w:vAlign w:val="center"/>
          </w:tcPr>
          <w:p>
            <w:pPr>
              <w:pStyle w:val="4"/>
              <w:adjustRightInd w:val="0"/>
              <w:spacing w:line="240" w:lineRule="auto"/>
              <w:jc w:val="center"/>
              <w:rPr>
                <w:color w:val="auto"/>
                <w:sz w:val="21"/>
                <w:szCs w:val="21"/>
              </w:rPr>
            </w:pPr>
            <w:r>
              <w:rPr>
                <w:color w:val="auto"/>
                <w:sz w:val="21"/>
                <w:szCs w:val="21"/>
              </w:rPr>
              <w:t>噪声</w:t>
            </w:r>
          </w:p>
        </w:tc>
        <w:tc>
          <w:tcPr>
            <w:tcW w:w="1565" w:type="dxa"/>
            <w:gridSpan w:val="2"/>
            <w:vMerge w:val="restart"/>
            <w:noWrap w:val="0"/>
            <w:vAlign w:val="center"/>
          </w:tcPr>
          <w:p>
            <w:pPr>
              <w:pStyle w:val="4"/>
              <w:adjustRightInd w:val="0"/>
              <w:spacing w:line="240" w:lineRule="auto"/>
              <w:jc w:val="center"/>
              <w:rPr>
                <w:color w:val="auto"/>
                <w:sz w:val="21"/>
                <w:szCs w:val="21"/>
              </w:rPr>
            </w:pPr>
            <w:r>
              <w:rPr>
                <w:color w:val="auto"/>
                <w:sz w:val="21"/>
                <w:szCs w:val="21"/>
              </w:rPr>
              <w:t>生产设备运行噪声</w:t>
            </w:r>
          </w:p>
        </w:tc>
        <w:tc>
          <w:tcPr>
            <w:tcW w:w="1481" w:type="dxa"/>
            <w:vMerge w:val="restart"/>
            <w:noWrap w:val="0"/>
            <w:vAlign w:val="center"/>
          </w:tcPr>
          <w:p>
            <w:pPr>
              <w:pStyle w:val="4"/>
              <w:adjustRightInd w:val="0"/>
              <w:spacing w:line="240" w:lineRule="auto"/>
              <w:jc w:val="center"/>
              <w:rPr>
                <w:color w:val="auto"/>
                <w:sz w:val="21"/>
                <w:szCs w:val="21"/>
              </w:rPr>
            </w:pPr>
            <w:r>
              <w:rPr>
                <w:color w:val="auto"/>
                <w:sz w:val="21"/>
                <w:szCs w:val="21"/>
              </w:rPr>
              <w:t>选用低噪声设备，产噪设备加装减振垫、厂房内合理布设</w:t>
            </w:r>
          </w:p>
        </w:tc>
        <w:tc>
          <w:tcPr>
            <w:tcW w:w="1650" w:type="dxa"/>
            <w:noWrap w:val="0"/>
            <w:vAlign w:val="center"/>
          </w:tcPr>
          <w:p>
            <w:pPr>
              <w:snapToGrid w:val="0"/>
              <w:spacing w:line="240" w:lineRule="auto"/>
              <w:jc w:val="center"/>
              <w:rPr>
                <w:color w:val="auto"/>
                <w:szCs w:val="21"/>
              </w:rPr>
            </w:pPr>
            <w:r>
              <w:rPr>
                <w:color w:val="auto"/>
                <w:szCs w:val="21"/>
              </w:rPr>
              <w:t>昼间60dB（A）</w:t>
            </w:r>
          </w:p>
          <w:p>
            <w:pPr>
              <w:spacing w:line="240" w:lineRule="auto"/>
              <w:jc w:val="center"/>
              <w:rPr>
                <w:color w:val="auto"/>
                <w:szCs w:val="21"/>
              </w:rPr>
            </w:pPr>
            <w:r>
              <w:rPr>
                <w:color w:val="auto"/>
                <w:szCs w:val="21"/>
              </w:rPr>
              <w:t>夜间50dB（A）</w:t>
            </w:r>
          </w:p>
        </w:tc>
        <w:tc>
          <w:tcPr>
            <w:tcW w:w="2712" w:type="dxa"/>
            <w:noWrap w:val="0"/>
            <w:vAlign w:val="center"/>
          </w:tcPr>
          <w:p>
            <w:pPr>
              <w:widowControl w:val="0"/>
              <w:spacing w:line="240" w:lineRule="auto"/>
              <w:jc w:val="center"/>
              <w:rPr>
                <w:color w:val="auto"/>
                <w:szCs w:val="21"/>
              </w:rPr>
            </w:pPr>
            <w:r>
              <w:rPr>
                <w:color w:val="auto"/>
                <w:szCs w:val="21"/>
              </w:rPr>
              <w:t>《工业企业厂界环境噪声排放标准》（GB12348-2008）</w:t>
            </w:r>
          </w:p>
          <w:p>
            <w:pPr>
              <w:widowControl w:val="0"/>
              <w:spacing w:line="240" w:lineRule="auto"/>
              <w:jc w:val="center"/>
              <w:rPr>
                <w:color w:val="auto"/>
                <w:szCs w:val="21"/>
              </w:rPr>
            </w:pPr>
            <w:r>
              <w:rPr>
                <w:color w:val="auto"/>
                <w:szCs w:val="21"/>
              </w:rPr>
              <w:t>中2类标准</w:t>
            </w:r>
          </w:p>
        </w:tc>
        <w:tc>
          <w:tcPr>
            <w:tcW w:w="701" w:type="dxa"/>
            <w:noWrap w:val="0"/>
            <w:vAlign w:val="center"/>
          </w:tcPr>
          <w:p>
            <w:pPr>
              <w:widowControl w:val="0"/>
              <w:spacing w:line="240" w:lineRule="auto"/>
              <w:jc w:val="center"/>
              <w:rPr>
                <w:rFonts w:hint="eastAsia" w:eastAsia="宋体"/>
                <w:color w:val="auto"/>
                <w:szCs w:val="21"/>
                <w:lang w:val="en-US" w:eastAsia="zh-CN"/>
              </w:rPr>
            </w:pPr>
            <w:r>
              <w:rPr>
                <w:rFonts w:hint="eastAsia"/>
                <w:color w:val="auto"/>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1009" w:hRule="atLeast"/>
          <w:jc w:val="center"/>
        </w:trPr>
        <w:tc>
          <w:tcPr>
            <w:tcW w:w="413" w:type="dxa"/>
            <w:vMerge w:val="continue"/>
            <w:tcBorders/>
            <w:noWrap w:val="0"/>
            <w:vAlign w:val="center"/>
          </w:tcPr>
          <w:p>
            <w:pPr>
              <w:pStyle w:val="4"/>
              <w:adjustRightInd w:val="0"/>
              <w:spacing w:line="240" w:lineRule="auto"/>
              <w:jc w:val="center"/>
              <w:rPr>
                <w:color w:val="auto"/>
                <w:sz w:val="21"/>
                <w:szCs w:val="21"/>
              </w:rPr>
            </w:pPr>
          </w:p>
        </w:tc>
        <w:tc>
          <w:tcPr>
            <w:tcW w:w="1565" w:type="dxa"/>
            <w:gridSpan w:val="2"/>
            <w:vMerge w:val="continue"/>
            <w:tcBorders/>
            <w:noWrap w:val="0"/>
            <w:vAlign w:val="center"/>
          </w:tcPr>
          <w:p>
            <w:pPr>
              <w:pStyle w:val="4"/>
              <w:adjustRightInd w:val="0"/>
              <w:spacing w:line="240" w:lineRule="auto"/>
              <w:jc w:val="center"/>
              <w:rPr>
                <w:color w:val="auto"/>
                <w:sz w:val="21"/>
                <w:szCs w:val="21"/>
              </w:rPr>
            </w:pPr>
          </w:p>
        </w:tc>
        <w:tc>
          <w:tcPr>
            <w:tcW w:w="1481" w:type="dxa"/>
            <w:vMerge w:val="continue"/>
            <w:tcBorders/>
            <w:noWrap w:val="0"/>
            <w:vAlign w:val="center"/>
          </w:tcPr>
          <w:p>
            <w:pPr>
              <w:pStyle w:val="4"/>
              <w:adjustRightInd w:val="0"/>
              <w:spacing w:line="240" w:lineRule="auto"/>
              <w:jc w:val="center"/>
              <w:rPr>
                <w:color w:val="auto"/>
                <w:sz w:val="21"/>
                <w:szCs w:val="21"/>
              </w:rPr>
            </w:pPr>
          </w:p>
        </w:tc>
        <w:tc>
          <w:tcPr>
            <w:tcW w:w="1650" w:type="dxa"/>
            <w:noWrap w:val="0"/>
            <w:vAlign w:val="center"/>
          </w:tcPr>
          <w:p>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昼间70dB（A）</w:t>
            </w:r>
          </w:p>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夜间55dB（A）</w:t>
            </w:r>
          </w:p>
        </w:tc>
        <w:tc>
          <w:tcPr>
            <w:tcW w:w="2712" w:type="dxa"/>
            <w:noWrap w:val="0"/>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《工业企业厂界环境噪声排放标准》（GB12348-2008）中4类</w:t>
            </w:r>
          </w:p>
        </w:tc>
        <w:tc>
          <w:tcPr>
            <w:tcW w:w="701" w:type="dxa"/>
            <w:noWrap w:val="0"/>
            <w:vAlign w:val="center"/>
          </w:tcPr>
          <w:p>
            <w:pPr>
              <w:widowControl w:val="0"/>
              <w:spacing w:line="240" w:lineRule="auto"/>
              <w:jc w:val="center"/>
              <w:rPr>
                <w:rFonts w:hint="eastAsia"/>
                <w:color w:val="auto"/>
                <w:szCs w:val="21"/>
                <w:lang w:val="en-US" w:eastAsia="zh-CN"/>
              </w:rPr>
            </w:pPr>
            <w:r>
              <w:rPr>
                <w:rFonts w:hint="eastAsia"/>
                <w:color w:val="auto"/>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347" w:hRule="atLeast"/>
          <w:jc w:val="center"/>
        </w:trPr>
        <w:tc>
          <w:tcPr>
            <w:tcW w:w="413" w:type="dxa"/>
            <w:vMerge w:val="restart"/>
            <w:noWrap w:val="0"/>
            <w:vAlign w:val="center"/>
          </w:tcPr>
          <w:p>
            <w:pPr>
              <w:pStyle w:val="4"/>
              <w:adjustRightInd w:val="0"/>
              <w:spacing w:line="240" w:lineRule="auto"/>
              <w:jc w:val="center"/>
              <w:rPr>
                <w:color w:val="auto"/>
                <w:sz w:val="21"/>
                <w:szCs w:val="21"/>
              </w:rPr>
            </w:pPr>
            <w:r>
              <w:rPr>
                <w:color w:val="auto"/>
                <w:sz w:val="21"/>
                <w:szCs w:val="21"/>
              </w:rPr>
              <w:t>固废</w:t>
            </w:r>
          </w:p>
        </w:tc>
        <w:tc>
          <w:tcPr>
            <w:tcW w:w="710" w:type="dxa"/>
            <w:noWrap w:val="0"/>
            <w:vAlign w:val="center"/>
          </w:tcPr>
          <w:p>
            <w:pPr>
              <w:pStyle w:val="4"/>
              <w:adjustRightInd w:val="0"/>
              <w:spacing w:line="240" w:lineRule="auto"/>
              <w:jc w:val="center"/>
              <w:rPr>
                <w:color w:val="auto"/>
                <w:sz w:val="21"/>
                <w:szCs w:val="21"/>
              </w:rPr>
            </w:pPr>
            <w:r>
              <w:rPr>
                <w:color w:val="auto"/>
                <w:sz w:val="21"/>
                <w:szCs w:val="21"/>
              </w:rPr>
              <w:t>生产过程</w:t>
            </w:r>
          </w:p>
        </w:tc>
        <w:tc>
          <w:tcPr>
            <w:tcW w:w="855" w:type="dxa"/>
            <w:noWrap w:val="0"/>
            <w:vAlign w:val="center"/>
          </w:tcPr>
          <w:p>
            <w:pPr>
              <w:pStyle w:val="4"/>
              <w:adjustRightInd w:val="0"/>
              <w:spacing w:line="240" w:lineRule="auto"/>
              <w:jc w:val="center"/>
              <w:rPr>
                <w:color w:val="auto"/>
                <w:sz w:val="21"/>
                <w:szCs w:val="21"/>
              </w:rPr>
            </w:pPr>
            <w:r>
              <w:rPr>
                <w:color w:val="auto"/>
                <w:sz w:val="21"/>
                <w:szCs w:val="21"/>
              </w:rPr>
              <w:t>下脚料</w:t>
            </w:r>
          </w:p>
        </w:tc>
        <w:tc>
          <w:tcPr>
            <w:tcW w:w="1481" w:type="dxa"/>
            <w:noWrap w:val="0"/>
            <w:vAlign w:val="center"/>
          </w:tcPr>
          <w:p>
            <w:pPr>
              <w:pStyle w:val="4"/>
              <w:adjustRightInd w:val="0"/>
              <w:spacing w:line="240" w:lineRule="auto"/>
              <w:jc w:val="center"/>
              <w:rPr>
                <w:color w:val="auto"/>
                <w:sz w:val="21"/>
                <w:szCs w:val="21"/>
              </w:rPr>
            </w:pPr>
            <w:r>
              <w:rPr>
                <w:color w:val="auto"/>
                <w:sz w:val="21"/>
                <w:szCs w:val="21"/>
              </w:rPr>
              <w:t>收集后外售</w:t>
            </w:r>
          </w:p>
        </w:tc>
        <w:tc>
          <w:tcPr>
            <w:tcW w:w="1650" w:type="dxa"/>
            <w:noWrap w:val="0"/>
            <w:vAlign w:val="center"/>
          </w:tcPr>
          <w:p>
            <w:pPr>
              <w:pStyle w:val="4"/>
              <w:adjustRightInd w:val="0"/>
              <w:spacing w:line="240" w:lineRule="auto"/>
              <w:jc w:val="center"/>
              <w:rPr>
                <w:color w:val="auto"/>
                <w:sz w:val="21"/>
                <w:szCs w:val="21"/>
              </w:rPr>
            </w:pPr>
            <w:r>
              <w:rPr>
                <w:color w:val="auto"/>
                <w:sz w:val="21"/>
                <w:szCs w:val="21"/>
              </w:rPr>
              <w:t>/</w:t>
            </w:r>
          </w:p>
        </w:tc>
        <w:tc>
          <w:tcPr>
            <w:tcW w:w="2712" w:type="dxa"/>
            <w:noWrap w:val="0"/>
            <w:vAlign w:val="center"/>
          </w:tcPr>
          <w:p>
            <w:pPr>
              <w:widowControl w:val="0"/>
              <w:spacing w:line="240" w:lineRule="auto"/>
              <w:jc w:val="center"/>
              <w:rPr>
                <w:color w:val="auto"/>
                <w:szCs w:val="21"/>
              </w:rPr>
            </w:pPr>
            <w:r>
              <w:rPr>
                <w:color w:val="auto"/>
                <w:szCs w:val="21"/>
              </w:rPr>
              <w:t>/</w:t>
            </w:r>
          </w:p>
        </w:tc>
        <w:tc>
          <w:tcPr>
            <w:tcW w:w="701" w:type="dxa"/>
            <w:noWrap w:val="0"/>
            <w:vAlign w:val="center"/>
          </w:tcPr>
          <w:p>
            <w:pPr>
              <w:widowControl w:val="0"/>
              <w:spacing w:line="240" w:lineRule="auto"/>
              <w:jc w:val="center"/>
              <w:rPr>
                <w:color w:val="auto"/>
                <w:szCs w:val="21"/>
              </w:rPr>
            </w:pPr>
            <w:r>
              <w:rPr>
                <w:rFonts w:hint="eastAsia"/>
                <w:color w:val="auto"/>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347" w:hRule="atLeast"/>
          <w:jc w:val="center"/>
        </w:trPr>
        <w:tc>
          <w:tcPr>
            <w:tcW w:w="413" w:type="dxa"/>
            <w:vMerge w:val="continue"/>
            <w:noWrap w:val="0"/>
            <w:vAlign w:val="center"/>
          </w:tcPr>
          <w:p>
            <w:pPr>
              <w:pStyle w:val="4"/>
              <w:adjustRightInd w:val="0"/>
              <w:spacing w:line="240" w:lineRule="auto"/>
              <w:jc w:val="center"/>
              <w:rPr>
                <w:color w:val="auto"/>
                <w:sz w:val="21"/>
                <w:szCs w:val="21"/>
              </w:rPr>
            </w:pPr>
          </w:p>
        </w:tc>
        <w:tc>
          <w:tcPr>
            <w:tcW w:w="710" w:type="dxa"/>
            <w:noWrap w:val="0"/>
            <w:vAlign w:val="center"/>
          </w:tcPr>
          <w:p>
            <w:pPr>
              <w:pStyle w:val="4"/>
              <w:adjustRightInd w:val="0"/>
              <w:spacing w:line="240" w:lineRule="auto"/>
              <w:jc w:val="center"/>
              <w:rPr>
                <w:rFonts w:hint="eastAsia" w:eastAsia="宋体"/>
                <w:color w:val="auto"/>
                <w:sz w:val="21"/>
                <w:szCs w:val="21"/>
                <w:lang w:eastAsia="zh-CN"/>
              </w:rPr>
            </w:pPr>
            <w:r>
              <w:rPr>
                <w:rFonts w:hint="eastAsia"/>
                <w:color w:val="auto"/>
                <w:sz w:val="21"/>
                <w:szCs w:val="21"/>
                <w:lang w:val="en-US" w:eastAsia="zh-CN"/>
              </w:rPr>
              <w:t>检验工序</w:t>
            </w:r>
          </w:p>
        </w:tc>
        <w:tc>
          <w:tcPr>
            <w:tcW w:w="855" w:type="dxa"/>
            <w:noWrap w:val="0"/>
            <w:vAlign w:val="center"/>
          </w:tcPr>
          <w:p>
            <w:pPr>
              <w:pStyle w:val="4"/>
              <w:adjustRightInd w:val="0"/>
              <w:spacing w:line="240" w:lineRule="auto"/>
              <w:jc w:val="center"/>
              <w:rPr>
                <w:rFonts w:hint="eastAsia" w:eastAsia="宋体"/>
                <w:color w:val="auto"/>
                <w:sz w:val="21"/>
                <w:szCs w:val="21"/>
                <w:lang w:eastAsia="zh-CN"/>
              </w:rPr>
            </w:pPr>
            <w:r>
              <w:rPr>
                <w:rFonts w:hint="eastAsia"/>
                <w:color w:val="auto"/>
                <w:sz w:val="21"/>
                <w:szCs w:val="21"/>
                <w:lang w:val="en-US" w:eastAsia="zh-CN"/>
              </w:rPr>
              <w:t>不合格品</w:t>
            </w:r>
          </w:p>
        </w:tc>
        <w:tc>
          <w:tcPr>
            <w:tcW w:w="1481" w:type="dxa"/>
            <w:noWrap w:val="0"/>
            <w:vAlign w:val="center"/>
          </w:tcPr>
          <w:p>
            <w:pPr>
              <w:pStyle w:val="4"/>
              <w:adjustRightInd w:val="0"/>
              <w:spacing w:line="240" w:lineRule="auto"/>
              <w:jc w:val="center"/>
              <w:rPr>
                <w:color w:val="auto"/>
                <w:sz w:val="21"/>
                <w:szCs w:val="21"/>
              </w:rPr>
            </w:pPr>
            <w:r>
              <w:rPr>
                <w:color w:val="auto"/>
                <w:sz w:val="21"/>
                <w:szCs w:val="21"/>
              </w:rPr>
              <w:t>收集后外售</w:t>
            </w:r>
          </w:p>
        </w:tc>
        <w:tc>
          <w:tcPr>
            <w:tcW w:w="1650" w:type="dxa"/>
            <w:noWrap w:val="0"/>
            <w:vAlign w:val="center"/>
          </w:tcPr>
          <w:p>
            <w:pPr>
              <w:adjustRightInd w:val="0"/>
              <w:spacing w:line="240" w:lineRule="auto"/>
              <w:jc w:val="center"/>
              <w:rPr>
                <w:color w:val="auto"/>
                <w:szCs w:val="21"/>
              </w:rPr>
            </w:pPr>
            <w:r>
              <w:rPr>
                <w:color w:val="auto"/>
                <w:szCs w:val="21"/>
              </w:rPr>
              <w:t>/</w:t>
            </w:r>
          </w:p>
        </w:tc>
        <w:tc>
          <w:tcPr>
            <w:tcW w:w="2712" w:type="dxa"/>
            <w:noWrap w:val="0"/>
            <w:vAlign w:val="center"/>
          </w:tcPr>
          <w:p>
            <w:pPr>
              <w:widowControl w:val="0"/>
              <w:spacing w:line="240" w:lineRule="auto"/>
              <w:jc w:val="center"/>
              <w:rPr>
                <w:color w:val="auto"/>
                <w:szCs w:val="21"/>
              </w:rPr>
            </w:pPr>
            <w:r>
              <w:rPr>
                <w:color w:val="auto"/>
                <w:szCs w:val="21"/>
              </w:rPr>
              <w:t>/</w:t>
            </w:r>
          </w:p>
        </w:tc>
        <w:tc>
          <w:tcPr>
            <w:tcW w:w="701" w:type="dxa"/>
            <w:noWrap w:val="0"/>
            <w:vAlign w:val="center"/>
          </w:tcPr>
          <w:p>
            <w:pPr>
              <w:widowControl w:val="0"/>
              <w:spacing w:line="240" w:lineRule="auto"/>
              <w:jc w:val="center"/>
              <w:rPr>
                <w:color w:val="auto"/>
                <w:szCs w:val="21"/>
              </w:rPr>
            </w:pPr>
            <w:r>
              <w:rPr>
                <w:rFonts w:hint="eastAsia"/>
                <w:color w:val="auto"/>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347" w:hRule="atLeast"/>
          <w:jc w:val="center"/>
        </w:trPr>
        <w:tc>
          <w:tcPr>
            <w:tcW w:w="413" w:type="dxa"/>
            <w:vMerge w:val="continue"/>
            <w:noWrap w:val="0"/>
            <w:vAlign w:val="center"/>
          </w:tcPr>
          <w:p>
            <w:pPr>
              <w:pStyle w:val="4"/>
              <w:adjustRightInd w:val="0"/>
              <w:spacing w:line="240" w:lineRule="auto"/>
              <w:jc w:val="center"/>
              <w:rPr>
                <w:color w:val="auto"/>
                <w:sz w:val="21"/>
                <w:szCs w:val="21"/>
              </w:rPr>
            </w:pPr>
          </w:p>
        </w:tc>
        <w:tc>
          <w:tcPr>
            <w:tcW w:w="710" w:type="dxa"/>
            <w:noWrap w:val="0"/>
            <w:vAlign w:val="center"/>
          </w:tcPr>
          <w:p>
            <w:pPr>
              <w:pStyle w:val="4"/>
              <w:adjustRightInd w:val="0"/>
              <w:spacing w:line="240" w:lineRule="auto"/>
              <w:jc w:val="center"/>
              <w:rPr>
                <w:color w:val="auto"/>
                <w:sz w:val="21"/>
                <w:szCs w:val="21"/>
              </w:rPr>
            </w:pPr>
            <w:r>
              <w:rPr>
                <w:color w:val="auto"/>
                <w:sz w:val="21"/>
                <w:szCs w:val="21"/>
              </w:rPr>
              <w:t>厂区职工</w:t>
            </w:r>
          </w:p>
        </w:tc>
        <w:tc>
          <w:tcPr>
            <w:tcW w:w="855" w:type="dxa"/>
            <w:noWrap w:val="0"/>
            <w:vAlign w:val="center"/>
          </w:tcPr>
          <w:p>
            <w:pPr>
              <w:pStyle w:val="4"/>
              <w:adjustRightInd w:val="0"/>
              <w:spacing w:line="240" w:lineRule="auto"/>
              <w:jc w:val="center"/>
              <w:rPr>
                <w:color w:val="auto"/>
                <w:spacing w:val="-20"/>
                <w:sz w:val="21"/>
                <w:szCs w:val="21"/>
              </w:rPr>
            </w:pPr>
            <w:r>
              <w:rPr>
                <w:color w:val="auto"/>
                <w:spacing w:val="-20"/>
                <w:sz w:val="21"/>
                <w:szCs w:val="21"/>
              </w:rPr>
              <w:t>生活垃圾</w:t>
            </w:r>
          </w:p>
        </w:tc>
        <w:tc>
          <w:tcPr>
            <w:tcW w:w="1481" w:type="dxa"/>
            <w:noWrap w:val="0"/>
            <w:vAlign w:val="center"/>
          </w:tcPr>
          <w:p>
            <w:pPr>
              <w:pStyle w:val="4"/>
              <w:adjustRightInd w:val="0"/>
              <w:spacing w:line="240" w:lineRule="auto"/>
              <w:jc w:val="center"/>
              <w:rPr>
                <w:color w:val="auto"/>
                <w:sz w:val="21"/>
                <w:szCs w:val="21"/>
              </w:rPr>
            </w:pPr>
            <w:r>
              <w:rPr>
                <w:color w:val="auto"/>
                <w:sz w:val="21"/>
                <w:szCs w:val="21"/>
              </w:rPr>
              <w:t>收集后由环卫人员运至垃圾处理厂处理</w:t>
            </w:r>
          </w:p>
        </w:tc>
        <w:tc>
          <w:tcPr>
            <w:tcW w:w="1650" w:type="dxa"/>
            <w:noWrap w:val="0"/>
            <w:vAlign w:val="center"/>
          </w:tcPr>
          <w:p>
            <w:pPr>
              <w:pStyle w:val="4"/>
              <w:adjustRightInd w:val="0"/>
              <w:spacing w:line="240" w:lineRule="auto"/>
              <w:jc w:val="center"/>
              <w:rPr>
                <w:color w:val="auto"/>
                <w:sz w:val="21"/>
                <w:szCs w:val="21"/>
              </w:rPr>
            </w:pPr>
            <w:r>
              <w:rPr>
                <w:color w:val="auto"/>
                <w:sz w:val="21"/>
                <w:szCs w:val="21"/>
              </w:rPr>
              <w:t>/</w:t>
            </w:r>
          </w:p>
        </w:tc>
        <w:tc>
          <w:tcPr>
            <w:tcW w:w="2712" w:type="dxa"/>
            <w:noWrap w:val="0"/>
            <w:vAlign w:val="center"/>
          </w:tcPr>
          <w:p>
            <w:pPr>
              <w:pStyle w:val="4"/>
              <w:adjustRightInd w:val="0"/>
              <w:spacing w:line="240" w:lineRule="auto"/>
              <w:jc w:val="center"/>
              <w:rPr>
                <w:color w:val="auto"/>
                <w:sz w:val="21"/>
                <w:szCs w:val="21"/>
              </w:rPr>
            </w:pPr>
            <w:r>
              <w:rPr>
                <w:color w:val="auto"/>
                <w:sz w:val="21"/>
                <w:szCs w:val="21"/>
              </w:rPr>
              <w:t>/</w:t>
            </w:r>
          </w:p>
        </w:tc>
        <w:tc>
          <w:tcPr>
            <w:tcW w:w="701" w:type="dxa"/>
            <w:noWrap w:val="0"/>
            <w:vAlign w:val="center"/>
          </w:tcPr>
          <w:p>
            <w:pPr>
              <w:widowControl w:val="0"/>
              <w:spacing w:line="240" w:lineRule="auto"/>
              <w:jc w:val="center"/>
              <w:rPr>
                <w:color w:val="auto"/>
                <w:sz w:val="21"/>
                <w:szCs w:val="21"/>
              </w:rPr>
            </w:pPr>
            <w:r>
              <w:rPr>
                <w:rFonts w:hint="eastAsia"/>
                <w:color w:val="auto"/>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000000" w:sz="4" w:space="0"/>
            <w:insideV w:val="single" w:color="000000" w:sz="4" w:space="0"/>
          </w:tblBorders>
          <w:tblCellMar>
            <w:top w:w="0" w:type="dxa"/>
            <w:left w:w="57" w:type="dxa"/>
            <w:bottom w:w="0" w:type="dxa"/>
            <w:right w:w="57" w:type="dxa"/>
          </w:tblCellMar>
        </w:tblPrEx>
        <w:trPr>
          <w:trHeight w:val="347" w:hRule="atLeast"/>
          <w:jc w:val="center"/>
        </w:trPr>
        <w:tc>
          <w:tcPr>
            <w:tcW w:w="413" w:type="dxa"/>
            <w:noWrap w:val="0"/>
            <w:vAlign w:val="center"/>
          </w:tcPr>
          <w:p>
            <w:pPr>
              <w:spacing w:line="240" w:lineRule="auto"/>
              <w:jc w:val="center"/>
              <w:rPr>
                <w:color w:val="auto"/>
                <w:szCs w:val="21"/>
              </w:rPr>
            </w:pPr>
            <w:r>
              <w:rPr>
                <w:color w:val="auto"/>
                <w:szCs w:val="21"/>
              </w:rPr>
              <w:t>分表计电</w:t>
            </w:r>
          </w:p>
        </w:tc>
        <w:tc>
          <w:tcPr>
            <w:tcW w:w="7408" w:type="dxa"/>
            <w:gridSpan w:val="5"/>
            <w:noWrap w:val="0"/>
            <w:vAlign w:val="center"/>
          </w:tcPr>
          <w:p>
            <w:pPr>
              <w:spacing w:line="240" w:lineRule="auto"/>
              <w:jc w:val="center"/>
              <w:rPr>
                <w:color w:val="auto"/>
                <w:spacing w:val="5"/>
                <w:szCs w:val="21"/>
              </w:rPr>
            </w:pPr>
            <w:r>
              <w:rPr>
                <w:color w:val="auto"/>
                <w:spacing w:val="5"/>
                <w:szCs w:val="21"/>
              </w:rPr>
              <w:t>为避免治污设备不按规定开启、治污设备低效运行、企业擅自偷换监控设备等情况，项目变更后，将电路进行改造，即环保设备、生产设备单独引用一条电路，并安装智能电表，建议分表计电方式，确保环保设备能够正常运行。</w:t>
            </w:r>
          </w:p>
        </w:tc>
        <w:tc>
          <w:tcPr>
            <w:tcW w:w="701" w:type="dxa"/>
            <w:noWrap w:val="0"/>
            <w:vAlign w:val="center"/>
          </w:tcPr>
          <w:p>
            <w:pPr>
              <w:widowControl w:val="0"/>
              <w:snapToGrid w:val="0"/>
              <w:spacing w:line="240" w:lineRule="auto"/>
              <w:ind w:left="-107" w:leftChars="-51" w:right="-61" w:rightChars="-29"/>
              <w:jc w:val="center"/>
              <w:rPr>
                <w:color w:val="auto"/>
                <w:spacing w:val="5"/>
                <w:szCs w:val="21"/>
              </w:rPr>
            </w:pPr>
            <w:r>
              <w:rPr>
                <w:rFonts w:hint="eastAsia"/>
                <w:color w:val="auto"/>
                <w:spacing w:val="2"/>
                <w:kern w:val="2"/>
                <w:szCs w:val="21"/>
                <w:lang w:val="en-US" w:eastAsia="zh-CN"/>
              </w:rPr>
              <w:t>落实</w:t>
            </w:r>
          </w:p>
        </w:tc>
      </w:tr>
    </w:tbl>
    <w:p>
      <w:pPr>
        <w:widowControl/>
        <w:spacing w:before="156" w:beforeLines="50"/>
        <w:ind w:firstLine="140" w:firstLineChars="58"/>
        <w:jc w:val="center"/>
        <w:rPr>
          <w:rFonts w:ascii="Times New Roman" w:hAnsi="Times New Roman"/>
          <w:b/>
          <w:color w:val="FF0000"/>
          <w:sz w:val="24"/>
          <w:szCs w:val="24"/>
        </w:rPr>
      </w:pPr>
    </w:p>
    <w:p>
      <w:pPr>
        <w:rPr>
          <w:rFonts w:ascii="Times New Roman" w:hAnsi="Times New Roman" w:eastAsia="宋体" w:cs="Times New Roman"/>
          <w:b/>
          <w:color w:val="auto"/>
          <w:kern w:val="2"/>
          <w:sz w:val="28"/>
          <w:szCs w:val="30"/>
          <w:lang w:val="en-US" w:eastAsia="zh-CN" w:bidi="ar-SA"/>
        </w:rPr>
      </w:pPr>
      <w:bookmarkStart w:id="133" w:name="_Toc1554"/>
      <w:bookmarkStart w:id="134" w:name="_Toc5108"/>
      <w:bookmarkStart w:id="135" w:name="_Toc24447"/>
      <w:bookmarkStart w:id="136" w:name="_Toc1887"/>
      <w:r>
        <w:rPr>
          <w:rFonts w:ascii="Times New Roman" w:hAnsi="Times New Roman"/>
          <w:color w:val="FF0000"/>
        </w:rPr>
        <w:br w:type="page"/>
      </w:r>
      <w:r>
        <w:rPr>
          <w:rFonts w:ascii="Times New Roman" w:hAnsi="Times New Roman" w:eastAsia="宋体" w:cs="Times New Roman"/>
          <w:b/>
          <w:color w:val="auto"/>
          <w:kern w:val="2"/>
          <w:sz w:val="28"/>
          <w:szCs w:val="30"/>
          <w:lang w:val="en-US" w:eastAsia="zh-CN" w:bidi="ar-SA"/>
        </w:rPr>
        <w:t>2</w:t>
      </w:r>
      <w:r>
        <w:rPr>
          <w:rFonts w:ascii="Times New Roman" w:hAnsi="Times New Roman" w:eastAsia="宋体" w:cs="Times New Roman"/>
          <w:b/>
          <w:color w:val="auto"/>
          <w:kern w:val="2"/>
          <w:sz w:val="28"/>
          <w:szCs w:val="30"/>
          <w:lang w:val="en-US" w:eastAsia="zh-CN" w:bidi="ar-SA"/>
        </w:rPr>
        <w:t>.10 验收范围及内容</w:t>
      </w:r>
      <w:bookmarkEnd w:id="133"/>
      <w:bookmarkEnd w:id="134"/>
      <w:bookmarkEnd w:id="135"/>
      <w:bookmarkEnd w:id="136"/>
    </w:p>
    <w:p>
      <w:pPr>
        <w:adjustRightInd w:val="0"/>
        <w:snapToGrid w:val="0"/>
        <w:spacing w:line="480" w:lineRule="atLeast"/>
        <w:ind w:firstLine="480" w:firstLineChars="200"/>
        <w:rPr>
          <w:rFonts w:ascii="Times New Roman" w:hAnsi="Times New Roman"/>
          <w:color w:val="auto"/>
        </w:rPr>
      </w:pPr>
      <w:r>
        <w:rPr>
          <w:rFonts w:ascii="Times New Roman" w:hAnsi="Times New Roman"/>
          <w:color w:val="auto"/>
          <w:sz w:val="24"/>
          <w:szCs w:val="24"/>
        </w:rPr>
        <w:t>项目位于</w:t>
      </w:r>
      <w:r>
        <w:rPr>
          <w:rFonts w:hint="eastAsia" w:ascii="Times New Roman" w:hAnsi="Times New Roman"/>
          <w:color w:val="auto"/>
          <w:kern w:val="0"/>
          <w:sz w:val="24"/>
          <w:szCs w:val="24"/>
          <w:lang w:eastAsia="zh-CN"/>
        </w:rPr>
        <w:t>盐山盐山镇范庄村</w:t>
      </w:r>
      <w:r>
        <w:rPr>
          <w:rFonts w:hint="eastAsia" w:ascii="Times New Roman" w:hAnsi="Times New Roman"/>
          <w:color w:val="auto"/>
          <w:kern w:val="0"/>
          <w:sz w:val="24"/>
          <w:szCs w:val="24"/>
        </w:rPr>
        <w:t>，</w:t>
      </w:r>
      <w:r>
        <w:rPr>
          <w:rFonts w:hint="eastAsia" w:ascii="Times New Roman" w:hAnsi="Times New Roman"/>
          <w:color w:val="auto"/>
          <w:sz w:val="24"/>
          <w:szCs w:val="24"/>
        </w:rPr>
        <w:t>总投资</w:t>
      </w:r>
      <w:r>
        <w:rPr>
          <w:rFonts w:hint="eastAsia" w:ascii="Times New Roman" w:hAnsi="Times New Roman"/>
          <w:color w:val="auto"/>
          <w:sz w:val="24"/>
          <w:szCs w:val="24"/>
          <w:lang w:val="en-US" w:eastAsia="zh-CN"/>
        </w:rPr>
        <w:t>190</w:t>
      </w:r>
      <w:r>
        <w:rPr>
          <w:rFonts w:hint="eastAsia" w:ascii="Times New Roman" w:hAnsi="Times New Roman"/>
          <w:color w:val="auto"/>
          <w:sz w:val="24"/>
          <w:szCs w:val="24"/>
        </w:rPr>
        <w:t>万元，本项目占地面积</w:t>
      </w:r>
      <w:r>
        <w:rPr>
          <w:rFonts w:hint="eastAsia" w:ascii="Times New Roman" w:hAnsi="Times New Roman"/>
          <w:color w:val="auto"/>
          <w:sz w:val="24"/>
          <w:szCs w:val="24"/>
          <w:lang w:val="en-US" w:eastAsia="zh-CN"/>
        </w:rPr>
        <w:t>933.3</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，主要建设车间、仓库及附属设施等。项目新建完成后，</w:t>
      </w:r>
      <w:r>
        <w:rPr>
          <w:rFonts w:hint="eastAsia" w:ascii="Times New Roman" w:hAnsi="Times New Roman"/>
          <w:color w:val="auto"/>
          <w:sz w:val="24"/>
          <w:szCs w:val="24"/>
          <w:lang w:eastAsia="zh-CN"/>
        </w:rPr>
        <w:t>年产标准件600件</w:t>
      </w:r>
      <w:r>
        <w:rPr>
          <w:rFonts w:hint="eastAsia" w:ascii="Times New Roman" w:hAnsi="Times New Roman"/>
          <w:color w:val="auto"/>
          <w:sz w:val="24"/>
          <w:szCs w:val="24"/>
        </w:rPr>
        <w:t>。建设单位按照环评要求落实各项污染防治措施。</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环保设施已经建设完成工程有：</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①废气—</w:t>
      </w:r>
      <w:r>
        <w:rPr>
          <w:rFonts w:hint="eastAsia" w:ascii="Times New Roman" w:hAnsi="Times New Roman"/>
          <w:color w:val="auto"/>
          <w:sz w:val="24"/>
          <w:szCs w:val="24"/>
          <w:lang w:val="en-US" w:eastAsia="zh-CN"/>
        </w:rPr>
        <w:t>项目没有上抛丸机，所以无废气行产生</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②废水—</w:t>
      </w:r>
      <w:r>
        <w:rPr>
          <w:rFonts w:hint="eastAsia" w:ascii="Times New Roman" w:hAnsi="Times New Roman"/>
          <w:color w:val="auto"/>
          <w:sz w:val="24"/>
          <w:szCs w:val="24"/>
        </w:rPr>
        <w:t>项目无生产废水产生；废水主要为职工生活污水，生活废水主要为盥洗水，厂区泼洒抑尘</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③噪声—</w:t>
      </w:r>
      <w:r>
        <w:rPr>
          <w:rFonts w:hint="eastAsia" w:ascii="Times New Roman" w:hAnsi="Times New Roman"/>
          <w:color w:val="auto"/>
          <w:sz w:val="24"/>
          <w:szCs w:val="24"/>
        </w:rPr>
        <w:t>设备运行过程产生的设备噪声</w:t>
      </w:r>
      <w:r>
        <w:rPr>
          <w:rFonts w:ascii="Times New Roman" w:hAnsi="Times New Roman"/>
          <w:color w:val="auto"/>
          <w:sz w:val="24"/>
          <w:szCs w:val="24"/>
        </w:rPr>
        <w:t>，为具体检测内容。</w:t>
      </w:r>
    </w:p>
    <w:p>
      <w:pPr>
        <w:pStyle w:val="10"/>
        <w:spacing w:line="360" w:lineRule="auto"/>
        <w:ind w:firstLine="480" w:firstLineChars="200"/>
        <w:jc w:val="left"/>
        <w:rPr>
          <w:rFonts w:ascii="Times New Roman" w:hAnsi="Times New Roman"/>
          <w:color w:val="auto"/>
          <w:sz w:val="24"/>
          <w:szCs w:val="24"/>
        </w:rPr>
      </w:pPr>
      <w:r>
        <w:rPr>
          <w:rFonts w:ascii="Times New Roman" w:hAnsi="Times New Roman"/>
          <w:color w:val="auto"/>
          <w:sz w:val="24"/>
          <w:szCs w:val="24"/>
        </w:rPr>
        <w:t>④固体废物—</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生产过程中产生的下脚料收集后外售；</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lang w:val="en-US" w:eastAsia="zh-CN"/>
        </w:rPr>
        <w:t>检验不合格产品</w:t>
      </w:r>
      <w:r>
        <w:rPr>
          <w:rFonts w:hint="eastAsia" w:ascii="Times New Roman" w:hAnsi="Times New Roman"/>
          <w:color w:val="auto"/>
          <w:sz w:val="24"/>
          <w:szCs w:val="24"/>
        </w:rPr>
        <w:t>收集后外售；</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生活垃圾由环卫人员运至垃圾处理厂处理。</w:t>
      </w:r>
    </w:p>
    <w:p>
      <w:pPr>
        <w:spacing w:line="440" w:lineRule="atLeast"/>
        <w:ind w:firstLine="480" w:firstLineChars="200"/>
        <w:rPr>
          <w:rFonts w:ascii="Times New Roman" w:hAnsi="Times New Roman"/>
          <w:color w:val="FF0000"/>
          <w:sz w:val="24"/>
          <w:szCs w:val="24"/>
        </w:rPr>
      </w:pPr>
      <w:r>
        <w:rPr>
          <w:rFonts w:hint="eastAsia" w:ascii="宋体" w:hAnsi="宋体" w:cs="宋体"/>
          <w:color w:val="auto"/>
          <w:sz w:val="24"/>
          <w:szCs w:val="24"/>
        </w:rPr>
        <w:t>⑤</w:t>
      </w:r>
      <w:r>
        <w:rPr>
          <w:rFonts w:ascii="Times New Roman" w:hAnsi="Times New Roman"/>
          <w:color w:val="auto"/>
          <w:sz w:val="24"/>
          <w:szCs w:val="24"/>
        </w:rPr>
        <w:t>工程环评及环评审批意见落实情况、环保设施的建设运行情况、环保机构及规章制度建设情况等，为本工程验收报告的检查内容。</w:t>
      </w:r>
    </w:p>
    <w:p>
      <w:pPr>
        <w:pStyle w:val="5"/>
        <w:rPr>
          <w:rFonts w:ascii="Times New Roman" w:hAnsi="Times New Roman"/>
          <w:color w:val="FF0000"/>
        </w:rPr>
      </w:pPr>
      <w:bookmarkStart w:id="137" w:name="_Toc21809"/>
      <w:r>
        <w:rPr>
          <w:rFonts w:ascii="Times New Roman" w:hAnsi="Times New Roman"/>
          <w:color w:val="FF0000"/>
        </w:rPr>
        <w:br w:type="page"/>
      </w:r>
    </w:p>
    <w:p>
      <w:pPr>
        <w:pStyle w:val="5"/>
        <w:rPr>
          <w:rFonts w:ascii="Times New Roman" w:hAnsi="Times New Roman"/>
          <w:color w:val="auto"/>
        </w:rPr>
      </w:pPr>
      <w:bookmarkStart w:id="138" w:name="_Toc8056"/>
      <w:bookmarkStart w:id="139" w:name="_Toc12475"/>
      <w:bookmarkStart w:id="140" w:name="_Toc2185"/>
      <w:r>
        <w:rPr>
          <w:rFonts w:ascii="Times New Roman" w:hAnsi="Times New Roman"/>
          <w:color w:val="auto"/>
        </w:rPr>
        <w:t>3 主要污染源及治理措施</w:t>
      </w:r>
      <w:bookmarkEnd w:id="137"/>
      <w:bookmarkEnd w:id="138"/>
      <w:bookmarkEnd w:id="139"/>
      <w:bookmarkEnd w:id="140"/>
    </w:p>
    <w:p>
      <w:pPr>
        <w:pStyle w:val="6"/>
        <w:rPr>
          <w:rFonts w:ascii="Times New Roman" w:hAnsi="Times New Roman"/>
          <w:color w:val="auto"/>
        </w:rPr>
      </w:pPr>
      <w:bookmarkStart w:id="141" w:name="_Toc381"/>
      <w:bookmarkStart w:id="142" w:name="_Toc10538"/>
      <w:bookmarkStart w:id="143" w:name="_Toc31233"/>
      <w:bookmarkStart w:id="144" w:name="_Toc12186"/>
      <w:r>
        <w:rPr>
          <w:rFonts w:ascii="Times New Roman" w:hAnsi="Times New Roman"/>
          <w:color w:val="auto"/>
        </w:rPr>
        <w:t>3.1 施工期主要污染源及治理措施</w:t>
      </w:r>
      <w:bookmarkEnd w:id="141"/>
      <w:bookmarkEnd w:id="142"/>
      <w:bookmarkEnd w:id="143"/>
      <w:bookmarkEnd w:id="144"/>
    </w:p>
    <w:p>
      <w:pPr>
        <w:adjustRightInd w:val="0"/>
        <w:snapToGrid w:val="0"/>
        <w:spacing w:line="360" w:lineRule="auto"/>
        <w:ind w:firstLine="480" w:firstLineChars="200"/>
        <w:jc w:val="left"/>
        <w:rPr>
          <w:color w:val="auto"/>
          <w:sz w:val="24"/>
          <w:szCs w:val="24"/>
        </w:rPr>
      </w:pPr>
      <w:r>
        <w:rPr>
          <w:rFonts w:hint="eastAsia"/>
          <w:color w:val="auto"/>
          <w:sz w:val="24"/>
          <w:szCs w:val="24"/>
          <w:lang w:eastAsia="zh-CN"/>
        </w:rPr>
        <w:t>河北商合管件制造有限公司标准件生产项目</w:t>
      </w:r>
      <w:r>
        <w:rPr>
          <w:color w:val="auto"/>
          <w:sz w:val="24"/>
          <w:szCs w:val="24"/>
        </w:rPr>
        <w:t>施工过程中对区域大气环境的影响主要是地面扬尘污染，污染因子为TSP，污染源主要来自以下几个方面：土地平整等施工过程产生的施工垃圾随意堆放，如遇大风天气，会造成扬尘污染；物料运输车辆在施工便道运行过程中将产生尘土；原料堆存、装卸过程产生尘土。工程施工期间扬尘会对周围居民产生影响，本评价要求建设及施工单位严格执行《关于印发河北省&lt;施工场地扬尘排放标准&gt;的通知》(DB 13/ 2934—2019)、《防治城市扬尘污染技术规范》(HJ/T 393-2007)、《河北省大气污染防治实施行动计划》 (冀发[2013]23号)、《河北省大气污染防治条例》(2016年1月13日)、《关于印发&lt;关于进一步加强建筑工程施工扬尘治理的若干规定&gt;的通知》(冀建法[2013]28号)、《沧州市重污染天气应急预案》及同类施工场地采取的抑尘措施，建设单位施工过程中采取以下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（1）加强管理，文明施工，轻装轻卸，并避免大风天气作业</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（2）施工现场出入口、主要道路、加工区等采取硬化处理措施；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（3）施工场地内堆放水泥、砂石等易产生扬尘污染的物料，以及工地堆存的建筑垃圾、工程渣土等应采取遮盖、密闭或其它抑尘措施；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（4）装卸和运输渣土、砂石、建筑垃圾等物料的，应当采取完全密闭措施；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（5）施工场地扬尘排放应符合下表规定的浓度限值</w:t>
      </w:r>
    </w:p>
    <w:p>
      <w:pPr>
        <w:spacing w:line="360" w:lineRule="auto"/>
        <w:ind w:firstLine="422" w:firstLineChars="200"/>
        <w:jc w:val="center"/>
        <w:rPr>
          <w:b/>
          <w:color w:val="auto"/>
          <w:szCs w:val="21"/>
        </w:rPr>
      </w:pPr>
      <w:r>
        <w:rPr>
          <w:b/>
          <w:color w:val="auto"/>
          <w:szCs w:val="21"/>
        </w:rPr>
        <w:t>表6 扬尘排放浓度限值</w:t>
      </w:r>
    </w:p>
    <w:tbl>
      <w:tblPr>
        <w:tblStyle w:val="18"/>
        <w:tblW w:w="844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82"/>
        <w:gridCol w:w="2780"/>
        <w:gridCol w:w="278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82" w:type="dxa"/>
          </w:tcPr>
          <w:p>
            <w:pPr>
              <w:pStyle w:val="10"/>
              <w:spacing w:line="0" w:lineRule="atLeast"/>
              <w:jc w:val="center"/>
              <w:rPr>
                <w:rFonts w:ascii="Times New Roman" w:hAnsi="Times New Roman"/>
                <w:color w:val="auto"/>
                <w:szCs w:val="21"/>
              </w:rPr>
            </w:pPr>
            <w:r>
              <w:rPr>
                <w:rFonts w:ascii="Times New Roman" w:hAnsi="Times New Roman"/>
                <w:color w:val="auto"/>
                <w:szCs w:val="21"/>
              </w:rPr>
              <w:t>控制项目</w:t>
            </w:r>
          </w:p>
        </w:tc>
        <w:tc>
          <w:tcPr>
            <w:tcW w:w="2780" w:type="dxa"/>
          </w:tcPr>
          <w:p>
            <w:pPr>
              <w:pStyle w:val="10"/>
              <w:spacing w:line="0" w:lineRule="atLeast"/>
              <w:rPr>
                <w:rFonts w:ascii="Times New Roman" w:hAnsi="Times New Roman"/>
                <w:color w:val="auto"/>
                <w:szCs w:val="21"/>
              </w:rPr>
            </w:pPr>
            <w:r>
              <w:rPr>
                <w:rFonts w:ascii="Times New Roman" w:hAnsi="Times New Roman"/>
                <w:color w:val="auto"/>
                <w:szCs w:val="21"/>
              </w:rPr>
              <w:t xml:space="preserve"> 监测点浓度限值（µg/m</w:t>
            </w:r>
            <w:r>
              <w:rPr>
                <w:rFonts w:ascii="Times New Roman" w:hAnsi="Times New Roman"/>
                <w:color w:val="auto"/>
                <w:szCs w:val="21"/>
                <w:vertAlign w:val="superscript"/>
              </w:rPr>
              <w:t>3</w:t>
            </w:r>
            <w:r>
              <w:rPr>
                <w:rFonts w:ascii="Times New Roman" w:hAnsi="Times New Roman"/>
                <w:color w:val="auto"/>
                <w:szCs w:val="21"/>
              </w:rPr>
              <w:t>）</w:t>
            </w:r>
          </w:p>
        </w:tc>
        <w:tc>
          <w:tcPr>
            <w:tcW w:w="2780" w:type="dxa"/>
          </w:tcPr>
          <w:p>
            <w:pPr>
              <w:pStyle w:val="10"/>
              <w:spacing w:line="0" w:lineRule="atLeast"/>
              <w:jc w:val="center"/>
              <w:rPr>
                <w:rFonts w:ascii="Times New Roman" w:hAnsi="Times New Roman"/>
                <w:color w:val="auto"/>
                <w:szCs w:val="21"/>
              </w:rPr>
            </w:pPr>
            <w:r>
              <w:rPr>
                <w:rFonts w:ascii="Times New Roman" w:hAnsi="Times New Roman"/>
                <w:color w:val="auto"/>
                <w:szCs w:val="21"/>
              </w:rPr>
              <w:t>达标判定依据（次/天）</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882" w:type="dxa"/>
          </w:tcPr>
          <w:p>
            <w:pPr>
              <w:pStyle w:val="10"/>
              <w:jc w:val="center"/>
              <w:rPr>
                <w:rFonts w:ascii="Times New Roman" w:hAnsi="Times New Roman"/>
                <w:color w:val="auto"/>
                <w:szCs w:val="21"/>
              </w:rPr>
            </w:pPr>
            <w:r>
              <w:rPr>
                <w:rFonts w:ascii="Times New Roman" w:hAnsi="Times New Roman"/>
                <w:color w:val="auto"/>
                <w:szCs w:val="21"/>
              </w:rPr>
              <w:t>PM</w:t>
            </w:r>
            <w:r>
              <w:rPr>
                <w:rFonts w:ascii="Times New Roman" w:hAnsi="Times New Roman"/>
                <w:color w:val="auto"/>
                <w:szCs w:val="21"/>
                <w:vertAlign w:val="subscript"/>
              </w:rPr>
              <w:t>10</w:t>
            </w:r>
          </w:p>
        </w:tc>
        <w:tc>
          <w:tcPr>
            <w:tcW w:w="2780" w:type="dxa"/>
          </w:tcPr>
          <w:p>
            <w:pPr>
              <w:pStyle w:val="10"/>
              <w:jc w:val="center"/>
              <w:rPr>
                <w:rFonts w:ascii="Times New Roman" w:hAnsi="Times New Roman"/>
                <w:color w:val="auto"/>
                <w:szCs w:val="21"/>
              </w:rPr>
            </w:pPr>
            <w:r>
              <w:rPr>
                <w:rFonts w:ascii="Times New Roman" w:hAnsi="Times New Roman"/>
                <w:color w:val="auto"/>
                <w:szCs w:val="21"/>
              </w:rPr>
              <w:t>80</w:t>
            </w:r>
          </w:p>
        </w:tc>
        <w:tc>
          <w:tcPr>
            <w:tcW w:w="2780" w:type="dxa"/>
          </w:tcPr>
          <w:p>
            <w:pPr>
              <w:pStyle w:val="10"/>
              <w:ind w:firstLine="420" w:firstLineChars="200"/>
              <w:jc w:val="center"/>
              <w:rPr>
                <w:rFonts w:ascii="Times New Roman" w:hAnsi="Times New Roman"/>
                <w:color w:val="auto"/>
                <w:szCs w:val="21"/>
              </w:rPr>
            </w:pPr>
            <w:r>
              <w:rPr>
                <w:rFonts w:ascii="Times New Roman" w:hAnsi="Times New Roman"/>
                <w:color w:val="auto"/>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442" w:type="dxa"/>
            <w:gridSpan w:val="3"/>
          </w:tcPr>
          <w:p>
            <w:pPr>
              <w:pStyle w:val="10"/>
              <w:ind w:firstLine="420" w:firstLineChars="200"/>
              <w:rPr>
                <w:rFonts w:ascii="Times New Roman" w:hAnsi="Times New Roman"/>
                <w:color w:val="auto"/>
                <w:szCs w:val="21"/>
              </w:rPr>
            </w:pPr>
            <w:r>
              <w:rPr>
                <w:rFonts w:ascii="Times New Roman" w:hAnsi="Times New Roman"/>
                <w:color w:val="auto"/>
                <w:szCs w:val="21"/>
              </w:rPr>
              <w:t>指监测点PM</w:t>
            </w:r>
            <w:r>
              <w:rPr>
                <w:rFonts w:ascii="Times New Roman" w:hAnsi="Times New Roman"/>
                <w:color w:val="auto"/>
                <w:szCs w:val="21"/>
                <w:vertAlign w:val="subscript"/>
              </w:rPr>
              <w:t>10</w:t>
            </w:r>
            <w:r>
              <w:rPr>
                <w:rFonts w:ascii="Times New Roman" w:hAnsi="Times New Roman"/>
                <w:color w:val="auto"/>
                <w:szCs w:val="21"/>
              </w:rPr>
              <w:t>小时平均浓度实测值与同时段所属县（市、区）PM</w:t>
            </w:r>
            <w:r>
              <w:rPr>
                <w:rFonts w:ascii="Times New Roman" w:hAnsi="Times New Roman"/>
                <w:color w:val="auto"/>
                <w:szCs w:val="21"/>
                <w:vertAlign w:val="subscript"/>
              </w:rPr>
              <w:t>10</w:t>
            </w:r>
            <w:r>
              <w:rPr>
                <w:rFonts w:ascii="Times New Roman" w:hAnsi="Times New Roman"/>
                <w:color w:val="auto"/>
                <w:szCs w:val="21"/>
              </w:rPr>
              <w:t>小时平均浓度的差值。当县（市、区）PM</w:t>
            </w:r>
            <w:r>
              <w:rPr>
                <w:rFonts w:ascii="Times New Roman" w:hAnsi="Times New Roman"/>
                <w:color w:val="auto"/>
                <w:szCs w:val="21"/>
                <w:vertAlign w:val="subscript"/>
              </w:rPr>
              <w:t>10</w:t>
            </w:r>
            <w:r>
              <w:rPr>
                <w:rFonts w:ascii="Times New Roman" w:hAnsi="Times New Roman"/>
                <w:color w:val="auto"/>
                <w:szCs w:val="21"/>
              </w:rPr>
              <w:t>小时平均浓度值大于150µg/m</w:t>
            </w:r>
            <w:r>
              <w:rPr>
                <w:rFonts w:ascii="Times New Roman" w:hAnsi="Times New Roman"/>
                <w:color w:val="auto"/>
                <w:szCs w:val="21"/>
                <w:vertAlign w:val="superscript"/>
              </w:rPr>
              <w:t>3</w:t>
            </w:r>
            <w:r>
              <w:rPr>
                <w:rFonts w:ascii="Times New Roman" w:hAnsi="Times New Roman"/>
                <w:color w:val="auto"/>
                <w:szCs w:val="21"/>
              </w:rPr>
              <w:t>时，以150µg/m</w:t>
            </w:r>
            <w:r>
              <w:rPr>
                <w:rFonts w:ascii="Times New Roman" w:hAnsi="Times New Roman"/>
                <w:color w:val="auto"/>
                <w:szCs w:val="21"/>
                <w:vertAlign w:val="superscript"/>
              </w:rPr>
              <w:t>3</w:t>
            </w:r>
            <w:r>
              <w:rPr>
                <w:rFonts w:ascii="Times New Roman" w:hAnsi="Times New Roman"/>
                <w:color w:val="auto"/>
                <w:szCs w:val="21"/>
              </w:rPr>
              <w:t>计</w:t>
            </w:r>
          </w:p>
        </w:tc>
      </w:tr>
    </w:tbl>
    <w:p>
      <w:pPr>
        <w:adjustRightInd w:val="0"/>
        <w:snapToGrid w:val="0"/>
        <w:spacing w:line="360" w:lineRule="auto"/>
        <w:ind w:firstLine="480" w:firstLineChars="200"/>
        <w:jc w:val="left"/>
        <w:rPr>
          <w:color w:val="auto"/>
          <w:sz w:val="24"/>
          <w:szCs w:val="24"/>
        </w:rPr>
      </w:pPr>
      <w:r>
        <w:rPr>
          <w:color w:val="auto"/>
          <w:sz w:val="24"/>
          <w:szCs w:val="24"/>
        </w:rPr>
        <w:t>在采取上述措施后，扬尘及粉尘污染程度会明显减轻，又因施工期只是短期的、暂时的，随着施工期的结束，以上污染也会随之结束，所以对周围环境影响不大。</w:t>
      </w:r>
    </w:p>
    <w:p>
      <w:pPr>
        <w:adjustRightInd w:val="0"/>
        <w:snapToGrid w:val="0"/>
        <w:spacing w:line="360" w:lineRule="auto"/>
        <w:ind w:firstLine="480" w:firstLineChars="200"/>
        <w:jc w:val="left"/>
        <w:rPr>
          <w:color w:val="auto"/>
          <w:sz w:val="24"/>
          <w:szCs w:val="24"/>
        </w:rPr>
      </w:pPr>
      <w:r>
        <w:rPr>
          <w:color w:val="auto"/>
          <w:sz w:val="24"/>
          <w:szCs w:val="24"/>
        </w:rPr>
        <w:t>各类燃油动力机械在土地平整、物料运输等施工作业时，会排出各类燃油废气，排放的主要污染物为CO、NO</w:t>
      </w:r>
      <w:r>
        <w:rPr>
          <w:color w:val="auto"/>
          <w:sz w:val="24"/>
          <w:szCs w:val="24"/>
          <w:vertAlign w:val="subscript"/>
        </w:rPr>
        <w:t>X</w:t>
      </w:r>
      <w:r>
        <w:rPr>
          <w:color w:val="auto"/>
          <w:sz w:val="24"/>
          <w:szCs w:val="24"/>
        </w:rPr>
        <w:t>、SO</w:t>
      </w:r>
      <w:r>
        <w:rPr>
          <w:color w:val="auto"/>
          <w:sz w:val="24"/>
          <w:szCs w:val="24"/>
          <w:vertAlign w:val="subscript"/>
        </w:rPr>
        <w:t>2</w:t>
      </w:r>
      <w:r>
        <w:rPr>
          <w:color w:val="auto"/>
          <w:sz w:val="24"/>
          <w:szCs w:val="24"/>
        </w:rPr>
        <w:t>，项目开工后要选用性能好的先进设备及使用清洁燃料，可以减少污染物的排放，对周围环境影响较小。</w:t>
      </w:r>
    </w:p>
    <w:p>
      <w:pPr>
        <w:adjustRightInd w:val="0"/>
        <w:snapToGrid w:val="0"/>
        <w:spacing w:line="360" w:lineRule="auto"/>
        <w:ind w:firstLine="480" w:firstLineChars="200"/>
        <w:jc w:val="left"/>
        <w:rPr>
          <w:color w:val="auto"/>
          <w:sz w:val="24"/>
          <w:szCs w:val="24"/>
        </w:rPr>
      </w:pPr>
      <w:r>
        <w:rPr>
          <w:color w:val="auto"/>
          <w:sz w:val="24"/>
          <w:szCs w:val="24"/>
        </w:rPr>
        <w:t>2.施工期废水影响分析</w:t>
      </w:r>
    </w:p>
    <w:p>
      <w:pPr>
        <w:adjustRightInd w:val="0"/>
        <w:snapToGrid w:val="0"/>
        <w:spacing w:line="360" w:lineRule="auto"/>
        <w:ind w:firstLine="480" w:firstLineChars="200"/>
        <w:jc w:val="left"/>
        <w:rPr>
          <w:color w:val="auto"/>
          <w:sz w:val="24"/>
          <w:szCs w:val="24"/>
        </w:rPr>
      </w:pPr>
      <w:r>
        <w:rPr>
          <w:color w:val="auto"/>
          <w:sz w:val="24"/>
          <w:szCs w:val="24"/>
        </w:rPr>
        <w:t>施工机械机修及工作时跑、冒、漏产生的污油及露天机械被雨水冲刷产生的含油污水，工程施工期间采用先进设备以避免跑、冒、漏产生油污，避免机械露天放置，可避免上述含油污水的产生；施工单位不设施工驻地，施工人员产生少量生活污水，泼洒场地不外排。</w:t>
      </w:r>
    </w:p>
    <w:p>
      <w:pPr>
        <w:adjustRightInd w:val="0"/>
        <w:snapToGrid w:val="0"/>
        <w:spacing w:line="360" w:lineRule="auto"/>
        <w:ind w:firstLine="480" w:firstLineChars="200"/>
        <w:jc w:val="left"/>
        <w:rPr>
          <w:color w:val="auto"/>
          <w:sz w:val="24"/>
          <w:szCs w:val="24"/>
        </w:rPr>
      </w:pPr>
      <w:r>
        <w:rPr>
          <w:color w:val="auto"/>
          <w:sz w:val="24"/>
          <w:szCs w:val="24"/>
        </w:rPr>
        <w:t>综上所述，施工期间产生的废水对周围环境影响较小。</w:t>
      </w:r>
    </w:p>
    <w:p>
      <w:pPr>
        <w:adjustRightInd w:val="0"/>
        <w:snapToGrid w:val="0"/>
        <w:spacing w:line="360" w:lineRule="auto"/>
        <w:ind w:firstLine="480" w:firstLineChars="200"/>
        <w:jc w:val="left"/>
        <w:rPr>
          <w:color w:val="auto"/>
          <w:sz w:val="24"/>
          <w:szCs w:val="24"/>
        </w:rPr>
      </w:pPr>
      <w:r>
        <w:rPr>
          <w:color w:val="auto"/>
          <w:sz w:val="24"/>
          <w:szCs w:val="24"/>
        </w:rPr>
        <w:t>3.施工期噪声影响分析</w:t>
      </w:r>
    </w:p>
    <w:p>
      <w:pPr>
        <w:adjustRightInd w:val="0"/>
        <w:snapToGrid w:val="0"/>
        <w:spacing w:line="360" w:lineRule="auto"/>
        <w:ind w:firstLine="480" w:firstLineChars="200"/>
        <w:jc w:val="left"/>
        <w:rPr>
          <w:color w:val="auto"/>
          <w:sz w:val="24"/>
          <w:szCs w:val="24"/>
        </w:rPr>
      </w:pPr>
      <w:r>
        <w:rPr>
          <w:color w:val="auto"/>
          <w:sz w:val="24"/>
          <w:szCs w:val="24"/>
        </w:rPr>
        <w:t>确保高噪声施工工序夜间和午休时间不施工，并在施工工地合理安排施工时间，合理布局施工现场，对高噪声作业采取控制施工时间的方法来使其对敏感点的干扰减小到最低程度；建立临时声障，采用建筑等隔声措施。通过采取以上措施，则可大大减少噪声影响。施工场界噪声可以达到《建筑施工场界环境噪声排放标准》（GB12523-2011）的要求，而且将随着施工的结束而消失。</w:t>
      </w:r>
    </w:p>
    <w:p>
      <w:pPr>
        <w:adjustRightInd w:val="0"/>
        <w:snapToGrid w:val="0"/>
        <w:spacing w:line="360" w:lineRule="auto"/>
        <w:ind w:firstLine="480" w:firstLineChars="200"/>
        <w:jc w:val="left"/>
        <w:rPr>
          <w:color w:val="auto"/>
          <w:sz w:val="24"/>
          <w:szCs w:val="24"/>
        </w:rPr>
      </w:pPr>
      <w:r>
        <w:rPr>
          <w:color w:val="auto"/>
          <w:sz w:val="24"/>
          <w:szCs w:val="24"/>
        </w:rPr>
        <w:t>4.施工期固体废物影响分析</w:t>
      </w:r>
    </w:p>
    <w:p>
      <w:pPr>
        <w:adjustRightInd w:val="0"/>
        <w:snapToGrid w:val="0"/>
        <w:spacing w:line="360" w:lineRule="auto"/>
        <w:ind w:firstLine="480" w:firstLineChars="200"/>
        <w:jc w:val="left"/>
        <w:rPr>
          <w:color w:val="auto"/>
          <w:sz w:val="24"/>
          <w:szCs w:val="24"/>
        </w:rPr>
      </w:pPr>
      <w:r>
        <w:rPr>
          <w:color w:val="auto"/>
          <w:sz w:val="24"/>
          <w:szCs w:val="24"/>
        </w:rPr>
        <w:t>施工期产生的固体废物主要有废建材、撒落的沙石料、废工程土以及少量生活垃圾等。施工中要加强对这些固体废物的管理，工程废弃物应及时清运，要求按规定路线运输，运输车辆必须按有关要求配装密闭装置。施工队的生活垃圾要收集到指定的垃圾箱内，及时清运至垃圾处理场。</w:t>
      </w:r>
    </w:p>
    <w:p>
      <w:pPr>
        <w:adjustRightInd w:val="0"/>
        <w:snapToGrid w:val="0"/>
        <w:spacing w:line="360" w:lineRule="auto"/>
        <w:ind w:firstLine="480" w:firstLineChars="200"/>
        <w:jc w:val="left"/>
        <w:rPr>
          <w:color w:val="auto"/>
          <w:sz w:val="24"/>
          <w:szCs w:val="24"/>
        </w:rPr>
      </w:pPr>
      <w:r>
        <w:rPr>
          <w:color w:val="auto"/>
          <w:sz w:val="24"/>
          <w:szCs w:val="24"/>
        </w:rPr>
        <w:t>施工期对周围环境的影响是局部的，暂时的，随着工程的建成完工而消失。</w:t>
      </w:r>
    </w:p>
    <w:p>
      <w:pPr>
        <w:pStyle w:val="6"/>
        <w:rPr>
          <w:rFonts w:ascii="Times New Roman" w:hAnsi="Times New Roman"/>
          <w:color w:val="auto"/>
        </w:rPr>
      </w:pPr>
      <w:bookmarkStart w:id="145" w:name="_Toc28537"/>
      <w:bookmarkStart w:id="146" w:name="_Toc23781"/>
      <w:bookmarkStart w:id="147" w:name="_Toc25292"/>
      <w:bookmarkStart w:id="148" w:name="_Toc22056"/>
      <w:r>
        <w:rPr>
          <w:rFonts w:ascii="Times New Roman" w:hAnsi="Times New Roman"/>
          <w:color w:val="auto"/>
        </w:rPr>
        <w:t>3.2 运行期主要污染源及治理措施</w:t>
      </w:r>
      <w:bookmarkEnd w:id="145"/>
      <w:bookmarkEnd w:id="146"/>
      <w:bookmarkEnd w:id="147"/>
      <w:bookmarkEnd w:id="148"/>
    </w:p>
    <w:p>
      <w:pPr>
        <w:pStyle w:val="7"/>
        <w:spacing w:line="360" w:lineRule="auto"/>
        <w:rPr>
          <w:rFonts w:ascii="Times New Roman" w:hAnsi="Times New Roman"/>
          <w:color w:val="auto"/>
        </w:rPr>
      </w:pPr>
      <w:bookmarkStart w:id="149" w:name="_Toc496979024"/>
      <w:bookmarkStart w:id="150" w:name="_Toc497001461"/>
      <w:bookmarkStart w:id="151" w:name="_Toc3760"/>
      <w:bookmarkStart w:id="152" w:name="_Toc8094"/>
      <w:bookmarkStart w:id="153" w:name="_Toc8524"/>
      <w:bookmarkStart w:id="154" w:name="_Toc3932"/>
      <w:r>
        <w:rPr>
          <w:rFonts w:ascii="Times New Roman" w:hAnsi="Times New Roman"/>
          <w:color w:val="auto"/>
        </w:rPr>
        <w:t>3.2.1 废</w:t>
      </w:r>
      <w:bookmarkEnd w:id="149"/>
      <w:bookmarkEnd w:id="150"/>
      <w:r>
        <w:rPr>
          <w:rFonts w:ascii="Times New Roman" w:hAnsi="Times New Roman"/>
          <w:color w:val="auto"/>
        </w:rPr>
        <w:t>气</w:t>
      </w:r>
      <w:bookmarkEnd w:id="151"/>
      <w:bookmarkEnd w:id="152"/>
      <w:bookmarkEnd w:id="153"/>
      <w:bookmarkEnd w:id="154"/>
    </w:p>
    <w:p>
      <w:pPr>
        <w:pStyle w:val="7"/>
        <w:spacing w:before="156" w:beforeLines="50" w:line="360" w:lineRule="auto"/>
        <w:ind w:firstLine="480" w:firstLineChars="200"/>
        <w:rPr>
          <w:rFonts w:ascii="Times New Roman" w:hAnsi="Times New Roman"/>
          <w:color w:val="auto"/>
        </w:rPr>
      </w:pPr>
      <w:bookmarkStart w:id="155" w:name="_Toc18379"/>
      <w:bookmarkStart w:id="156" w:name="_Toc6473"/>
      <w:bookmarkStart w:id="157" w:name="_Toc6853"/>
      <w:bookmarkStart w:id="158" w:name="_Toc22928"/>
      <w:r>
        <w:rPr>
          <w:rFonts w:hint="eastAsia" w:ascii="Times New Roman" w:hAnsi="Times New Roman"/>
          <w:color w:val="auto"/>
          <w:lang w:val="en-US" w:eastAsia="zh-CN"/>
        </w:rPr>
        <w:t>项目无废气产生</w:t>
      </w:r>
      <w:r>
        <w:rPr>
          <w:rFonts w:hint="eastAsia" w:ascii="Times New Roman" w:hAnsi="Times New Roman"/>
          <w:color w:val="auto"/>
        </w:rPr>
        <w:t>。</w:t>
      </w:r>
    </w:p>
    <w:p>
      <w:pPr>
        <w:pStyle w:val="7"/>
        <w:spacing w:before="156" w:beforeLines="50"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2</w:t>
      </w:r>
      <w:r>
        <w:rPr>
          <w:rFonts w:ascii="Times New Roman" w:hAnsi="Times New Roman"/>
          <w:color w:val="auto"/>
        </w:rPr>
        <w:t xml:space="preserve"> 废水</w:t>
      </w:r>
      <w:bookmarkEnd w:id="155"/>
      <w:bookmarkEnd w:id="156"/>
      <w:bookmarkEnd w:id="157"/>
      <w:bookmarkEnd w:id="158"/>
    </w:p>
    <w:p>
      <w:pPr>
        <w:pStyle w:val="7"/>
        <w:spacing w:line="360" w:lineRule="auto"/>
        <w:ind w:firstLine="480" w:firstLineChars="200"/>
        <w:rPr>
          <w:rFonts w:ascii="Times New Roman" w:hAnsi="Times New Roman"/>
          <w:color w:val="auto"/>
        </w:rPr>
      </w:pPr>
      <w:bookmarkStart w:id="159" w:name="_Toc30198"/>
      <w:bookmarkStart w:id="160" w:name="_Toc32691"/>
      <w:bookmarkStart w:id="161" w:name="_Toc18436"/>
      <w:bookmarkStart w:id="162" w:name="_Toc571"/>
      <w:bookmarkStart w:id="163" w:name="_Toc497001462"/>
      <w:bookmarkStart w:id="164" w:name="_Toc496979025"/>
      <w:r>
        <w:rPr>
          <w:rFonts w:hint="eastAsia" w:ascii="Times New Roman" w:hAnsi="Times New Roman"/>
          <w:color w:val="auto"/>
        </w:rPr>
        <w:t>项目无生产废水产生；废水主要为职工生活污水，</w:t>
      </w:r>
      <w:r>
        <w:rPr>
          <w:rFonts w:hint="eastAsia" w:ascii="Times New Roman"/>
          <w:color w:val="auto"/>
          <w:lang w:eastAsia="zh-CN"/>
        </w:rPr>
        <w:t>生活废水主要为盥洗水，厂区泼洒抑尘</w:t>
      </w:r>
      <w:r>
        <w:rPr>
          <w:rFonts w:ascii="Times New Roman" w:hAnsi="Times New Roman"/>
          <w:color w:val="auto"/>
        </w:rPr>
        <w:t>。</w:t>
      </w:r>
    </w:p>
    <w:p>
      <w:pPr>
        <w:pStyle w:val="7"/>
        <w:spacing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3</w:t>
      </w:r>
      <w:r>
        <w:rPr>
          <w:rFonts w:ascii="Times New Roman" w:hAnsi="Times New Roman"/>
          <w:color w:val="auto"/>
        </w:rPr>
        <w:t xml:space="preserve"> 噪声</w:t>
      </w:r>
      <w:bookmarkEnd w:id="159"/>
      <w:bookmarkEnd w:id="160"/>
      <w:bookmarkEnd w:id="161"/>
      <w:bookmarkEnd w:id="162"/>
    </w:p>
    <w:p>
      <w:pPr>
        <w:pStyle w:val="7"/>
        <w:spacing w:line="360" w:lineRule="auto"/>
        <w:ind w:firstLine="480" w:firstLineChars="200"/>
        <w:rPr>
          <w:rFonts w:ascii="Times New Roman" w:hAnsi="Times New Roman"/>
          <w:color w:val="FF0000"/>
        </w:rPr>
      </w:pPr>
      <w:r>
        <w:rPr>
          <w:rFonts w:hint="eastAsia" w:ascii="Times New Roman" w:hAnsi="Times New Roman"/>
          <w:color w:val="auto"/>
        </w:rPr>
        <w:t>该项目</w:t>
      </w:r>
      <w:r>
        <w:rPr>
          <w:color w:val="auto"/>
        </w:rPr>
        <w:t>噪声主要是</w:t>
      </w:r>
      <w:r>
        <w:rPr>
          <w:rFonts w:hint="eastAsia"/>
          <w:color w:val="auto"/>
          <w:sz w:val="24"/>
          <w:szCs w:val="24"/>
          <w:lang w:val="en-US" w:eastAsia="zh-CN"/>
        </w:rPr>
        <w:t>锯床、车床</w:t>
      </w:r>
      <w:r>
        <w:rPr>
          <w:color w:val="auto"/>
        </w:rPr>
        <w:t>等设备运转时产生的噪声，</w:t>
      </w:r>
      <w:r>
        <w:rPr>
          <w:rFonts w:ascii="Times New Roman" w:hAnsi="Times New Roman"/>
          <w:color w:val="auto"/>
        </w:rPr>
        <w:t>生产设备合理布局，设置减振垫，车间隔声；对设备进行定期检修，加强润滑作用，保持良好的运转状态，降低噪声；加强管理，杜绝野蛮操作</w:t>
      </w:r>
      <w:r>
        <w:rPr>
          <w:rFonts w:hint="eastAsia" w:ascii="Times New Roman" w:hAnsi="Times New Roman"/>
          <w:color w:val="auto"/>
        </w:rPr>
        <w:t>。</w:t>
      </w:r>
    </w:p>
    <w:p>
      <w:pPr>
        <w:pStyle w:val="7"/>
        <w:spacing w:line="360" w:lineRule="auto"/>
        <w:rPr>
          <w:rFonts w:ascii="Times New Roman" w:hAnsi="Times New Roman"/>
          <w:color w:val="auto"/>
        </w:rPr>
      </w:pPr>
      <w:bookmarkStart w:id="165" w:name="_Toc16750"/>
      <w:bookmarkStart w:id="166" w:name="_Toc2397"/>
      <w:bookmarkStart w:id="167" w:name="_Toc1473"/>
      <w:bookmarkStart w:id="168" w:name="_Toc5318"/>
      <w:r>
        <w:rPr>
          <w:rFonts w:ascii="Times New Roman" w:hAnsi="Times New Roman"/>
          <w:color w:val="auto"/>
        </w:rPr>
        <w:t>3.2.</w:t>
      </w:r>
      <w:r>
        <w:rPr>
          <w:rFonts w:hint="eastAsia" w:ascii="Times New Roman" w:hAnsi="Times New Roman"/>
          <w:color w:val="auto"/>
        </w:rPr>
        <w:t xml:space="preserve">4 </w:t>
      </w:r>
      <w:r>
        <w:rPr>
          <w:rFonts w:ascii="Times New Roman" w:hAnsi="Times New Roman"/>
          <w:color w:val="auto"/>
        </w:rPr>
        <w:t>固体废物</w:t>
      </w:r>
      <w:bookmarkEnd w:id="165"/>
      <w:bookmarkEnd w:id="166"/>
      <w:bookmarkEnd w:id="167"/>
      <w:bookmarkEnd w:id="168"/>
    </w:p>
    <w:p>
      <w:pPr>
        <w:pStyle w:val="10"/>
        <w:adjustRightInd w:val="0"/>
        <w:snapToGrid w:val="0"/>
        <w:spacing w:line="360" w:lineRule="auto"/>
        <w:ind w:firstLine="480" w:firstLineChars="200"/>
        <w:jc w:val="left"/>
        <w:rPr>
          <w:rFonts w:ascii="Times New Roman" w:hAnsi="Times New Roman"/>
          <w:color w:val="auto"/>
          <w:sz w:val="24"/>
          <w:szCs w:val="24"/>
        </w:rPr>
      </w:pPr>
      <w:bookmarkStart w:id="169" w:name="_Toc9823"/>
      <w:bookmarkStart w:id="170" w:name="_Toc4008"/>
      <w:r>
        <w:rPr>
          <w:rFonts w:hint="eastAsia" w:ascii="Times New Roman" w:hAnsi="Times New Roman"/>
          <w:color w:val="auto"/>
          <w:sz w:val="24"/>
          <w:szCs w:val="24"/>
        </w:rPr>
        <w:t>生产过程中</w:t>
      </w:r>
      <w:r>
        <w:rPr>
          <w:rFonts w:ascii="Times New Roman" w:hAnsi="Times New Roman"/>
          <w:color w:val="auto"/>
          <w:sz w:val="24"/>
          <w:szCs w:val="24"/>
        </w:rPr>
        <w:t>产生下脚料</w:t>
      </w:r>
      <w:r>
        <w:rPr>
          <w:rFonts w:hint="eastAsia" w:ascii="Times New Roman" w:hAnsi="Times New Roman"/>
          <w:color w:val="auto"/>
          <w:sz w:val="24"/>
          <w:szCs w:val="24"/>
        </w:rPr>
        <w:t>，</w:t>
      </w:r>
      <w:r>
        <w:rPr>
          <w:rFonts w:ascii="Times New Roman" w:hAnsi="Times New Roman"/>
          <w:color w:val="auto"/>
          <w:sz w:val="24"/>
          <w:szCs w:val="24"/>
        </w:rPr>
        <w:t>收集后外售；</w:t>
      </w:r>
    </w:p>
    <w:p>
      <w:pPr>
        <w:pStyle w:val="10"/>
        <w:adjustRightInd w:val="0"/>
        <w:snapToGrid w:val="0"/>
        <w:spacing w:line="360" w:lineRule="auto"/>
        <w:ind w:firstLine="480" w:firstLineChars="200"/>
        <w:jc w:val="left"/>
        <w:rPr>
          <w:rFonts w:ascii="Times New Roman" w:hAnsi="Times New Roman"/>
          <w:color w:val="auto"/>
          <w:sz w:val="24"/>
          <w:szCs w:val="24"/>
        </w:rPr>
      </w:pPr>
      <w:r>
        <w:rPr>
          <w:rFonts w:hint="eastAsia" w:ascii="Times New Roman" w:hAnsi="Times New Roman"/>
          <w:color w:val="auto"/>
          <w:sz w:val="24"/>
          <w:szCs w:val="24"/>
          <w:lang w:val="en-US" w:eastAsia="zh-CN"/>
        </w:rPr>
        <w:t>检验工序产生的不合格品</w:t>
      </w:r>
      <w:r>
        <w:rPr>
          <w:rFonts w:ascii="Times New Roman" w:hAnsi="Times New Roman"/>
          <w:color w:val="auto"/>
          <w:sz w:val="24"/>
          <w:szCs w:val="24"/>
        </w:rPr>
        <w:t>，收集后外售；</w:t>
      </w:r>
    </w:p>
    <w:p>
      <w:pPr>
        <w:pStyle w:val="10"/>
        <w:spacing w:line="360" w:lineRule="auto"/>
        <w:ind w:firstLine="480" w:firstLineChars="200"/>
        <w:jc w:val="left"/>
        <w:rPr>
          <w:rFonts w:ascii="Times New Roman" w:hAnsi="Times New Roman"/>
          <w:color w:val="FF0000"/>
        </w:rPr>
      </w:pPr>
      <w:r>
        <w:rPr>
          <w:rFonts w:ascii="Times New Roman" w:hAnsi="Times New Roman"/>
          <w:color w:val="auto"/>
          <w:sz w:val="24"/>
          <w:szCs w:val="24"/>
        </w:rPr>
        <w:t>厂区职工产生生活垃圾，收集后由环卫人员运至垃圾处理厂处理</w:t>
      </w:r>
      <w:r>
        <w:rPr>
          <w:rFonts w:hint="eastAsia" w:ascii="Times New Roman" w:hAnsi="Times New Roman"/>
          <w:color w:val="auto"/>
          <w:sz w:val="24"/>
          <w:szCs w:val="24"/>
        </w:rPr>
        <w:t>。</w:t>
      </w:r>
      <w:bookmarkEnd w:id="163"/>
      <w:bookmarkEnd w:id="164"/>
      <w:bookmarkEnd w:id="169"/>
      <w:bookmarkEnd w:id="170"/>
      <w:bookmarkStart w:id="171" w:name="_Toc19788"/>
      <w:bookmarkStart w:id="172" w:name="_Toc14411"/>
      <w:r>
        <w:rPr>
          <w:rFonts w:ascii="Times New Roman" w:hAnsi="Times New Roman"/>
          <w:color w:val="FF0000"/>
        </w:rPr>
        <w:br w:type="page"/>
      </w:r>
    </w:p>
    <w:p>
      <w:pPr>
        <w:pStyle w:val="5"/>
        <w:spacing w:before="156" w:beforeLines="50"/>
        <w:rPr>
          <w:rFonts w:ascii="Times New Roman" w:hAnsi="Times New Roman"/>
          <w:color w:val="auto"/>
        </w:rPr>
      </w:pPr>
      <w:bookmarkStart w:id="173" w:name="_Toc32061"/>
      <w:bookmarkStart w:id="174" w:name="_Toc25824"/>
      <w:r>
        <w:rPr>
          <w:rFonts w:ascii="Times New Roman" w:hAnsi="Times New Roman"/>
          <w:color w:val="auto"/>
        </w:rPr>
        <w:t>4 环评主要结论及环评批复要求</w:t>
      </w:r>
      <w:bookmarkEnd w:id="171"/>
      <w:bookmarkEnd w:id="172"/>
      <w:bookmarkEnd w:id="173"/>
      <w:bookmarkEnd w:id="174"/>
    </w:p>
    <w:p>
      <w:pPr>
        <w:pStyle w:val="6"/>
        <w:rPr>
          <w:rFonts w:ascii="Times New Roman" w:hAnsi="Times New Roman"/>
          <w:color w:val="auto"/>
          <w:sz w:val="24"/>
          <w:szCs w:val="24"/>
        </w:rPr>
      </w:pPr>
      <w:bookmarkStart w:id="175" w:name="_Toc19580"/>
      <w:bookmarkStart w:id="176" w:name="_Toc25915"/>
      <w:bookmarkStart w:id="177" w:name="_Toc21108"/>
      <w:bookmarkStart w:id="178" w:name="_Toc17594"/>
      <w:r>
        <w:rPr>
          <w:rFonts w:ascii="Times New Roman" w:hAnsi="Times New Roman"/>
          <w:color w:val="auto"/>
          <w:sz w:val="24"/>
          <w:szCs w:val="24"/>
        </w:rPr>
        <w:t>4.1 建设项目环评报告表的主要结论与建议</w:t>
      </w:r>
      <w:bookmarkEnd w:id="175"/>
      <w:bookmarkEnd w:id="176"/>
      <w:bookmarkEnd w:id="177"/>
      <w:bookmarkEnd w:id="178"/>
    </w:p>
    <w:p>
      <w:pPr>
        <w:pStyle w:val="7"/>
        <w:spacing w:before="156" w:beforeLines="50" w:line="360" w:lineRule="auto"/>
        <w:rPr>
          <w:rFonts w:ascii="Times New Roman" w:hAnsi="Times New Roman"/>
          <w:b/>
          <w:bCs/>
          <w:color w:val="auto"/>
        </w:rPr>
      </w:pPr>
      <w:bookmarkStart w:id="179" w:name="_Toc26870"/>
      <w:bookmarkStart w:id="180" w:name="_Toc496979030"/>
      <w:bookmarkStart w:id="181" w:name="_Toc17583"/>
      <w:bookmarkStart w:id="182" w:name="_Toc22609"/>
      <w:bookmarkStart w:id="183" w:name="_Toc497001467"/>
      <w:bookmarkStart w:id="184" w:name="_Toc29423"/>
      <w:r>
        <w:rPr>
          <w:rFonts w:ascii="Times New Roman" w:hAnsi="Times New Roman"/>
          <w:b/>
          <w:bCs/>
          <w:color w:val="auto"/>
        </w:rPr>
        <w:t>4.1.1 主要结论</w:t>
      </w:r>
      <w:bookmarkEnd w:id="179"/>
      <w:bookmarkEnd w:id="180"/>
      <w:bookmarkEnd w:id="181"/>
      <w:bookmarkEnd w:id="182"/>
      <w:bookmarkEnd w:id="183"/>
      <w:bookmarkEnd w:id="184"/>
    </w:p>
    <w:p>
      <w:pPr>
        <w:spacing w:line="360" w:lineRule="auto"/>
        <w:ind w:firstLine="482" w:firstLineChars="200"/>
        <w:rPr>
          <w:rFonts w:ascii="Times New Roman" w:hAnsi="Times New Roman"/>
          <w:b/>
          <w:bCs/>
          <w:color w:val="auto"/>
          <w:kern w:val="0"/>
          <w:sz w:val="24"/>
          <w:szCs w:val="24"/>
        </w:rPr>
      </w:pPr>
      <w:r>
        <w:rPr>
          <w:rFonts w:hint="eastAsia" w:ascii="Times New Roman" w:hAnsi="Times New Roman"/>
          <w:b/>
          <w:bCs/>
          <w:color w:val="auto"/>
          <w:kern w:val="0"/>
          <w:sz w:val="24"/>
          <w:szCs w:val="24"/>
        </w:rPr>
        <w:t>1、建设项目情况</w:t>
      </w:r>
    </w:p>
    <w:p>
      <w:pPr>
        <w:spacing w:line="360" w:lineRule="auto"/>
        <w:ind w:firstLine="560"/>
        <w:rPr>
          <w:rFonts w:ascii="Times New Roman" w:hAnsi="Times New Roman"/>
          <w:b/>
          <w:bCs/>
          <w:color w:val="auto"/>
          <w:sz w:val="24"/>
          <w:szCs w:val="24"/>
        </w:rPr>
      </w:pPr>
      <w:bookmarkStart w:id="185" w:name="_Toc25204"/>
      <w:r>
        <w:rPr>
          <w:rFonts w:hint="eastAsia" w:ascii="Times New Roman" w:hAnsi="Times New Roman"/>
          <w:b/>
          <w:bCs/>
          <w:color w:val="auto"/>
          <w:sz w:val="24"/>
          <w:szCs w:val="24"/>
        </w:rPr>
        <w:t>1项目概况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项目名称：</w:t>
      </w:r>
      <w:r>
        <w:rPr>
          <w:rFonts w:hint="eastAsia" w:ascii="Times New Roman" w:hAnsi="Times New Roman"/>
          <w:color w:val="auto"/>
          <w:sz w:val="24"/>
          <w:szCs w:val="24"/>
          <w:lang w:eastAsia="zh-CN"/>
        </w:rPr>
        <w:t>河北商合管件制造有限公司标准件生产项目</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建设单位：</w:t>
      </w:r>
      <w:r>
        <w:rPr>
          <w:rFonts w:hint="eastAsia" w:ascii="Times New Roman" w:hAnsi="Times New Roman"/>
          <w:color w:val="auto"/>
          <w:sz w:val="24"/>
          <w:szCs w:val="24"/>
          <w:lang w:eastAsia="zh-CN"/>
        </w:rPr>
        <w:t>河北商合管件制造有限公司</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建设地点；</w:t>
      </w:r>
      <w:r>
        <w:rPr>
          <w:rFonts w:hint="eastAsia" w:ascii="Times New Roman" w:hAnsi="Times New Roman"/>
          <w:color w:val="auto"/>
          <w:sz w:val="24"/>
          <w:szCs w:val="24"/>
          <w:lang w:eastAsia="zh-CN"/>
        </w:rPr>
        <w:t>盐山盐山镇范庄村</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项目投资:本项目总投资</w:t>
      </w:r>
      <w:r>
        <w:rPr>
          <w:rFonts w:hint="eastAsia" w:ascii="Times New Roman" w:hAnsi="Times New Roman"/>
          <w:color w:val="auto"/>
          <w:sz w:val="24"/>
          <w:szCs w:val="24"/>
          <w:lang w:val="en-US" w:eastAsia="zh-CN"/>
        </w:rPr>
        <w:t>190</w:t>
      </w:r>
      <w:r>
        <w:rPr>
          <w:rFonts w:hint="eastAsia" w:ascii="Times New Roman" w:hAnsi="Times New Roman"/>
          <w:color w:val="auto"/>
          <w:sz w:val="24"/>
          <w:szCs w:val="24"/>
        </w:rPr>
        <w:t>万元，其中环保投资</w:t>
      </w:r>
      <w:r>
        <w:rPr>
          <w:rFonts w:hint="eastAsia" w:ascii="Times New Roman" w:hAnsi="Times New Roman"/>
          <w:color w:val="auto"/>
          <w:sz w:val="24"/>
          <w:szCs w:val="24"/>
          <w:lang w:val="en-US" w:eastAsia="zh-CN"/>
        </w:rPr>
        <w:t>1</w:t>
      </w:r>
      <w:r>
        <w:rPr>
          <w:rFonts w:hint="eastAsia" w:ascii="Times New Roman" w:hAnsi="Times New Roman"/>
          <w:color w:val="auto"/>
          <w:sz w:val="24"/>
          <w:szCs w:val="24"/>
        </w:rPr>
        <w:t>万元，环保投资占总投资的</w:t>
      </w:r>
      <w:r>
        <w:rPr>
          <w:rFonts w:hint="eastAsia" w:ascii="Times New Roman" w:hAnsi="Times New Roman"/>
          <w:color w:val="auto"/>
          <w:sz w:val="24"/>
          <w:szCs w:val="24"/>
          <w:lang w:val="en-US" w:eastAsia="zh-CN"/>
        </w:rPr>
        <w:t>0.53</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建设内容与规模：本项目占地</w:t>
      </w:r>
      <w:r>
        <w:rPr>
          <w:rFonts w:hint="eastAsia" w:ascii="Times New Roman" w:hAnsi="Times New Roman"/>
          <w:color w:val="auto"/>
          <w:sz w:val="24"/>
          <w:szCs w:val="24"/>
          <w:lang w:val="en-US" w:eastAsia="zh-CN"/>
        </w:rPr>
        <w:t>933.3</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，主要建设车间、仓库及附属设施等。生产规模为本项目</w:t>
      </w:r>
      <w:r>
        <w:rPr>
          <w:rFonts w:hint="eastAsia" w:ascii="Times New Roman" w:hAnsi="Times New Roman"/>
          <w:color w:val="auto"/>
          <w:sz w:val="24"/>
          <w:szCs w:val="24"/>
          <w:lang w:eastAsia="zh-CN"/>
        </w:rPr>
        <w:t>年产标准件600件</w:t>
      </w:r>
      <w:r>
        <w:rPr>
          <w:rFonts w:hint="eastAsia" w:ascii="Times New Roman" w:hAnsi="Times New Roman"/>
          <w:color w:val="auto"/>
          <w:sz w:val="24"/>
          <w:szCs w:val="24"/>
        </w:rPr>
        <w:t>。</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2、产业政策</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本项目为</w:t>
      </w:r>
      <w:r>
        <w:rPr>
          <w:rFonts w:hint="eastAsia" w:ascii="Times New Roman" w:hAnsi="Times New Roman"/>
          <w:color w:val="auto"/>
          <w:sz w:val="24"/>
          <w:szCs w:val="24"/>
          <w:lang w:eastAsia="zh-CN"/>
        </w:rPr>
        <w:t>木材加工项目</w:t>
      </w:r>
      <w:r>
        <w:rPr>
          <w:rFonts w:hint="eastAsia" w:ascii="Times New Roman" w:hAnsi="Times New Roman"/>
          <w:color w:val="auto"/>
          <w:sz w:val="24"/>
          <w:szCs w:val="24"/>
        </w:rPr>
        <w:t>，为鼓励类项目；对照《河北省新增限制和淘汰类产业目录》(冀政办发[2015]7号)，项目不属于限制类和淘汰类，符合河北省产业政策要求。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因此，本项目符合国家及地方相关产业政策。</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3、选址情况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项目位于河北省沧州市</w:t>
      </w:r>
      <w:r>
        <w:rPr>
          <w:rFonts w:hint="eastAsia" w:ascii="Times New Roman" w:hAnsi="Times New Roman"/>
          <w:color w:val="auto"/>
          <w:sz w:val="24"/>
          <w:szCs w:val="24"/>
          <w:lang w:eastAsia="zh-CN"/>
        </w:rPr>
        <w:t>盐山盐山镇范庄村</w:t>
      </w:r>
      <w:r>
        <w:rPr>
          <w:rFonts w:hint="eastAsia" w:ascii="Times New Roman" w:hAnsi="Times New Roman"/>
          <w:color w:val="auto"/>
          <w:sz w:val="24"/>
          <w:szCs w:val="24"/>
        </w:rPr>
        <w:t>，项目厂址中心地理坐标为</w:t>
      </w:r>
      <w:r>
        <w:rPr>
          <w:rFonts w:hint="eastAsia" w:ascii="Times New Roman" w:hAnsi="Times New Roman"/>
          <w:color w:val="auto"/>
          <w:sz w:val="24"/>
          <w:szCs w:val="24"/>
          <w:lang w:eastAsia="zh-CN"/>
        </w:rPr>
        <w:t>北纬38°4'35.29"，东经117°11'14.21"。项目西北侧为空地、东南侧为省道、西南、东北侧为厂子。项目周围环境敏感点为西南侧102m处的范庄居民楼</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根据沧县</w:t>
      </w:r>
      <w:r>
        <w:rPr>
          <w:rFonts w:hint="eastAsia" w:ascii="Times New Roman" w:hAnsi="Times New Roman"/>
          <w:color w:val="auto"/>
          <w:sz w:val="24"/>
          <w:szCs w:val="24"/>
          <w:lang w:val="en-US" w:eastAsia="zh-CN"/>
        </w:rPr>
        <w:t>薛官屯乡人民政府</w:t>
      </w:r>
      <w:r>
        <w:rPr>
          <w:rFonts w:hint="eastAsia" w:ascii="Times New Roman" w:hAnsi="Times New Roman"/>
          <w:color w:val="auto"/>
          <w:sz w:val="24"/>
          <w:szCs w:val="24"/>
        </w:rPr>
        <w:t>出具证明，本项目符合城镇规化。</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本项目附近无国家、省、市规定的重点文物保护单位、风景名胜区、革命历史古迹、集中式水源地等环境敏感点。因此，本项目选址合理。</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4、营运期环境影响评价结论</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（1）大气环境影响分析</w:t>
      </w:r>
    </w:p>
    <w:p>
      <w:pPr>
        <w:spacing w:line="360" w:lineRule="auto"/>
        <w:ind w:firstLine="560"/>
        <w:rPr>
          <w:rFonts w:ascii="Times New Roman" w:hAnsi="Times New Roman"/>
          <w:color w:val="auto"/>
          <w:sz w:val="24"/>
          <w:szCs w:val="24"/>
        </w:rPr>
      </w:pPr>
      <w:r>
        <w:rPr>
          <w:rFonts w:hint="eastAsia"/>
          <w:color w:val="auto"/>
          <w:sz w:val="24"/>
          <w:szCs w:val="24"/>
          <w:lang w:val="en-US" w:eastAsia="zh-CN"/>
        </w:rPr>
        <w:t>项目无废气产生</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（2）水环境影响分析</w:t>
      </w:r>
    </w:p>
    <w:p>
      <w:pPr>
        <w:spacing w:line="360" w:lineRule="auto"/>
        <w:ind w:firstLine="480" w:firstLineChars="200"/>
        <w:jc w:val="left"/>
        <w:rPr>
          <w:color w:val="auto"/>
          <w:sz w:val="24"/>
          <w:szCs w:val="24"/>
        </w:rPr>
      </w:pPr>
      <w:r>
        <w:rPr>
          <w:color w:val="auto"/>
          <w:sz w:val="24"/>
          <w:szCs w:val="24"/>
        </w:rPr>
        <w:t>项目</w:t>
      </w:r>
      <w:r>
        <w:rPr>
          <w:rFonts w:hint="eastAsia"/>
          <w:color w:val="auto"/>
          <w:sz w:val="24"/>
          <w:lang w:val="en-US" w:eastAsia="zh-CN"/>
        </w:rPr>
        <w:t>无生产废水产生，</w:t>
      </w:r>
      <w:r>
        <w:rPr>
          <w:color w:val="auto"/>
          <w:sz w:val="24"/>
          <w:szCs w:val="24"/>
        </w:rPr>
        <w:t>对周围水环境无影响。</w:t>
      </w:r>
    </w:p>
    <w:p>
      <w:pPr>
        <w:spacing w:line="360" w:lineRule="auto"/>
        <w:ind w:firstLine="560"/>
        <w:rPr>
          <w:rFonts w:ascii="Times New Roman" w:hAnsi="宋体"/>
          <w:color w:val="auto"/>
          <w:sz w:val="24"/>
          <w:szCs w:val="24"/>
        </w:rPr>
      </w:pPr>
      <w:r>
        <w:rPr>
          <w:rFonts w:ascii="Times New Roman" w:hAnsi="Times New Roman"/>
          <w:bCs/>
          <w:color w:val="auto"/>
          <w:sz w:val="24"/>
          <w:szCs w:val="24"/>
        </w:rPr>
        <w:t>厂区职工产生生活污水，</w:t>
      </w:r>
      <w:r>
        <w:rPr>
          <w:rFonts w:ascii="Times New Roman" w:hAnsi="宋体"/>
          <w:color w:val="auto"/>
          <w:sz w:val="24"/>
          <w:szCs w:val="24"/>
        </w:rPr>
        <w:t>主要污染物为</w:t>
      </w:r>
      <w:r>
        <w:rPr>
          <w:rFonts w:ascii="Times New Roman" w:hAnsi="Times New Roman"/>
          <w:color w:val="auto"/>
          <w:sz w:val="24"/>
          <w:szCs w:val="24"/>
        </w:rPr>
        <w:t>COD</w:t>
      </w:r>
      <w:r>
        <w:rPr>
          <w:rFonts w:ascii="Times New Roman" w:hAnsi="宋体"/>
          <w:color w:val="auto"/>
          <w:sz w:val="24"/>
          <w:szCs w:val="24"/>
        </w:rPr>
        <w:t>、</w:t>
      </w:r>
      <w:r>
        <w:rPr>
          <w:rFonts w:ascii="Times New Roman" w:hAnsi="Times New Roman"/>
          <w:color w:val="auto"/>
          <w:sz w:val="24"/>
          <w:szCs w:val="24"/>
        </w:rPr>
        <w:t>SS</w:t>
      </w:r>
      <w:r>
        <w:rPr>
          <w:rFonts w:ascii="Times New Roman" w:hAnsi="宋体"/>
          <w:color w:val="auto"/>
          <w:sz w:val="24"/>
          <w:szCs w:val="24"/>
        </w:rPr>
        <w:t>、氨氮等。</w:t>
      </w:r>
      <w:r>
        <w:rPr>
          <w:rFonts w:hint="eastAsia" w:ascii="Times New Roman" w:hAnsi="宋体"/>
          <w:color w:val="auto"/>
          <w:sz w:val="24"/>
          <w:szCs w:val="24"/>
          <w:lang w:eastAsia="zh-CN"/>
        </w:rPr>
        <w:t>生活废水主要为盥洗水，厂区泼洒抑尘</w:t>
      </w:r>
      <w:r>
        <w:rPr>
          <w:rFonts w:ascii="Times New Roman" w:hAnsi="宋体"/>
          <w:color w:val="auto"/>
          <w:sz w:val="24"/>
          <w:szCs w:val="24"/>
        </w:rPr>
        <w:t>，对周围环境影响较小。</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（3）声环境影响分析</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了控制噪声污染源的噪声污染，本项目生产加工过程均在车间内完成，并对主要高噪声设备采取底座减振、厂房隔声，风机安装消声器等降噪措施，尽量降低噪声源强，再经距离衰减后，厂界噪声能够满足《工业企业厂界环境噪声排放标准》（GB12348-2008）2类</w:t>
      </w:r>
      <w:r>
        <w:rPr>
          <w:rFonts w:hint="eastAsia" w:ascii="Times New Roman" w:hAnsi="Times New Roman"/>
          <w:color w:val="auto"/>
          <w:sz w:val="24"/>
          <w:szCs w:val="24"/>
          <w:lang w:val="en-US" w:eastAsia="zh-CN"/>
        </w:rPr>
        <w:t>和4类</w:t>
      </w:r>
      <w:r>
        <w:rPr>
          <w:rFonts w:hint="eastAsia" w:ascii="Times New Roman" w:hAnsi="Times New Roman"/>
          <w:color w:val="auto"/>
          <w:sz w:val="24"/>
          <w:szCs w:val="24"/>
        </w:rPr>
        <w:t>标准要求。</w:t>
      </w:r>
    </w:p>
    <w:p>
      <w:pPr>
        <w:spacing w:line="360" w:lineRule="auto"/>
        <w:ind w:firstLine="560"/>
        <w:rPr>
          <w:rFonts w:ascii="Times New Roman" w:hAnsi="Times New Roman"/>
          <w:color w:val="FF0000"/>
          <w:sz w:val="24"/>
          <w:szCs w:val="24"/>
        </w:rPr>
      </w:pPr>
      <w:r>
        <w:rPr>
          <w:rFonts w:hint="eastAsia" w:ascii="Times New Roman" w:hAnsi="Times New Roman"/>
          <w:color w:val="auto"/>
          <w:sz w:val="24"/>
          <w:szCs w:val="24"/>
        </w:rPr>
        <w:t>因此，项目产生的噪声不会对周围声环境产生较大影响。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（4）固体废物影响分析</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生产过程中产生下脚料，收集后外售；</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lang w:val="en-US" w:eastAsia="zh-CN"/>
        </w:rPr>
        <w:t>检验工序产生的不合格品</w:t>
      </w:r>
      <w:r>
        <w:rPr>
          <w:rFonts w:hint="eastAsia" w:ascii="Times New Roman" w:hAnsi="Times New Roman"/>
          <w:color w:val="auto"/>
          <w:sz w:val="24"/>
          <w:szCs w:val="24"/>
        </w:rPr>
        <w:t>，收集后外售；</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rPr>
        <w:t>厂区职工产生生活垃圾，收集后由环卫人员运至垃圾处理厂处理；</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综上所述，建设项目产生的固体废物均能得到妥善处理处置，不会对周围环境造成较大影响。</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5、总量控制指标</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结合本项目特点及排污特征，确定本工程污染物总量控制因子为COD、氨氮、SO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、NOx。</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水污染物：COD：0t/a；氨氮：0t/a；</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大气污染物：SO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：0t/a；NOx：0t/a;</w:t>
      </w:r>
    </w:p>
    <w:p>
      <w:pPr>
        <w:pStyle w:val="7"/>
        <w:spacing w:before="156" w:beforeLines="50" w:line="360" w:lineRule="auto"/>
        <w:rPr>
          <w:rFonts w:ascii="Times New Roman" w:hAnsi="Times New Roman"/>
          <w:b/>
          <w:bCs/>
          <w:color w:val="auto"/>
        </w:rPr>
      </w:pPr>
      <w:r>
        <w:rPr>
          <w:rFonts w:hint="eastAsia" w:ascii="Times New Roman" w:hAnsi="Times New Roman"/>
          <w:b/>
          <w:bCs/>
          <w:color w:val="auto"/>
        </w:rPr>
        <w:t>4.1.2 建议</w:t>
      </w:r>
      <w:bookmarkEnd w:id="185"/>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为保护环境，确保环保设施正常运行和污染物达标排放，针对工程特点，本次环评提出如下建议：</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（1）重视和加强对企业内部环境保护工作的督导，把各项规章制度和环保考核定量指标落到实处。</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（2）加强生产车间管理，实施清洁生产管理，从源头抓起，确保环保设施正常运行，最大限度地减少污染物的排放量</w:t>
      </w:r>
    </w:p>
    <w:p>
      <w:pPr>
        <w:pStyle w:val="6"/>
        <w:spacing w:before="156" w:beforeLines="50" w:line="440" w:lineRule="atLeast"/>
        <w:rPr>
          <w:rFonts w:ascii="Times New Roman" w:hAnsi="Times New Roman"/>
          <w:color w:val="auto"/>
        </w:rPr>
      </w:pPr>
      <w:bookmarkStart w:id="186" w:name="_Toc16482"/>
      <w:bookmarkStart w:id="187" w:name="_Toc3545"/>
      <w:bookmarkStart w:id="188" w:name="_Toc13890"/>
      <w:bookmarkStart w:id="189" w:name="_Toc27551"/>
      <w:r>
        <w:rPr>
          <w:rFonts w:ascii="Times New Roman" w:hAnsi="Times New Roman"/>
          <w:color w:val="auto"/>
        </w:rPr>
        <w:t>4.2 审批部门审批意见</w:t>
      </w:r>
      <w:bookmarkEnd w:id="186"/>
      <w:bookmarkEnd w:id="187"/>
      <w:bookmarkEnd w:id="188"/>
      <w:bookmarkEnd w:id="189"/>
    </w:p>
    <w:p>
      <w:pPr>
        <w:spacing w:line="360" w:lineRule="auto"/>
        <w:ind w:firstLine="480" w:firstLineChars="200"/>
        <w:rPr>
          <w:rFonts w:ascii="Times New Roman" w:hAnsi="Times New Roman"/>
          <w:color w:val="FF0000"/>
          <w:sz w:val="24"/>
          <w:szCs w:val="24"/>
        </w:rPr>
      </w:pPr>
      <w:r>
        <w:rPr>
          <w:rFonts w:hint="eastAsia" w:ascii="Times New Roman" w:hAnsi="Times New Roman"/>
          <w:color w:val="FF0000"/>
          <w:sz w:val="24"/>
          <w:szCs w:val="24"/>
          <w:lang w:val="en-US" w:eastAsia="zh-CN"/>
        </w:rPr>
        <w:t>湖北黄环环保科技有限公司</w:t>
      </w:r>
      <w:r>
        <w:rPr>
          <w:rFonts w:hint="eastAsia" w:ascii="Times New Roman" w:hAnsi="Times New Roman"/>
          <w:color w:val="FF0000"/>
          <w:sz w:val="24"/>
        </w:rPr>
        <w:t>于</w:t>
      </w:r>
      <w:r>
        <w:rPr>
          <w:rFonts w:ascii="Times New Roman" w:hAnsi="Times New Roman"/>
          <w:color w:val="FF0000"/>
          <w:sz w:val="24"/>
          <w:szCs w:val="24"/>
        </w:rPr>
        <w:t>201</w:t>
      </w:r>
      <w:r>
        <w:rPr>
          <w:rFonts w:hint="eastAsia" w:ascii="Times New Roman" w:hAnsi="Times New Roman"/>
          <w:color w:val="FF0000"/>
          <w:sz w:val="24"/>
          <w:szCs w:val="24"/>
        </w:rPr>
        <w:t>9</w:t>
      </w:r>
      <w:r>
        <w:rPr>
          <w:rFonts w:ascii="Times New Roman" w:hAnsi="Times New Roman"/>
          <w:color w:val="FF0000"/>
          <w:sz w:val="24"/>
          <w:szCs w:val="24"/>
        </w:rPr>
        <w:t>年</w:t>
      </w:r>
      <w:r>
        <w:rPr>
          <w:rFonts w:hint="eastAsia" w:ascii="Times New Roman" w:hAnsi="Times New Roman"/>
          <w:color w:val="FF0000"/>
          <w:sz w:val="24"/>
          <w:szCs w:val="24"/>
          <w:lang w:val="en-US" w:eastAsia="zh-CN"/>
        </w:rPr>
        <w:t>12</w:t>
      </w:r>
      <w:r>
        <w:rPr>
          <w:rFonts w:ascii="Times New Roman" w:hAnsi="Times New Roman"/>
          <w:color w:val="FF0000"/>
          <w:sz w:val="24"/>
          <w:szCs w:val="24"/>
        </w:rPr>
        <w:t>月</w:t>
      </w:r>
      <w:r>
        <w:rPr>
          <w:rFonts w:hint="eastAsia" w:ascii="Times New Roman" w:hAnsi="Times New Roman"/>
          <w:color w:val="FF0000"/>
          <w:sz w:val="24"/>
          <w:szCs w:val="24"/>
        </w:rPr>
        <w:t>编制完成了</w:t>
      </w:r>
      <w:r>
        <w:rPr>
          <w:rFonts w:ascii="Times New Roman" w:hAnsi="Times New Roman"/>
          <w:color w:val="FF0000"/>
          <w:sz w:val="24"/>
          <w:szCs w:val="24"/>
        </w:rPr>
        <w:t>《</w:t>
      </w:r>
      <w:r>
        <w:rPr>
          <w:rFonts w:hint="eastAsia" w:ascii="Times New Roman" w:hAnsi="Times New Roman"/>
          <w:color w:val="FF0000"/>
          <w:sz w:val="24"/>
          <w:szCs w:val="24"/>
          <w:lang w:eastAsia="zh-CN"/>
        </w:rPr>
        <w:t>河北商合管件制造有限公司标准件生产项目</w:t>
      </w:r>
      <w:r>
        <w:rPr>
          <w:rFonts w:hint="eastAsia" w:ascii="Times New Roman" w:hAnsi="Times New Roman"/>
          <w:color w:val="FF0000"/>
          <w:kern w:val="0"/>
          <w:sz w:val="24"/>
          <w:szCs w:val="24"/>
        </w:rPr>
        <w:t>环境影响报告表</w:t>
      </w:r>
      <w:r>
        <w:rPr>
          <w:rFonts w:ascii="Times New Roman" w:hAnsi="Times New Roman"/>
          <w:color w:val="FF0000"/>
          <w:sz w:val="24"/>
          <w:szCs w:val="24"/>
        </w:rPr>
        <w:t>》</w:t>
      </w:r>
      <w:r>
        <w:rPr>
          <w:rFonts w:hint="eastAsia" w:ascii="Times New Roman" w:hAnsi="Times New Roman"/>
          <w:color w:val="FF0000"/>
          <w:sz w:val="24"/>
          <w:szCs w:val="24"/>
        </w:rPr>
        <w:t>，并于</w:t>
      </w:r>
      <w:r>
        <w:rPr>
          <w:rFonts w:ascii="Times New Roman" w:hAnsi="Times New Roman"/>
          <w:color w:val="FF0000"/>
          <w:sz w:val="24"/>
          <w:szCs w:val="24"/>
        </w:rPr>
        <w:t>20</w:t>
      </w:r>
      <w:r>
        <w:rPr>
          <w:rFonts w:hint="eastAsia" w:ascii="Times New Roman" w:hAnsi="Times New Roman"/>
          <w:color w:val="FF0000"/>
          <w:sz w:val="24"/>
          <w:szCs w:val="24"/>
        </w:rPr>
        <w:t>19</w:t>
      </w:r>
      <w:r>
        <w:rPr>
          <w:rFonts w:ascii="Times New Roman" w:hAnsi="Times New Roman"/>
          <w:color w:val="FF0000"/>
          <w:sz w:val="24"/>
          <w:szCs w:val="24"/>
        </w:rPr>
        <w:t>年</w:t>
      </w:r>
      <w:r>
        <w:rPr>
          <w:rFonts w:hint="eastAsia" w:ascii="Times New Roman" w:hAnsi="Times New Roman"/>
          <w:color w:val="FF0000"/>
          <w:sz w:val="24"/>
          <w:szCs w:val="24"/>
          <w:lang w:val="en-US" w:eastAsia="zh-CN"/>
        </w:rPr>
        <w:t>12</w:t>
      </w:r>
      <w:r>
        <w:rPr>
          <w:rFonts w:ascii="Times New Roman" w:hAnsi="Times New Roman"/>
          <w:color w:val="FF0000"/>
          <w:sz w:val="24"/>
          <w:szCs w:val="24"/>
        </w:rPr>
        <w:t>月</w:t>
      </w:r>
      <w:r>
        <w:rPr>
          <w:rFonts w:hint="eastAsia" w:ascii="Times New Roman" w:hAnsi="Times New Roman"/>
          <w:color w:val="FF0000"/>
          <w:sz w:val="24"/>
          <w:szCs w:val="24"/>
          <w:lang w:val="en-US" w:eastAsia="zh-CN"/>
        </w:rPr>
        <w:t>26</w:t>
      </w:r>
      <w:r>
        <w:rPr>
          <w:rFonts w:ascii="Times New Roman" w:hAnsi="Times New Roman"/>
          <w:color w:val="FF0000"/>
          <w:sz w:val="24"/>
          <w:szCs w:val="24"/>
        </w:rPr>
        <w:t>日</w:t>
      </w:r>
      <w:r>
        <w:rPr>
          <w:rFonts w:hint="eastAsia" w:ascii="Times New Roman" w:hAnsi="Times New Roman"/>
          <w:color w:val="FF0000"/>
          <w:sz w:val="24"/>
          <w:szCs w:val="24"/>
        </w:rPr>
        <w:t>取得了</w:t>
      </w:r>
      <w:r>
        <w:rPr>
          <w:rFonts w:hint="eastAsia" w:ascii="Times New Roman" w:hAnsi="Times New Roman"/>
          <w:color w:val="FF0000"/>
          <w:sz w:val="24"/>
          <w:szCs w:val="24"/>
          <w:lang w:eastAsia="zh-CN"/>
        </w:rPr>
        <w:t>沧州市生态环境局盐山分局</w:t>
      </w:r>
      <w:r>
        <w:rPr>
          <w:rFonts w:ascii="Times New Roman" w:hAnsi="Times New Roman"/>
          <w:color w:val="FF0000"/>
          <w:sz w:val="24"/>
          <w:szCs w:val="24"/>
        </w:rPr>
        <w:t>关于《</w:t>
      </w:r>
      <w:r>
        <w:rPr>
          <w:rFonts w:hint="eastAsia" w:ascii="Times New Roman" w:hAnsi="Times New Roman"/>
          <w:color w:val="FF0000"/>
          <w:sz w:val="24"/>
          <w:szCs w:val="24"/>
          <w:lang w:eastAsia="zh-CN"/>
        </w:rPr>
        <w:t>河北商合管件制造有限公司标准件生产项目</w:t>
      </w:r>
      <w:r>
        <w:rPr>
          <w:rFonts w:ascii="Times New Roman" w:hAnsi="Times New Roman"/>
          <w:color w:val="FF0000"/>
          <w:sz w:val="24"/>
          <w:szCs w:val="24"/>
        </w:rPr>
        <w:t>》的审批意见</w:t>
      </w:r>
      <w:r>
        <w:rPr>
          <w:rFonts w:hint="eastAsia" w:ascii="Times New Roman" w:hAnsi="Times New Roman"/>
          <w:color w:val="FF0000"/>
          <w:sz w:val="24"/>
          <w:szCs w:val="24"/>
        </w:rPr>
        <w:t>，审批文号为</w:t>
      </w:r>
      <w:r>
        <w:rPr>
          <w:rFonts w:hint="eastAsia" w:ascii="Times New Roman" w:hAnsi="Times New Roman"/>
          <w:color w:val="FF0000"/>
          <w:kern w:val="0"/>
          <w:sz w:val="24"/>
          <w:szCs w:val="24"/>
        </w:rPr>
        <w:t>沧县环评[2019]</w:t>
      </w:r>
      <w:r>
        <w:rPr>
          <w:rFonts w:hint="eastAsia" w:ascii="Times New Roman" w:hAnsi="Times New Roman"/>
          <w:color w:val="FF0000"/>
          <w:kern w:val="0"/>
          <w:sz w:val="24"/>
          <w:szCs w:val="24"/>
          <w:lang w:val="en-US" w:eastAsia="zh-CN"/>
        </w:rPr>
        <w:t>895</w:t>
      </w:r>
      <w:r>
        <w:rPr>
          <w:rFonts w:hint="eastAsia" w:ascii="Times New Roman" w:hAnsi="Times New Roman"/>
          <w:color w:val="FF0000"/>
          <w:kern w:val="0"/>
          <w:sz w:val="24"/>
          <w:szCs w:val="24"/>
        </w:rPr>
        <w:t>号。</w:t>
      </w:r>
    </w:p>
    <w:p>
      <w:pPr>
        <w:pStyle w:val="6"/>
        <w:rPr>
          <w:rFonts w:ascii="Times New Roman" w:hAnsi="Times New Roman"/>
          <w:color w:val="auto"/>
        </w:rPr>
      </w:pPr>
      <w:bookmarkStart w:id="190" w:name="_Toc17668"/>
      <w:bookmarkStart w:id="191" w:name="_Toc29925"/>
      <w:bookmarkStart w:id="192" w:name="_Toc21874"/>
      <w:bookmarkStart w:id="193" w:name="_Toc2514"/>
      <w:r>
        <w:rPr>
          <w:rFonts w:ascii="Times New Roman" w:hAnsi="Times New Roman"/>
          <w:color w:val="auto"/>
        </w:rPr>
        <w:t>4.3 审批意见落实情况</w:t>
      </w:r>
      <w:bookmarkEnd w:id="190"/>
      <w:bookmarkEnd w:id="191"/>
      <w:bookmarkEnd w:id="192"/>
      <w:bookmarkEnd w:id="193"/>
    </w:p>
    <w:p>
      <w:pPr>
        <w:spacing w:line="360" w:lineRule="auto"/>
        <w:ind w:firstLine="480" w:firstLineChars="200"/>
        <w:rPr>
          <w:rFonts w:ascii="Times New Roman" w:hAnsi="Times New Roman"/>
          <w:b/>
          <w:color w:val="auto"/>
          <w:sz w:val="24"/>
          <w:szCs w:val="24"/>
        </w:rPr>
      </w:pPr>
      <w:bookmarkStart w:id="194" w:name="_Toc497001471"/>
      <w:r>
        <w:rPr>
          <w:rFonts w:ascii="Times New Roman" w:hAnsi="Times New Roman"/>
          <w:color w:val="auto"/>
          <w:sz w:val="24"/>
          <w:szCs w:val="24"/>
        </w:rPr>
        <w:t>审批意见落实情况详见下表4-1。</w:t>
      </w:r>
      <w:bookmarkEnd w:id="194"/>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表4-1  环评审批意见落实情况</w:t>
      </w:r>
    </w:p>
    <w:tbl>
      <w:tblPr>
        <w:tblStyle w:val="18"/>
        <w:tblW w:w="87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749"/>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pStyle w:val="5"/>
              <w:rPr>
                <w:rFonts w:ascii="Times New Roman" w:hAnsi="Times New Roman"/>
                <w:color w:val="auto"/>
                <w:spacing w:val="-10"/>
                <w:sz w:val="21"/>
                <w:szCs w:val="21"/>
              </w:rPr>
            </w:pPr>
            <w:bookmarkStart w:id="195" w:name="_Toc26778"/>
            <w:r>
              <w:rPr>
                <w:rFonts w:ascii="Times New Roman" w:hAnsi="Times New Roman"/>
                <w:color w:val="auto"/>
                <w:sz w:val="21"/>
                <w:szCs w:val="21"/>
              </w:rPr>
              <w:br w:type="page"/>
            </w:r>
            <w:r>
              <w:rPr>
                <w:rFonts w:ascii="Times New Roman" w:hAnsi="Times New Roman"/>
                <w:color w:val="auto"/>
                <w:spacing w:val="-10"/>
                <w:sz w:val="21"/>
                <w:szCs w:val="21"/>
              </w:rPr>
              <w:t>序号</w:t>
            </w:r>
          </w:p>
        </w:tc>
        <w:tc>
          <w:tcPr>
            <w:tcW w:w="5749"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审批意见内容</w:t>
            </w:r>
          </w:p>
        </w:tc>
        <w:tc>
          <w:tcPr>
            <w:tcW w:w="2497"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ascii="Times New Roman" w:hAnsi="Times New Roman"/>
                <w:color w:val="auto"/>
                <w:spacing w:val="-10"/>
                <w:szCs w:val="21"/>
              </w:rPr>
              <w:t>1</w:t>
            </w:r>
          </w:p>
        </w:tc>
        <w:tc>
          <w:tcPr>
            <w:tcW w:w="5749" w:type="dxa"/>
            <w:tcBorders>
              <w:tl2br w:val="nil"/>
              <w:tr2bl w:val="nil"/>
            </w:tcBorders>
            <w:vAlign w:val="center"/>
          </w:tcPr>
          <w:p>
            <w:pPr>
              <w:spacing w:line="360" w:lineRule="atLeast"/>
              <w:rPr>
                <w:rFonts w:hint="eastAsia" w:ascii="Times New Roman" w:hAnsi="Times New Roman" w:eastAsia="宋体"/>
                <w:color w:val="auto"/>
                <w:szCs w:val="21"/>
                <w:lang w:eastAsia="zh-CN"/>
              </w:rPr>
            </w:pPr>
            <w:r>
              <w:rPr>
                <w:rFonts w:ascii="Times New Roman" w:hAnsi="Times New Roman"/>
                <w:color w:val="auto"/>
                <w:szCs w:val="21"/>
              </w:rPr>
              <w:t>建设单位：</w:t>
            </w:r>
            <w:r>
              <w:rPr>
                <w:rFonts w:hint="eastAsia" w:ascii="Times New Roman" w:hAnsi="Times New Roman"/>
                <w:color w:val="auto"/>
                <w:kern w:val="0"/>
                <w:szCs w:val="21"/>
                <w:lang w:eastAsia="zh-CN"/>
              </w:rPr>
              <w:t>河北商合管件制造有限公司</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ascii="Times New Roman" w:hAnsi="Times New Roman"/>
                <w:color w:val="auto"/>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2</w:t>
            </w:r>
          </w:p>
        </w:tc>
        <w:tc>
          <w:tcPr>
            <w:tcW w:w="5749" w:type="dxa"/>
            <w:tcBorders>
              <w:tl2br w:val="nil"/>
              <w:tr2bl w:val="nil"/>
            </w:tcBorders>
            <w:vAlign w:val="center"/>
          </w:tcPr>
          <w:p>
            <w:pPr>
              <w:spacing w:line="360" w:lineRule="atLeast"/>
              <w:rPr>
                <w:rFonts w:hint="eastAsia" w:ascii="Times New Roman" w:hAnsi="Times New Roman" w:eastAsia="宋体"/>
                <w:color w:val="auto"/>
                <w:szCs w:val="21"/>
                <w:lang w:eastAsia="zh-CN"/>
              </w:rPr>
            </w:pPr>
            <w:r>
              <w:rPr>
                <w:rFonts w:hint="eastAsia" w:ascii="Times New Roman" w:hAnsi="Times New Roman"/>
                <w:color w:val="auto"/>
                <w:szCs w:val="21"/>
              </w:rPr>
              <w:t>建设地点：</w:t>
            </w:r>
            <w:r>
              <w:rPr>
                <w:rFonts w:hint="eastAsia" w:ascii="Times New Roman" w:hAnsi="Times New Roman"/>
                <w:color w:val="auto"/>
                <w:kern w:val="0"/>
                <w:szCs w:val="21"/>
                <w:lang w:eastAsia="zh-CN"/>
              </w:rPr>
              <w:t>盐山盐山镇范庄村</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6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3</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总投资</w:t>
            </w:r>
            <w:r>
              <w:rPr>
                <w:rFonts w:hint="eastAsia" w:ascii="Times New Roman" w:hAnsi="Times New Roman"/>
                <w:color w:val="auto"/>
                <w:szCs w:val="21"/>
                <w:lang w:val="en-US" w:eastAsia="zh-CN"/>
              </w:rPr>
              <w:t>190</w:t>
            </w:r>
            <w:r>
              <w:rPr>
                <w:rFonts w:hint="eastAsia" w:ascii="Times New Roman" w:hAnsi="Times New Roman"/>
                <w:color w:val="auto"/>
                <w:szCs w:val="21"/>
              </w:rPr>
              <w:t>万元，项目占地</w:t>
            </w:r>
            <w:r>
              <w:rPr>
                <w:rFonts w:hint="eastAsia" w:ascii="Times New Roman" w:hAnsi="Times New Roman"/>
                <w:color w:val="auto"/>
                <w:szCs w:val="21"/>
                <w:lang w:val="en-US" w:eastAsia="zh-CN"/>
              </w:rPr>
              <w:t>933.3</w:t>
            </w:r>
            <w:r>
              <w:rPr>
                <w:rFonts w:hint="eastAsia" w:ascii="Times New Roman" w:hAnsi="Times New Roman"/>
                <w:color w:val="auto"/>
                <w:szCs w:val="21"/>
              </w:rPr>
              <w:t>平方米，</w:t>
            </w:r>
            <w:r>
              <w:rPr>
                <w:rFonts w:hint="eastAsia" w:ascii="Times New Roman" w:hAnsi="Times New Roman"/>
                <w:color w:val="auto"/>
                <w:szCs w:val="21"/>
                <w:lang w:eastAsia="zh-CN"/>
              </w:rPr>
              <w:t>年产标准件600件</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4</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项目</w:t>
            </w:r>
            <w:r>
              <w:rPr>
                <w:rFonts w:hint="eastAsia" w:ascii="Times New Roman" w:hAnsi="Times New Roman"/>
                <w:color w:val="auto"/>
                <w:szCs w:val="21"/>
                <w:lang w:val="en-US" w:eastAsia="zh-CN"/>
              </w:rPr>
              <w:t>无废气产生</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565"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5</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项目</w:t>
            </w:r>
            <w:r>
              <w:rPr>
                <w:rFonts w:hint="eastAsia" w:ascii="Times New Roman" w:hAnsi="Times New Roman"/>
                <w:color w:val="auto"/>
                <w:szCs w:val="21"/>
                <w:lang w:val="en-US" w:eastAsia="zh-CN"/>
              </w:rPr>
              <w:t>无生产废水产生</w:t>
            </w:r>
            <w:r>
              <w:rPr>
                <w:rFonts w:hint="eastAsia" w:ascii="Times New Roman" w:hAnsi="Times New Roman"/>
                <w:color w:val="auto"/>
                <w:szCs w:val="21"/>
              </w:rPr>
              <w:t>；废水主要为职工生活污水，</w:t>
            </w:r>
            <w:r>
              <w:rPr>
                <w:rFonts w:hint="eastAsia" w:ascii="Times New Roman" w:hAnsi="Times New Roman"/>
                <w:color w:val="auto"/>
                <w:szCs w:val="21"/>
                <w:lang w:eastAsia="zh-CN"/>
              </w:rPr>
              <w:t>生活废水主要为盥洗水，厂区泼洒抑尘</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05"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6</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对噪声源采取有效措施，确保噪声达到《工业企业厂界环境噪声排放标准》（GB12348-2008）2类</w:t>
            </w:r>
            <w:r>
              <w:rPr>
                <w:rFonts w:hint="eastAsia" w:ascii="Times New Roman" w:hAnsi="Times New Roman"/>
                <w:color w:val="auto"/>
                <w:szCs w:val="21"/>
                <w:lang w:val="en-US" w:eastAsia="zh-CN"/>
              </w:rPr>
              <w:t>和4类</w:t>
            </w:r>
            <w:r>
              <w:rPr>
                <w:rFonts w:hint="eastAsia" w:ascii="Times New Roman" w:hAnsi="Times New Roman"/>
                <w:color w:val="auto"/>
                <w:szCs w:val="21"/>
              </w:rPr>
              <w:t>标准要求。</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7</w:t>
            </w:r>
          </w:p>
        </w:tc>
        <w:tc>
          <w:tcPr>
            <w:tcW w:w="5749" w:type="dxa"/>
            <w:tcBorders>
              <w:tl2br w:val="nil"/>
              <w:tr2bl w:val="nil"/>
            </w:tcBorders>
            <w:vAlign w:val="center"/>
          </w:tcPr>
          <w:p>
            <w:pPr>
              <w:pStyle w:val="2"/>
              <w:ind w:firstLine="0" w:firstLineChars="0"/>
              <w:rPr>
                <w:rFonts w:ascii="Times New Roman" w:hAnsi="Times New Roman"/>
                <w:color w:val="auto"/>
                <w:szCs w:val="21"/>
              </w:rPr>
            </w:pPr>
            <w:r>
              <w:rPr>
                <w:rFonts w:hint="eastAsia" w:ascii="Times New Roman" w:hAnsi="Times New Roman"/>
                <w:color w:val="auto"/>
                <w:szCs w:val="21"/>
              </w:rPr>
              <w:t>固废执行《一般工业固体废物贮存、处置场污染控制标准》(GB18599-2001) 及其修改单中的相关规定，固废按照报告表提出的措施全部综合利用或妥善处置。</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bl>
    <w:p>
      <w:pPr>
        <w:rPr>
          <w:rFonts w:ascii="Times New Roman" w:hAnsi="Times New Roman"/>
          <w:color w:val="FF0000"/>
        </w:rPr>
      </w:pPr>
      <w:bookmarkStart w:id="196" w:name="_Toc26718"/>
      <w:bookmarkStart w:id="197" w:name="_Toc5137"/>
      <w:bookmarkStart w:id="198" w:name="_Toc21101"/>
      <w:r>
        <w:rPr>
          <w:rFonts w:ascii="Times New Roman" w:hAnsi="Times New Roman"/>
          <w:color w:val="FF0000"/>
        </w:rPr>
        <w:br w:type="page"/>
      </w:r>
    </w:p>
    <w:p>
      <w:pPr>
        <w:pStyle w:val="5"/>
        <w:rPr>
          <w:rFonts w:ascii="Times New Roman" w:hAnsi="Times New Roman"/>
          <w:color w:val="auto"/>
        </w:rPr>
      </w:pPr>
      <w:r>
        <w:rPr>
          <w:rFonts w:ascii="Times New Roman" w:hAnsi="Times New Roman"/>
          <w:color w:val="auto"/>
        </w:rPr>
        <w:t>5 验收评价标准</w:t>
      </w:r>
      <w:bookmarkEnd w:id="195"/>
      <w:bookmarkEnd w:id="196"/>
      <w:bookmarkEnd w:id="197"/>
      <w:bookmarkEnd w:id="198"/>
    </w:p>
    <w:p>
      <w:pPr>
        <w:pStyle w:val="6"/>
        <w:rPr>
          <w:rFonts w:ascii="Times New Roman" w:hAnsi="Times New Roman"/>
          <w:color w:val="auto"/>
        </w:rPr>
      </w:pPr>
      <w:bookmarkStart w:id="199" w:name="_Toc24574"/>
      <w:bookmarkStart w:id="200" w:name="_Toc21113"/>
      <w:bookmarkStart w:id="201" w:name="_Toc14578"/>
      <w:bookmarkStart w:id="202" w:name="_Toc26520"/>
      <w:r>
        <w:rPr>
          <w:rFonts w:ascii="Times New Roman" w:hAnsi="Times New Roman"/>
          <w:color w:val="auto"/>
        </w:rPr>
        <w:t>5.1 污染物排放标准</w:t>
      </w:r>
      <w:bookmarkEnd w:id="199"/>
      <w:bookmarkEnd w:id="200"/>
      <w:bookmarkEnd w:id="201"/>
      <w:bookmarkEnd w:id="202"/>
    </w:p>
    <w:p>
      <w:pPr>
        <w:pStyle w:val="7"/>
        <w:rPr>
          <w:rFonts w:ascii="Times New Roman" w:hAnsi="Times New Roman"/>
          <w:color w:val="auto"/>
        </w:rPr>
      </w:pPr>
      <w:bookmarkStart w:id="203" w:name="_Toc497001474"/>
      <w:bookmarkStart w:id="204" w:name="_Toc496979035"/>
      <w:bookmarkStart w:id="205" w:name="_Toc11116"/>
      <w:bookmarkStart w:id="206" w:name="_Toc8485"/>
      <w:bookmarkStart w:id="207" w:name="_Toc14938"/>
      <w:bookmarkStart w:id="208" w:name="_Toc23230"/>
      <w:r>
        <w:rPr>
          <w:rFonts w:ascii="Times New Roman" w:hAnsi="Times New Roman"/>
          <w:color w:val="auto"/>
        </w:rPr>
        <w:t xml:space="preserve">5.1.1 </w:t>
      </w:r>
      <w:bookmarkEnd w:id="203"/>
      <w:bookmarkEnd w:id="204"/>
      <w:r>
        <w:rPr>
          <w:rFonts w:ascii="Times New Roman" w:hAnsi="Times New Roman"/>
          <w:color w:val="auto"/>
        </w:rPr>
        <w:t>废气</w:t>
      </w:r>
      <w:bookmarkEnd w:id="205"/>
      <w:bookmarkEnd w:id="206"/>
      <w:bookmarkEnd w:id="207"/>
      <w:bookmarkEnd w:id="208"/>
    </w:p>
    <w:p>
      <w:pPr>
        <w:pStyle w:val="7"/>
        <w:rPr>
          <w:rFonts w:hint="eastAsia" w:ascii="Times New Roman" w:hAnsi="Times New Roman"/>
          <w:color w:val="auto"/>
          <w:lang w:val="en-US" w:eastAsia="zh-CN"/>
        </w:rPr>
      </w:pPr>
      <w:bookmarkStart w:id="209" w:name="_Toc20210"/>
      <w:bookmarkStart w:id="210" w:name="_Toc5747"/>
      <w:bookmarkStart w:id="211" w:name="_Toc12396"/>
      <w:bookmarkStart w:id="212" w:name="_Toc496979037"/>
      <w:bookmarkStart w:id="213" w:name="_Toc27196"/>
      <w:bookmarkStart w:id="214" w:name="_Toc497001476"/>
      <w:r>
        <w:rPr>
          <w:rFonts w:hint="eastAsia" w:ascii="Times New Roman" w:hAnsi="Times New Roman"/>
          <w:color w:val="auto"/>
          <w:lang w:val="en-US" w:eastAsia="zh-CN"/>
        </w:rPr>
        <w:t>项目无废气产生。</w:t>
      </w:r>
    </w:p>
    <w:p>
      <w:pPr>
        <w:pStyle w:val="7"/>
        <w:rPr>
          <w:rFonts w:ascii="Times New Roman" w:hAnsi="Times New Roman"/>
          <w:color w:val="auto"/>
        </w:rPr>
      </w:pPr>
      <w:r>
        <w:rPr>
          <w:rFonts w:ascii="Times New Roman" w:hAnsi="Times New Roman"/>
          <w:color w:val="auto"/>
        </w:rPr>
        <w:t>5.1.2噪声</w:t>
      </w:r>
      <w:bookmarkEnd w:id="209"/>
      <w:bookmarkEnd w:id="210"/>
      <w:bookmarkEnd w:id="211"/>
      <w:bookmarkEnd w:id="212"/>
      <w:bookmarkEnd w:id="213"/>
      <w:bookmarkEnd w:id="214"/>
    </w:p>
    <w:p>
      <w:pPr>
        <w:spacing w:line="480" w:lineRule="atLeast"/>
        <w:ind w:firstLine="480" w:firstLineChars="200"/>
        <w:rPr>
          <w:rFonts w:ascii="Times New Roman" w:hAnsi="Times New Roman"/>
          <w:b/>
          <w:color w:val="auto"/>
          <w:sz w:val="24"/>
          <w:szCs w:val="24"/>
        </w:rPr>
      </w:pPr>
      <w:r>
        <w:rPr>
          <w:rFonts w:ascii="Times New Roman" w:hAnsi="Times New Roman"/>
          <w:color w:val="auto"/>
          <w:sz w:val="24"/>
          <w:szCs w:val="24"/>
        </w:rPr>
        <w:t>运营期噪声执行《工业企业厂界环境噪声排放标准》（GB12348-2008）</w:t>
      </w:r>
      <w:r>
        <w:rPr>
          <w:rFonts w:hint="eastAsia" w:ascii="Times New Roman" w:hAnsi="Times New Roman"/>
          <w:color w:val="auto"/>
          <w:sz w:val="24"/>
          <w:szCs w:val="24"/>
        </w:rPr>
        <w:t>2类</w:t>
      </w:r>
      <w:r>
        <w:rPr>
          <w:rFonts w:ascii="Times New Roman" w:hAnsi="Times New Roman"/>
          <w:color w:val="auto"/>
          <w:sz w:val="24"/>
          <w:szCs w:val="24"/>
        </w:rPr>
        <w:t>标准要求。标准值见表5-</w:t>
      </w:r>
      <w:r>
        <w:rPr>
          <w:rFonts w:hint="eastAsia" w:ascii="Times New Roman" w:hAnsi="Times New Roman"/>
          <w:color w:val="auto"/>
          <w:sz w:val="24"/>
          <w:szCs w:val="24"/>
          <w:lang w:val="en-US" w:eastAsia="zh-CN"/>
        </w:rPr>
        <w:t>1</w:t>
      </w:r>
      <w:r>
        <w:rPr>
          <w:rFonts w:ascii="Times New Roman" w:hAnsi="Times New Roman"/>
          <w:color w:val="auto"/>
          <w:sz w:val="24"/>
          <w:szCs w:val="24"/>
        </w:rPr>
        <w:t>。</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w:t>
      </w:r>
      <w:r>
        <w:rPr>
          <w:rFonts w:hint="eastAsia" w:ascii="Times New Roman" w:hAnsi="Times New Roman"/>
          <w:b/>
          <w:color w:val="auto"/>
          <w:sz w:val="24"/>
          <w:szCs w:val="24"/>
          <w:lang w:val="en-US" w:eastAsia="zh-CN"/>
        </w:rPr>
        <w:t>1</w:t>
      </w:r>
      <w:r>
        <w:rPr>
          <w:rFonts w:ascii="Times New Roman" w:hAnsi="Times New Roman"/>
          <w:b/>
          <w:color w:val="auto"/>
          <w:sz w:val="24"/>
          <w:szCs w:val="24"/>
        </w:rPr>
        <w:t xml:space="preserve">  厂界噪声排放标准</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1590" w:type="dxa"/>
            <w:vAlign w:val="center"/>
          </w:tcPr>
          <w:p>
            <w:pPr>
              <w:pStyle w:val="14"/>
              <w:spacing w:line="300" w:lineRule="exact"/>
              <w:ind w:firstLineChars="0"/>
              <w:jc w:val="center"/>
              <w:rPr>
                <w:rFonts w:ascii="Times New Roman"/>
                <w:b/>
                <w:bCs/>
                <w:color w:val="auto"/>
              </w:rPr>
            </w:pPr>
            <w:r>
              <w:rPr>
                <w:rFonts w:ascii="Times New Roman"/>
                <w:b/>
                <w:bCs/>
                <w:color w:val="auto"/>
              </w:rPr>
              <w:t>环境要素</w:t>
            </w:r>
          </w:p>
        </w:tc>
        <w:tc>
          <w:tcPr>
            <w:tcW w:w="2101" w:type="dxa"/>
            <w:vAlign w:val="center"/>
          </w:tcPr>
          <w:p>
            <w:pPr>
              <w:pStyle w:val="14"/>
              <w:spacing w:line="300" w:lineRule="exact"/>
              <w:jc w:val="center"/>
              <w:rPr>
                <w:rFonts w:ascii="Times New Roman"/>
                <w:b/>
                <w:bCs/>
                <w:color w:val="auto"/>
              </w:rPr>
            </w:pPr>
            <w:r>
              <w:rPr>
                <w:rFonts w:ascii="Times New Roman"/>
                <w:b/>
                <w:bCs/>
                <w:color w:val="auto"/>
              </w:rPr>
              <w:t>类别</w:t>
            </w:r>
          </w:p>
        </w:tc>
        <w:tc>
          <w:tcPr>
            <w:tcW w:w="1405" w:type="dxa"/>
            <w:vAlign w:val="center"/>
          </w:tcPr>
          <w:p>
            <w:pPr>
              <w:pStyle w:val="14"/>
              <w:spacing w:line="300" w:lineRule="exact"/>
              <w:jc w:val="center"/>
              <w:rPr>
                <w:rFonts w:ascii="Times New Roman"/>
                <w:b/>
                <w:bCs/>
                <w:color w:val="auto"/>
              </w:rPr>
            </w:pPr>
            <w:r>
              <w:rPr>
                <w:rFonts w:ascii="Times New Roman"/>
                <w:b/>
                <w:bCs/>
                <w:color w:val="auto"/>
              </w:rPr>
              <w:t>时段</w:t>
            </w:r>
          </w:p>
        </w:tc>
        <w:tc>
          <w:tcPr>
            <w:tcW w:w="1843" w:type="dxa"/>
            <w:vAlign w:val="center"/>
          </w:tcPr>
          <w:p>
            <w:pPr>
              <w:pStyle w:val="14"/>
              <w:spacing w:line="300" w:lineRule="exact"/>
              <w:jc w:val="center"/>
              <w:rPr>
                <w:rFonts w:ascii="Times New Roman"/>
                <w:b/>
                <w:bCs/>
                <w:color w:val="auto"/>
              </w:rPr>
            </w:pPr>
            <w:r>
              <w:rPr>
                <w:rFonts w:ascii="Times New Roman"/>
                <w:b/>
                <w:bCs/>
                <w:color w:val="auto"/>
              </w:rPr>
              <w:t>标准值</w:t>
            </w:r>
          </w:p>
        </w:tc>
        <w:tc>
          <w:tcPr>
            <w:tcW w:w="1565" w:type="dxa"/>
            <w:vAlign w:val="center"/>
          </w:tcPr>
          <w:p>
            <w:pPr>
              <w:pStyle w:val="14"/>
              <w:spacing w:line="300" w:lineRule="exact"/>
              <w:jc w:val="center"/>
              <w:rPr>
                <w:rFonts w:ascii="Times New Roman"/>
                <w:b/>
                <w:bCs/>
                <w:color w:val="auto"/>
              </w:rPr>
            </w:pPr>
            <w:r>
              <w:rPr>
                <w:rFonts w:ascii="Times New Roman"/>
                <w:b/>
                <w:bCs/>
                <w:color w:val="auto"/>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8" w:hRule="atLeast"/>
          <w:jc w:val="center"/>
        </w:trPr>
        <w:tc>
          <w:tcPr>
            <w:tcW w:w="1590" w:type="dxa"/>
            <w:vMerge w:val="restart"/>
            <w:vAlign w:val="center"/>
          </w:tcPr>
          <w:p>
            <w:pPr>
              <w:spacing w:line="300" w:lineRule="exact"/>
              <w:jc w:val="center"/>
              <w:rPr>
                <w:rFonts w:ascii="Times New Roman" w:hAnsi="Times New Roman"/>
                <w:color w:val="auto"/>
                <w:szCs w:val="21"/>
              </w:rPr>
            </w:pPr>
            <w:r>
              <w:rPr>
                <w:rFonts w:ascii="Times New Roman" w:hAnsi="Times New Roman"/>
                <w:bCs/>
                <w:color w:val="auto"/>
                <w:szCs w:val="21"/>
              </w:rPr>
              <w:t>噪声</w:t>
            </w:r>
          </w:p>
        </w:tc>
        <w:tc>
          <w:tcPr>
            <w:tcW w:w="2101" w:type="dxa"/>
            <w:vMerge w:val="restart"/>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2</w:t>
            </w:r>
            <w:r>
              <w:rPr>
                <w:rFonts w:ascii="Times New Roman" w:hAnsi="Times New Roman"/>
                <w:color w:val="auto"/>
                <w:szCs w:val="21"/>
              </w:rPr>
              <w:t>类</w:t>
            </w:r>
          </w:p>
        </w:tc>
        <w:tc>
          <w:tcPr>
            <w:tcW w:w="1405" w:type="dxa"/>
            <w:vAlign w:val="center"/>
          </w:tcPr>
          <w:p>
            <w:pPr>
              <w:spacing w:line="300" w:lineRule="exact"/>
              <w:jc w:val="center"/>
              <w:rPr>
                <w:rFonts w:ascii="Times New Roman" w:hAnsi="Times New Roman"/>
                <w:color w:val="auto"/>
                <w:szCs w:val="21"/>
              </w:rPr>
            </w:pPr>
            <w:r>
              <w:rPr>
                <w:rFonts w:ascii="Times New Roman" w:hAnsi="Times New Roman"/>
                <w:color w:val="auto"/>
                <w:szCs w:val="21"/>
              </w:rPr>
              <w:t>昼间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60</w:t>
            </w:r>
          </w:p>
        </w:tc>
        <w:tc>
          <w:tcPr>
            <w:tcW w:w="1565" w:type="dxa"/>
            <w:vAlign w:val="center"/>
          </w:tcPr>
          <w:p>
            <w:pPr>
              <w:spacing w:line="300" w:lineRule="exact"/>
              <w:jc w:val="center"/>
              <w:rPr>
                <w:rFonts w:ascii="Times New Roman" w:hAnsi="Times New Roman"/>
                <w:color w:val="auto"/>
                <w:szCs w:val="21"/>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1590" w:type="dxa"/>
            <w:vMerge w:val="continue"/>
            <w:tcBorders/>
            <w:vAlign w:val="center"/>
          </w:tcPr>
          <w:p>
            <w:pPr>
              <w:spacing w:line="300" w:lineRule="exact"/>
              <w:jc w:val="center"/>
              <w:rPr>
                <w:rFonts w:ascii="Times New Roman" w:hAnsi="Times New Roman"/>
                <w:bCs/>
                <w:color w:val="auto"/>
                <w:szCs w:val="21"/>
              </w:rPr>
            </w:pPr>
          </w:p>
        </w:tc>
        <w:tc>
          <w:tcPr>
            <w:tcW w:w="2101" w:type="dxa"/>
            <w:vMerge w:val="continue"/>
            <w:vAlign w:val="center"/>
          </w:tcPr>
          <w:p>
            <w:pPr>
              <w:spacing w:line="300" w:lineRule="exact"/>
              <w:jc w:val="center"/>
              <w:rPr>
                <w:rFonts w:ascii="Times New Roman" w:hAnsi="Times New Roman"/>
                <w:color w:val="auto"/>
                <w:szCs w:val="21"/>
              </w:rPr>
            </w:pPr>
          </w:p>
        </w:tc>
        <w:tc>
          <w:tcPr>
            <w:tcW w:w="1405"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夜间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50</w:t>
            </w:r>
          </w:p>
        </w:tc>
        <w:tc>
          <w:tcPr>
            <w:tcW w:w="1565" w:type="dxa"/>
            <w:vAlign w:val="center"/>
          </w:tcPr>
          <w:p>
            <w:pPr>
              <w:spacing w:line="300" w:lineRule="exact"/>
              <w:jc w:val="center"/>
              <w:rPr>
                <w:rFonts w:ascii="Times New Roman" w:hAnsi="Times New Roman"/>
                <w:bCs/>
                <w:color w:val="auto"/>
                <w:szCs w:val="21"/>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1590" w:type="dxa"/>
            <w:vMerge w:val="continue"/>
            <w:tcBorders/>
            <w:vAlign w:val="center"/>
          </w:tcPr>
          <w:p>
            <w:pPr>
              <w:spacing w:line="300" w:lineRule="exact"/>
              <w:jc w:val="center"/>
              <w:rPr>
                <w:rFonts w:ascii="Times New Roman" w:hAnsi="Times New Roman"/>
                <w:bCs/>
                <w:color w:val="auto"/>
                <w:szCs w:val="21"/>
              </w:rPr>
            </w:pPr>
          </w:p>
        </w:tc>
        <w:tc>
          <w:tcPr>
            <w:tcW w:w="2101" w:type="dxa"/>
            <w:vMerge w:val="restart"/>
            <w:vAlign w:val="center"/>
          </w:tcPr>
          <w:p>
            <w:pPr>
              <w:spacing w:line="300" w:lineRule="exact"/>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4类</w:t>
            </w:r>
          </w:p>
        </w:tc>
        <w:tc>
          <w:tcPr>
            <w:tcW w:w="1405" w:type="dxa"/>
            <w:vAlign w:val="center"/>
          </w:tcPr>
          <w:p>
            <w:pPr>
              <w:spacing w:line="300" w:lineRule="exact"/>
              <w:jc w:val="center"/>
              <w:rPr>
                <w:rFonts w:hint="eastAsia" w:ascii="Times New Roman" w:hAnsi="Times New Roman" w:eastAsia="宋体" w:cs="Times New Roman"/>
                <w:color w:val="auto"/>
                <w:kern w:val="2"/>
                <w:sz w:val="21"/>
                <w:szCs w:val="21"/>
                <w:lang w:val="en-US" w:eastAsia="zh-CN" w:bidi="ar-SA"/>
              </w:rPr>
            </w:pPr>
            <w:r>
              <w:rPr>
                <w:rFonts w:ascii="Times New Roman" w:hAnsi="Times New Roman"/>
                <w:color w:val="auto"/>
                <w:szCs w:val="21"/>
              </w:rPr>
              <w:t>昼间</w:t>
            </w:r>
          </w:p>
        </w:tc>
        <w:tc>
          <w:tcPr>
            <w:tcW w:w="1843" w:type="dxa"/>
            <w:vAlign w:val="center"/>
          </w:tcPr>
          <w:p>
            <w:pPr>
              <w:spacing w:line="300" w:lineRule="exact"/>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70</w:t>
            </w:r>
          </w:p>
        </w:tc>
        <w:tc>
          <w:tcPr>
            <w:tcW w:w="1565" w:type="dxa"/>
            <w:vAlign w:val="center"/>
          </w:tcPr>
          <w:p>
            <w:pPr>
              <w:spacing w:line="300" w:lineRule="exact"/>
              <w:jc w:val="center"/>
              <w:rPr>
                <w:rFonts w:ascii="Times New Roman" w:hAnsi="Times New Roman" w:eastAsia="宋体" w:cs="Times New Roman"/>
                <w:color w:val="auto"/>
                <w:kern w:val="2"/>
                <w:sz w:val="21"/>
                <w:szCs w:val="21"/>
                <w:lang w:val="en-US" w:eastAsia="zh-CN" w:bidi="ar-SA"/>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1590" w:type="dxa"/>
            <w:vMerge w:val="continue"/>
            <w:tcBorders/>
            <w:vAlign w:val="center"/>
          </w:tcPr>
          <w:p>
            <w:pPr>
              <w:spacing w:line="300" w:lineRule="exact"/>
              <w:jc w:val="center"/>
              <w:rPr>
                <w:rFonts w:ascii="Times New Roman" w:hAnsi="Times New Roman"/>
                <w:bCs/>
                <w:color w:val="auto"/>
                <w:szCs w:val="21"/>
              </w:rPr>
            </w:pPr>
          </w:p>
        </w:tc>
        <w:tc>
          <w:tcPr>
            <w:tcW w:w="2101" w:type="dxa"/>
            <w:vMerge w:val="continue"/>
            <w:tcBorders/>
            <w:vAlign w:val="center"/>
          </w:tcPr>
          <w:p>
            <w:pPr>
              <w:spacing w:line="300" w:lineRule="exact"/>
              <w:jc w:val="center"/>
              <w:rPr>
                <w:rFonts w:ascii="Times New Roman" w:hAnsi="Times New Roman"/>
                <w:color w:val="auto"/>
                <w:szCs w:val="21"/>
              </w:rPr>
            </w:pPr>
          </w:p>
        </w:tc>
        <w:tc>
          <w:tcPr>
            <w:tcW w:w="1405" w:type="dxa"/>
            <w:vAlign w:val="center"/>
          </w:tcPr>
          <w:p>
            <w:pPr>
              <w:spacing w:line="300" w:lineRule="exact"/>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color w:val="auto"/>
                <w:szCs w:val="21"/>
              </w:rPr>
              <w:t>夜间</w:t>
            </w:r>
          </w:p>
        </w:tc>
        <w:tc>
          <w:tcPr>
            <w:tcW w:w="1843" w:type="dxa"/>
            <w:vAlign w:val="center"/>
          </w:tcPr>
          <w:p>
            <w:pPr>
              <w:spacing w:line="300" w:lineRule="exact"/>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55</w:t>
            </w:r>
          </w:p>
        </w:tc>
        <w:tc>
          <w:tcPr>
            <w:tcW w:w="1565" w:type="dxa"/>
            <w:vAlign w:val="center"/>
          </w:tcPr>
          <w:p>
            <w:pPr>
              <w:spacing w:line="300" w:lineRule="exact"/>
              <w:jc w:val="center"/>
              <w:rPr>
                <w:rFonts w:ascii="Times New Roman" w:hAnsi="Times New Roman" w:eastAsia="宋体" w:cs="Times New Roman"/>
                <w:bCs/>
                <w:color w:val="auto"/>
                <w:kern w:val="2"/>
                <w:sz w:val="21"/>
                <w:szCs w:val="21"/>
                <w:lang w:val="en-US" w:eastAsia="zh-CN" w:bidi="ar-SA"/>
              </w:rPr>
            </w:pPr>
            <w:r>
              <w:rPr>
                <w:rFonts w:ascii="Times New Roman" w:hAnsi="Times New Roman"/>
                <w:bCs/>
                <w:color w:val="auto"/>
                <w:szCs w:val="21"/>
              </w:rPr>
              <w:t>dB(A)</w:t>
            </w:r>
          </w:p>
        </w:tc>
      </w:tr>
    </w:tbl>
    <w:p>
      <w:pPr>
        <w:pStyle w:val="6"/>
        <w:rPr>
          <w:rFonts w:ascii="Times New Roman" w:hAnsi="Times New Roman"/>
          <w:color w:val="auto"/>
        </w:rPr>
      </w:pPr>
      <w:bookmarkStart w:id="215" w:name="_Toc16968"/>
      <w:bookmarkStart w:id="216" w:name="_Toc497001478"/>
      <w:bookmarkStart w:id="217" w:name="_Toc18932"/>
      <w:bookmarkStart w:id="218" w:name="_Toc14398"/>
      <w:bookmarkStart w:id="219" w:name="_Toc26833"/>
      <w:r>
        <w:rPr>
          <w:rFonts w:ascii="Times New Roman" w:hAnsi="Times New Roman"/>
          <w:color w:val="auto"/>
        </w:rPr>
        <w:t xml:space="preserve">5.2 </w:t>
      </w:r>
      <w:r>
        <w:rPr>
          <w:rFonts w:hint="eastAsia" w:ascii="Times New Roman" w:hAnsi="Times New Roman"/>
          <w:color w:val="auto"/>
        </w:rPr>
        <w:t>总量控制指标</w:t>
      </w:r>
      <w:bookmarkEnd w:id="215"/>
      <w:bookmarkEnd w:id="216"/>
      <w:bookmarkEnd w:id="217"/>
      <w:bookmarkEnd w:id="218"/>
    </w:p>
    <w:p>
      <w:pPr>
        <w:spacing w:line="480" w:lineRule="atLeast"/>
        <w:ind w:firstLine="480" w:firstLineChars="200"/>
        <w:rPr>
          <w:rFonts w:ascii="Times New Roman" w:hAnsi="Times New Roman"/>
          <w:color w:val="auto"/>
        </w:rPr>
      </w:pPr>
      <w:r>
        <w:rPr>
          <w:rFonts w:hint="eastAsia" w:ascii="Times New Roman" w:hAnsi="Times New Roman"/>
          <w:color w:val="auto"/>
          <w:sz w:val="24"/>
        </w:rPr>
        <w:t>根据《“十二五”主要污染物总量控制规划编制指南》的通知（环办[2010] 97号），“十二五”期间国家对COD、氨氮、氮氧化物、SO</w:t>
      </w:r>
      <w:r>
        <w:rPr>
          <w:rFonts w:hint="eastAsia" w:ascii="Times New Roman" w:hAnsi="Times New Roman"/>
          <w:color w:val="auto"/>
          <w:sz w:val="24"/>
          <w:vertAlign w:val="subscript"/>
        </w:rPr>
        <w:t>2</w:t>
      </w:r>
      <w:r>
        <w:rPr>
          <w:rFonts w:hint="eastAsia" w:ascii="Times New Roman" w:hAnsi="Times New Roman"/>
          <w:color w:val="auto"/>
          <w:sz w:val="24"/>
        </w:rPr>
        <w:t>四种主要污染物实施国家总量控制。结合本项目特点及排污特征，本项目不涉及COD、氨氮、氮氧化物、SO</w:t>
      </w:r>
      <w:r>
        <w:rPr>
          <w:rFonts w:hint="eastAsia" w:ascii="Times New Roman" w:hAnsi="Times New Roman"/>
          <w:color w:val="auto"/>
          <w:sz w:val="24"/>
          <w:vertAlign w:val="subscript"/>
        </w:rPr>
        <w:t>2</w:t>
      </w:r>
      <w:r>
        <w:rPr>
          <w:rFonts w:hint="eastAsia" w:ascii="Times New Roman" w:hAnsi="Times New Roman"/>
          <w:color w:val="auto"/>
          <w:sz w:val="24"/>
        </w:rPr>
        <w:t>的排放</w:t>
      </w:r>
    </w:p>
    <w:p>
      <w:pPr>
        <w:pStyle w:val="5"/>
        <w:spacing w:before="156" w:beforeLines="50"/>
        <w:rPr>
          <w:rFonts w:ascii="Times New Roman" w:hAnsi="Times New Roman"/>
          <w:color w:val="auto"/>
        </w:rPr>
      </w:pPr>
      <w:r>
        <w:rPr>
          <w:rFonts w:ascii="Times New Roman" w:hAnsi="Times New Roman"/>
          <w:color w:val="FF0000"/>
        </w:rPr>
        <w:br w:type="page"/>
      </w:r>
      <w:bookmarkStart w:id="220" w:name="_Toc15883"/>
      <w:bookmarkStart w:id="221" w:name="_Toc12999"/>
      <w:bookmarkStart w:id="222" w:name="_Toc23350"/>
      <w:r>
        <w:rPr>
          <w:rFonts w:ascii="Times New Roman" w:hAnsi="Times New Roman"/>
          <w:color w:val="auto"/>
        </w:rPr>
        <w:t>6 质量保障措施和检测分析方法</w:t>
      </w:r>
      <w:bookmarkEnd w:id="219"/>
      <w:bookmarkEnd w:id="220"/>
      <w:bookmarkEnd w:id="221"/>
      <w:bookmarkEnd w:id="222"/>
    </w:p>
    <w:p>
      <w:pPr>
        <w:spacing w:line="44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河北中寰检测服务</w:t>
      </w:r>
      <w:r>
        <w:rPr>
          <w:rFonts w:ascii="Times New Roman" w:hAnsi="Times New Roman"/>
          <w:color w:val="auto"/>
          <w:sz w:val="24"/>
          <w:szCs w:val="24"/>
        </w:rPr>
        <w:t>有限公司于20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4</w:t>
      </w:r>
      <w:r>
        <w:rPr>
          <w:rFonts w:ascii="Times New Roman" w:hAnsi="Times New Roman"/>
          <w:color w:val="auto"/>
          <w:sz w:val="24"/>
          <w:szCs w:val="24"/>
        </w:rPr>
        <w:t>月2</w:t>
      </w:r>
      <w:r>
        <w:rPr>
          <w:rFonts w:hint="eastAsia" w:ascii="Times New Roman" w:hAnsi="Times New Roman"/>
          <w:color w:val="auto"/>
          <w:sz w:val="24"/>
          <w:szCs w:val="24"/>
          <w:lang w:val="en-US" w:eastAsia="zh-CN"/>
        </w:rPr>
        <w:t>1</w:t>
      </w:r>
      <w:r>
        <w:rPr>
          <w:rFonts w:ascii="Times New Roman" w:hAnsi="Times New Roman"/>
          <w:color w:val="auto"/>
          <w:sz w:val="24"/>
          <w:szCs w:val="24"/>
        </w:rPr>
        <w:t>日至</w:t>
      </w:r>
      <w:r>
        <w:rPr>
          <w:rFonts w:hint="eastAsia" w:ascii="Times New Roman" w:hAnsi="Times New Roman"/>
          <w:color w:val="auto"/>
          <w:sz w:val="24"/>
          <w:szCs w:val="24"/>
          <w:lang w:val="en-US" w:eastAsia="zh-CN"/>
        </w:rPr>
        <w:t>22</w:t>
      </w:r>
      <w:r>
        <w:rPr>
          <w:rFonts w:ascii="Times New Roman" w:hAnsi="Times New Roman"/>
          <w:color w:val="auto"/>
          <w:sz w:val="24"/>
          <w:szCs w:val="24"/>
        </w:rPr>
        <w:t>日进行了竣工验收检测并出具检测报告。</w:t>
      </w:r>
      <w:r>
        <w:rPr>
          <w:rFonts w:hint="eastAsia" w:ascii="Times New Roman" w:hAnsi="Times New Roman"/>
          <w:color w:val="auto"/>
          <w:sz w:val="24"/>
          <w:szCs w:val="24"/>
        </w:rPr>
        <w:t>检</w:t>
      </w:r>
      <w:r>
        <w:rPr>
          <w:rFonts w:ascii="Times New Roman" w:hAnsi="Times New Roman"/>
          <w:color w:val="auto"/>
          <w:sz w:val="24"/>
          <w:szCs w:val="24"/>
        </w:rPr>
        <w:t>测期间，企业生产负荷为</w:t>
      </w:r>
      <w:r>
        <w:rPr>
          <w:rFonts w:hint="eastAsia" w:ascii="Times New Roman" w:hAnsi="Times New Roman"/>
          <w:color w:val="auto"/>
          <w:sz w:val="24"/>
          <w:szCs w:val="24"/>
          <w:lang w:val="en-US" w:eastAsia="zh-CN"/>
        </w:rPr>
        <w:t>90</w:t>
      </w:r>
      <w:r>
        <w:rPr>
          <w:rFonts w:ascii="Times New Roman" w:hAnsi="Times New Roman"/>
          <w:color w:val="auto"/>
          <w:sz w:val="24"/>
          <w:szCs w:val="24"/>
        </w:rPr>
        <w:t>%，满足环保验收检测技术要求。</w:t>
      </w:r>
    </w:p>
    <w:p>
      <w:pPr>
        <w:pStyle w:val="6"/>
        <w:spacing w:before="156" w:beforeLines="50"/>
        <w:rPr>
          <w:rFonts w:ascii="Times New Roman" w:hAnsi="Times New Roman"/>
          <w:color w:val="auto"/>
        </w:rPr>
      </w:pPr>
      <w:bookmarkStart w:id="223" w:name="_Toc18061"/>
      <w:bookmarkStart w:id="224" w:name="_Toc3129"/>
      <w:bookmarkStart w:id="225" w:name="_Toc28206"/>
      <w:bookmarkStart w:id="226" w:name="_Toc11783"/>
      <w:r>
        <w:rPr>
          <w:rFonts w:ascii="Times New Roman" w:hAnsi="Times New Roman"/>
          <w:color w:val="auto"/>
        </w:rPr>
        <w:t>6.1 质量保障体系</w:t>
      </w:r>
      <w:bookmarkEnd w:id="223"/>
      <w:bookmarkEnd w:id="224"/>
      <w:bookmarkEnd w:id="225"/>
      <w:bookmarkEnd w:id="226"/>
    </w:p>
    <w:p>
      <w:pPr>
        <w:spacing w:line="440" w:lineRule="atLeast"/>
        <w:ind w:firstLine="480" w:firstLineChars="200"/>
        <w:rPr>
          <w:rFonts w:ascii="Times New Roman" w:hAnsi="Times New Roman"/>
          <w:color w:val="auto"/>
          <w:sz w:val="24"/>
        </w:rPr>
      </w:pPr>
      <w:bookmarkStart w:id="227" w:name="_Toc349134675"/>
      <w:r>
        <w:rPr>
          <w:rFonts w:ascii="Times New Roman" w:hAnsi="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ascii="Times New Roman" w:hAnsi="Times New Roman"/>
          <w:color w:val="auto"/>
          <w:sz w:val="24"/>
        </w:rPr>
      </w:pPr>
      <w:r>
        <w:rPr>
          <w:rFonts w:ascii="Times New Roman" w:hAnsi="Times New Roman"/>
          <w:color w:val="auto"/>
          <w:sz w:val="24"/>
        </w:rPr>
        <w:t>（2）参加本项目检测人员均持证上岗，检测仪器均经计量部门检定合格并在有效期内。</w:t>
      </w:r>
    </w:p>
    <w:p>
      <w:pPr>
        <w:spacing w:line="440" w:lineRule="atLeast"/>
        <w:ind w:firstLine="480" w:firstLineChars="200"/>
        <w:rPr>
          <w:rFonts w:ascii="Times New Roman" w:hAnsi="Times New Roman"/>
          <w:color w:val="auto"/>
          <w:sz w:val="24"/>
        </w:rPr>
      </w:pPr>
      <w:r>
        <w:rPr>
          <w:rFonts w:ascii="Times New Roman" w:hAnsi="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4</w:t>
      </w:r>
      <w:r>
        <w:rPr>
          <w:rFonts w:ascii="Times New Roman" w:hAnsi="Times New Roman"/>
          <w:color w:val="auto"/>
          <w:sz w:val="24"/>
        </w:rPr>
        <w:t>）声级计测量前后均经标准声源校准且合格，测试时无雨雪，无雷电，风速小于5.0m/s。</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5</w:t>
      </w:r>
      <w:r>
        <w:rPr>
          <w:rFonts w:ascii="Times New Roman" w:hAnsi="Times New Roman"/>
          <w:color w:val="auto"/>
          <w:sz w:val="24"/>
        </w:rPr>
        <w:t>）检测数据严格执行三级审核制度。</w:t>
      </w:r>
      <w:bookmarkEnd w:id="227"/>
    </w:p>
    <w:p>
      <w:pPr>
        <w:pStyle w:val="6"/>
        <w:spacing w:before="156" w:beforeLines="50"/>
        <w:rPr>
          <w:rFonts w:ascii="Times New Roman" w:hAnsi="Times New Roman"/>
          <w:color w:val="auto"/>
        </w:rPr>
      </w:pPr>
      <w:bookmarkStart w:id="228" w:name="_Toc8128"/>
      <w:bookmarkStart w:id="229" w:name="_Toc32733"/>
      <w:bookmarkStart w:id="230" w:name="_Toc3676"/>
      <w:bookmarkStart w:id="231" w:name="_Toc1077"/>
      <w:r>
        <w:rPr>
          <w:rFonts w:ascii="Times New Roman" w:hAnsi="Times New Roman"/>
          <w:color w:val="auto"/>
        </w:rPr>
        <w:t>6.2 检测分析方法</w:t>
      </w:r>
      <w:bookmarkEnd w:id="228"/>
      <w:bookmarkEnd w:id="229"/>
      <w:bookmarkEnd w:id="230"/>
      <w:bookmarkEnd w:id="231"/>
    </w:p>
    <w:p>
      <w:pPr>
        <w:pStyle w:val="7"/>
        <w:spacing w:after="156" w:afterLines="50"/>
        <w:rPr>
          <w:rFonts w:ascii="Times New Roman" w:hAnsi="Times New Roman"/>
          <w:color w:val="auto"/>
        </w:rPr>
      </w:pPr>
      <w:bookmarkStart w:id="232" w:name="_Toc497001482"/>
      <w:bookmarkStart w:id="233" w:name="_Toc32561"/>
      <w:bookmarkStart w:id="234" w:name="_Toc6111"/>
      <w:bookmarkStart w:id="235" w:name="_Toc4984"/>
      <w:bookmarkStart w:id="236" w:name="_Toc25471"/>
      <w:r>
        <w:rPr>
          <w:rFonts w:ascii="Times New Roman" w:hAnsi="Times New Roman"/>
          <w:color w:val="auto"/>
        </w:rPr>
        <w:t>6.2.1 检测点位、项目及频次</w:t>
      </w:r>
      <w:bookmarkEnd w:id="232"/>
      <w:bookmarkEnd w:id="233"/>
      <w:bookmarkEnd w:id="234"/>
      <w:bookmarkEnd w:id="235"/>
      <w:bookmarkEnd w:id="236"/>
    </w:p>
    <w:p>
      <w:pPr>
        <w:spacing w:before="156" w:beforeLines="50" w:after="156" w:afterLines="50" w:line="400" w:lineRule="atLeast"/>
        <w:ind w:firstLine="480" w:firstLineChars="200"/>
        <w:rPr>
          <w:rFonts w:ascii="Times New Roman" w:hAnsi="Times New Roman"/>
          <w:color w:val="auto"/>
          <w:sz w:val="24"/>
        </w:rPr>
      </w:pPr>
      <w:r>
        <w:rPr>
          <w:rFonts w:ascii="Times New Roman" w:hAnsi="Times New Roman"/>
          <w:color w:val="auto"/>
          <w:sz w:val="24"/>
        </w:rPr>
        <w:t>①噪声检测</w:t>
      </w:r>
    </w:p>
    <w:p>
      <w:pPr>
        <w:spacing w:line="400" w:lineRule="atLeast"/>
        <w:ind w:firstLine="482" w:firstLineChars="200"/>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lang w:val="en-US" w:eastAsia="zh-CN"/>
        </w:rPr>
        <w:t>1</w:t>
      </w:r>
      <w:r>
        <w:rPr>
          <w:rFonts w:ascii="Times New Roman" w:hAnsi="Times New Roman"/>
          <w:b/>
          <w:color w:val="auto"/>
          <w:sz w:val="24"/>
        </w:rPr>
        <w:t xml:space="preserve">  噪声检测点位、项目及频次</w:t>
      </w:r>
    </w:p>
    <w:tbl>
      <w:tblPr>
        <w:tblStyle w:val="18"/>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328"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764"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240" w:lineRule="exact"/>
              <w:ind w:left="-107" w:leftChars="-51" w:right="-107" w:rightChars="-51"/>
              <w:jc w:val="center"/>
              <w:rPr>
                <w:rFonts w:ascii="Times New Roman" w:hAnsi="Times New Roman"/>
                <w:color w:val="auto"/>
              </w:rPr>
            </w:pPr>
            <w:r>
              <w:rPr>
                <w:rFonts w:ascii="Times New Roman" w:hAnsi="Times New Roman"/>
                <w:color w:val="auto"/>
              </w:rPr>
              <w:t>厂界四周每个方向各布1个监测点</w:t>
            </w:r>
          </w:p>
        </w:tc>
        <w:tc>
          <w:tcPr>
            <w:tcW w:w="2328" w:type="dxa"/>
            <w:vAlign w:val="center"/>
          </w:tcPr>
          <w:p>
            <w:pPr>
              <w:ind w:right="139" w:rightChars="66"/>
              <w:jc w:val="center"/>
              <w:rPr>
                <w:rFonts w:ascii="Times New Roman" w:hAnsi="Times New Roman"/>
                <w:color w:val="auto"/>
                <w:szCs w:val="21"/>
              </w:rPr>
            </w:pPr>
            <w:r>
              <w:rPr>
                <w:rFonts w:ascii="Times New Roman" w:hAnsi="Times New Roman"/>
                <w:color w:val="auto"/>
                <w:szCs w:val="21"/>
              </w:rPr>
              <w:t>连续等效A声级，Leq(A)</w:t>
            </w:r>
          </w:p>
        </w:tc>
        <w:tc>
          <w:tcPr>
            <w:tcW w:w="2764" w:type="dxa"/>
            <w:vAlign w:val="center"/>
          </w:tcPr>
          <w:p>
            <w:pPr>
              <w:spacing w:line="360" w:lineRule="auto"/>
              <w:ind w:left="-107" w:leftChars="-51" w:right="-120" w:rightChars="-57"/>
              <w:jc w:val="center"/>
              <w:rPr>
                <w:rFonts w:ascii="Times New Roman" w:hAnsi="Times New Roman"/>
                <w:color w:val="auto"/>
                <w:kern w:val="0"/>
                <w:szCs w:val="21"/>
              </w:rPr>
            </w:pPr>
            <w:r>
              <w:rPr>
                <w:rFonts w:ascii="Times New Roman" w:hAnsi="Times New Roman"/>
                <w:color w:val="auto"/>
                <w:kern w:val="0"/>
                <w:szCs w:val="21"/>
              </w:rPr>
              <w:t>检测2天，昼</w:t>
            </w:r>
            <w:r>
              <w:rPr>
                <w:rFonts w:hint="eastAsia" w:ascii="Times New Roman" w:hAnsi="Times New Roman"/>
                <w:color w:val="auto"/>
                <w:kern w:val="0"/>
                <w:szCs w:val="21"/>
              </w:rPr>
              <w:t>间</w:t>
            </w:r>
            <w:r>
              <w:rPr>
                <w:rFonts w:ascii="Times New Roman" w:hAnsi="Times New Roman"/>
                <w:color w:val="auto"/>
                <w:kern w:val="0"/>
                <w:szCs w:val="21"/>
              </w:rPr>
              <w:t>检测1次</w:t>
            </w:r>
          </w:p>
        </w:tc>
      </w:tr>
    </w:tbl>
    <w:p>
      <w:pPr>
        <w:pStyle w:val="7"/>
        <w:spacing w:before="156" w:beforeLines="50" w:after="156" w:afterLines="50"/>
        <w:rPr>
          <w:rFonts w:ascii="Times New Roman" w:hAnsi="Times New Roman"/>
          <w:color w:val="FF0000"/>
        </w:rPr>
      </w:pPr>
      <w:bookmarkStart w:id="237" w:name="_Toc26262"/>
      <w:bookmarkStart w:id="238" w:name="_Toc17272"/>
      <w:bookmarkStart w:id="239" w:name="_Toc20260"/>
      <w:bookmarkStart w:id="240" w:name="_Toc497001483"/>
      <w:bookmarkStart w:id="241" w:name="_Toc8755"/>
      <w:r>
        <w:rPr>
          <w:rFonts w:ascii="Times New Roman" w:hAnsi="Times New Roman"/>
          <w:color w:val="FF0000"/>
        </w:rPr>
        <w:t>6.2.2检测分析方法</w:t>
      </w:r>
      <w:bookmarkEnd w:id="237"/>
      <w:bookmarkEnd w:id="238"/>
      <w:bookmarkEnd w:id="239"/>
      <w:bookmarkEnd w:id="240"/>
      <w:bookmarkEnd w:id="241"/>
    </w:p>
    <w:p>
      <w:pPr>
        <w:spacing w:before="156" w:beforeLines="50" w:after="156" w:afterLines="50" w:line="400" w:lineRule="atLeast"/>
        <w:jc w:val="center"/>
        <w:rPr>
          <w:rFonts w:ascii="Times New Roman" w:hAnsi="Times New Roman"/>
          <w:b/>
          <w:color w:val="FF0000"/>
          <w:sz w:val="24"/>
        </w:rPr>
      </w:pPr>
      <w:r>
        <w:rPr>
          <w:rFonts w:ascii="Times New Roman" w:hAnsi="Times New Roman"/>
          <w:b/>
          <w:color w:val="FF0000"/>
          <w:sz w:val="24"/>
        </w:rPr>
        <w:t>表6-</w:t>
      </w:r>
      <w:r>
        <w:rPr>
          <w:rFonts w:hint="eastAsia" w:ascii="Times New Roman" w:hAnsi="Times New Roman"/>
          <w:b/>
          <w:color w:val="FF0000"/>
          <w:sz w:val="24"/>
          <w:lang w:val="en-US" w:eastAsia="zh-CN"/>
        </w:rPr>
        <w:t>2</w:t>
      </w:r>
      <w:r>
        <w:rPr>
          <w:rFonts w:ascii="Times New Roman" w:hAnsi="Times New Roman"/>
          <w:b/>
          <w:color w:val="FF0000"/>
          <w:sz w:val="24"/>
        </w:rPr>
        <w:tab/>
      </w:r>
      <w:r>
        <w:rPr>
          <w:rFonts w:ascii="Times New Roman" w:hAnsi="Times New Roman"/>
          <w:b/>
          <w:color w:val="FF0000"/>
          <w:sz w:val="24"/>
        </w:rPr>
        <w:t xml:space="preserve"> 厂界噪声检测分析方法及所用仪器</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1133" w:type="dxa"/>
            <w:vAlign w:val="center"/>
          </w:tcPr>
          <w:p>
            <w:pPr>
              <w:spacing w:line="360" w:lineRule="auto"/>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检测项目</w:t>
            </w:r>
          </w:p>
        </w:tc>
        <w:tc>
          <w:tcPr>
            <w:tcW w:w="3544" w:type="dxa"/>
            <w:vAlign w:val="center"/>
          </w:tcPr>
          <w:p>
            <w:pPr>
              <w:spacing w:line="360" w:lineRule="auto"/>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检测方法及方法来源</w:t>
            </w:r>
          </w:p>
        </w:tc>
        <w:tc>
          <w:tcPr>
            <w:tcW w:w="3827" w:type="dxa"/>
            <w:vAlign w:val="center"/>
          </w:tcPr>
          <w:p>
            <w:pPr>
              <w:spacing w:line="360" w:lineRule="auto"/>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1133" w:type="dxa"/>
            <w:vAlign w:val="center"/>
          </w:tcPr>
          <w:p>
            <w:pPr>
              <w:snapToGrid w:val="0"/>
              <w:jc w:val="center"/>
              <w:rPr>
                <w:rFonts w:hint="default" w:ascii="Times New Roman" w:hAnsi="Times New Roman" w:cs="Times New Roman"/>
                <w:color w:val="FF0000"/>
                <w:sz w:val="21"/>
                <w:szCs w:val="21"/>
              </w:rPr>
            </w:pPr>
            <w:r>
              <w:rPr>
                <w:rFonts w:hint="default" w:ascii="Times New Roman" w:hAnsi="Times New Roman" w:cs="Times New Roman"/>
                <w:color w:val="FF0000"/>
                <w:sz w:val="21"/>
                <w:szCs w:val="21"/>
              </w:rPr>
              <w:t>厂界噪声</w:t>
            </w:r>
          </w:p>
        </w:tc>
        <w:tc>
          <w:tcPr>
            <w:tcW w:w="3544" w:type="dxa"/>
            <w:vAlign w:val="center"/>
          </w:tcPr>
          <w:p>
            <w:pPr>
              <w:snapToGrid w:val="0"/>
              <w:jc w:val="center"/>
              <w:rPr>
                <w:rFonts w:hint="default" w:ascii="Times New Roman" w:hAnsi="Times New Roman" w:cs="Times New Roman"/>
                <w:color w:val="FF0000"/>
                <w:sz w:val="21"/>
                <w:szCs w:val="21"/>
              </w:rPr>
            </w:pPr>
            <w:r>
              <w:rPr>
                <w:rFonts w:hint="default" w:ascii="Times New Roman" w:hAnsi="Times New Roman" w:cs="Times New Roman"/>
                <w:color w:val="FF0000"/>
                <w:sz w:val="21"/>
                <w:szCs w:val="21"/>
              </w:rPr>
              <w:t>工业企业厂界环境噪声排放标准  GB12348-2008</w:t>
            </w:r>
          </w:p>
        </w:tc>
        <w:tc>
          <w:tcPr>
            <w:tcW w:w="3827" w:type="dxa"/>
            <w:vAlign w:val="center"/>
          </w:tcPr>
          <w:p>
            <w:pPr>
              <w:adjustRightInd w:val="0"/>
              <w:jc w:val="center"/>
              <w:rPr>
                <w:rFonts w:hint="default" w:ascii="Times New Roman" w:hAnsi="Times New Roman" w:cs="Times New Roman"/>
                <w:color w:val="FF0000"/>
                <w:sz w:val="21"/>
                <w:szCs w:val="21"/>
              </w:rPr>
            </w:pPr>
            <w:r>
              <w:rPr>
                <w:rFonts w:hint="default" w:ascii="Times New Roman" w:hAnsi="Times New Roman" w:cs="Times New Roman"/>
                <w:color w:val="FF0000"/>
                <w:sz w:val="21"/>
                <w:szCs w:val="21"/>
                <w:lang w:val="en-US" w:eastAsia="zh-CN"/>
              </w:rPr>
              <w:t xml:space="preserve">AWA5688多功能声级计 </w:t>
            </w:r>
          </w:p>
          <w:p>
            <w:pPr>
              <w:adjustRightInd w:val="0"/>
              <w:jc w:val="center"/>
              <w:rPr>
                <w:rFonts w:hint="default" w:ascii="Times New Roman" w:hAnsi="Times New Roman" w:cs="Times New Roman"/>
                <w:color w:val="FF0000"/>
                <w:sz w:val="21"/>
                <w:szCs w:val="21"/>
              </w:rPr>
            </w:pPr>
            <w:r>
              <w:rPr>
                <w:rFonts w:hint="default" w:ascii="Times New Roman" w:hAnsi="Times New Roman" w:cs="Times New Roman"/>
                <w:color w:val="FF0000"/>
                <w:sz w:val="21"/>
                <w:szCs w:val="21"/>
                <w:lang w:val="en-US" w:eastAsia="zh-CN"/>
              </w:rPr>
              <w:t>YQC0</w:t>
            </w:r>
            <w:r>
              <w:rPr>
                <w:rFonts w:hint="eastAsia" w:ascii="Times New Roman" w:hAnsi="Times New Roman" w:cs="Times New Roman"/>
                <w:color w:val="FF0000"/>
                <w:sz w:val="21"/>
                <w:szCs w:val="21"/>
                <w:lang w:val="en-US" w:eastAsia="zh-CN"/>
              </w:rPr>
              <w:t>53</w:t>
            </w:r>
            <w:r>
              <w:rPr>
                <w:rFonts w:hint="default" w:ascii="Times New Roman" w:hAnsi="Times New Roman" w:cs="Times New Roman"/>
                <w:color w:val="FF0000"/>
                <w:sz w:val="21"/>
                <w:szCs w:val="21"/>
                <w:lang w:val="en-US" w:eastAsia="zh-CN"/>
              </w:rPr>
              <w:t xml:space="preserve"> </w:t>
            </w:r>
          </w:p>
        </w:tc>
      </w:tr>
    </w:tbl>
    <w:p>
      <w:pPr>
        <w:pStyle w:val="7"/>
        <w:spacing w:before="156" w:beforeLines="50" w:after="156" w:afterLines="50"/>
        <w:rPr>
          <w:rFonts w:ascii="Times New Roman" w:hAnsi="Times New Roman"/>
          <w:color w:val="auto"/>
        </w:rPr>
      </w:pPr>
      <w:bookmarkStart w:id="242" w:name="_Toc12330"/>
      <w:bookmarkStart w:id="243" w:name="_Toc19386"/>
      <w:bookmarkStart w:id="244" w:name="_Toc28512"/>
      <w:bookmarkStart w:id="245" w:name="_Toc29080"/>
      <w:r>
        <w:rPr>
          <w:rFonts w:ascii="Times New Roman" w:hAnsi="Times New Roman"/>
          <w:color w:val="auto"/>
        </w:rPr>
        <w:t>6.2.3 检测点位示意图</w:t>
      </w:r>
      <w:bookmarkEnd w:id="242"/>
      <w:bookmarkEnd w:id="243"/>
      <w:bookmarkEnd w:id="244"/>
      <w:bookmarkEnd w:id="245"/>
    </w:p>
    <w:p>
      <w:pPr>
        <w:pStyle w:val="5"/>
        <w:spacing w:line="440" w:lineRule="atLeast"/>
        <w:rPr>
          <w:rFonts w:ascii="Times New Roman" w:hAnsi="Times New Roman"/>
          <w:color w:val="FF0000"/>
        </w:rPr>
      </w:pPr>
      <w:bookmarkStart w:id="246" w:name="_Toc4189"/>
      <w:r>
        <w:drawing>
          <wp:inline distT="0" distB="0" distL="114300" distR="114300">
            <wp:extent cx="5271135" cy="4418330"/>
            <wp:effectExtent l="0" t="0" r="5715"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5271135" cy="4418330"/>
                    </a:xfrm>
                    <a:prstGeom prst="rect">
                      <a:avLst/>
                    </a:prstGeom>
                    <a:noFill/>
                    <a:ln>
                      <a:noFill/>
                    </a:ln>
                  </pic:spPr>
                </pic:pic>
              </a:graphicData>
            </a:graphic>
          </wp:inline>
        </w:drawing>
      </w: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auto"/>
        </w:rPr>
      </w:pPr>
      <w:r>
        <w:rPr>
          <w:rFonts w:ascii="Times New Roman" w:hAnsi="Times New Roman"/>
          <w:color w:val="FF0000"/>
        </w:rPr>
        <w:br w:type="page"/>
      </w:r>
      <w:bookmarkStart w:id="247" w:name="_Toc19136"/>
      <w:bookmarkStart w:id="248" w:name="_Toc22345"/>
      <w:bookmarkStart w:id="249" w:name="_Toc2862"/>
      <w:r>
        <w:rPr>
          <w:rFonts w:ascii="Times New Roman" w:hAnsi="Times New Roman"/>
          <w:color w:val="auto"/>
        </w:rPr>
        <w:t>7</w:t>
      </w:r>
      <w:r>
        <w:rPr>
          <w:rFonts w:ascii="Times New Roman" w:hAnsi="Times New Roman"/>
          <w:color w:val="auto"/>
        </w:rPr>
        <w:t xml:space="preserve"> 验收检测结果及分析</w:t>
      </w:r>
      <w:bookmarkEnd w:id="246"/>
      <w:bookmarkEnd w:id="247"/>
      <w:bookmarkEnd w:id="248"/>
      <w:bookmarkEnd w:id="249"/>
    </w:p>
    <w:p>
      <w:pPr>
        <w:pStyle w:val="6"/>
        <w:spacing w:line="440" w:lineRule="atLeast"/>
        <w:rPr>
          <w:rFonts w:ascii="Times New Roman" w:hAnsi="Times New Roman"/>
          <w:color w:val="auto"/>
        </w:rPr>
      </w:pPr>
      <w:bookmarkStart w:id="250" w:name="_Toc32720"/>
      <w:bookmarkStart w:id="251" w:name="_Toc11364"/>
      <w:bookmarkStart w:id="252" w:name="_Toc10665"/>
      <w:bookmarkStart w:id="253" w:name="_Toc20500"/>
      <w:r>
        <w:rPr>
          <w:rFonts w:ascii="Times New Roman" w:hAnsi="Times New Roman"/>
          <w:color w:val="auto"/>
        </w:rPr>
        <w:t>7.1 检测结果</w:t>
      </w:r>
      <w:bookmarkEnd w:id="250"/>
      <w:bookmarkEnd w:id="251"/>
      <w:bookmarkEnd w:id="252"/>
      <w:bookmarkEnd w:id="253"/>
    </w:p>
    <w:p>
      <w:pPr>
        <w:pStyle w:val="7"/>
        <w:spacing w:line="360" w:lineRule="auto"/>
        <w:ind w:firstLine="480" w:firstLineChars="200"/>
        <w:rPr>
          <w:rFonts w:ascii="Times New Roman" w:hAnsi="Times New Roman"/>
          <w:color w:val="auto"/>
        </w:rPr>
      </w:pPr>
      <w:bookmarkStart w:id="254" w:name="_Toc3240"/>
      <w:bookmarkStart w:id="255" w:name="_Toc8796"/>
      <w:bookmarkStart w:id="256" w:name="_Toc497001489"/>
      <w:bookmarkStart w:id="257" w:name="_Toc7541"/>
      <w:bookmarkStart w:id="258" w:name="_Toc6567"/>
      <w:r>
        <w:rPr>
          <w:rFonts w:ascii="Times New Roman" w:hAnsi="Times New Roman"/>
          <w:color w:val="auto"/>
        </w:rPr>
        <w:t>7.1.</w:t>
      </w:r>
      <w:r>
        <w:rPr>
          <w:rFonts w:hint="eastAsia" w:ascii="Times New Roman" w:hAnsi="Times New Roman"/>
          <w:color w:val="auto"/>
          <w:lang w:val="en-US" w:eastAsia="zh-CN"/>
        </w:rPr>
        <w:t>1</w:t>
      </w:r>
      <w:r>
        <w:rPr>
          <w:rFonts w:ascii="Times New Roman" w:hAnsi="Times New Roman"/>
          <w:color w:val="auto"/>
        </w:rPr>
        <w:t xml:space="preserve"> 噪声检测结果</w:t>
      </w:r>
      <w:bookmarkEnd w:id="254"/>
      <w:bookmarkEnd w:id="255"/>
      <w:bookmarkEnd w:id="256"/>
      <w:bookmarkEnd w:id="257"/>
      <w:bookmarkEnd w:id="258"/>
    </w:p>
    <w:p>
      <w:pPr>
        <w:pStyle w:val="6"/>
        <w:spacing w:before="156" w:beforeLines="50" w:line="360" w:lineRule="auto"/>
        <w:jc w:val="center"/>
        <w:rPr>
          <w:rFonts w:ascii="Times New Roman" w:hAnsi="Times New Roman"/>
          <w:color w:val="auto"/>
          <w:sz w:val="24"/>
          <w:szCs w:val="24"/>
        </w:rPr>
      </w:pPr>
      <w:r>
        <w:rPr>
          <w:rFonts w:ascii="Times New Roman" w:hAnsi="Times New Roman"/>
          <w:color w:val="auto"/>
          <w:sz w:val="24"/>
          <w:szCs w:val="24"/>
        </w:rPr>
        <w:t>表 7-</w:t>
      </w:r>
      <w:r>
        <w:rPr>
          <w:rFonts w:hint="eastAsia" w:ascii="Times New Roman" w:hAnsi="Times New Roman"/>
          <w:color w:val="auto"/>
          <w:sz w:val="24"/>
          <w:szCs w:val="24"/>
          <w:lang w:val="en-US" w:eastAsia="zh-CN"/>
        </w:rPr>
        <w:t>1</w:t>
      </w:r>
      <w:r>
        <w:rPr>
          <w:rFonts w:ascii="Times New Roman" w:hAnsi="Times New Roman"/>
          <w:color w:val="auto"/>
          <w:sz w:val="24"/>
          <w:szCs w:val="24"/>
        </w:rPr>
        <w:t xml:space="preserve"> 厂界噪声检测结果</w:t>
      </w:r>
      <w:bookmarkStart w:id="259" w:name="_Toc21685"/>
      <w:bookmarkStart w:id="260" w:name="_Toc26119"/>
      <w:bookmarkStart w:id="261" w:name="_Toc5375"/>
      <w:bookmarkStart w:id="262" w:name="_Toc5560"/>
    </w:p>
    <w:p>
      <w:pPr>
        <w:rPr>
          <w:color w:val="FF0000"/>
        </w:rPr>
      </w:pPr>
      <w:r>
        <w:drawing>
          <wp:inline distT="0" distB="0" distL="114300" distR="114300">
            <wp:extent cx="5271135" cy="4003040"/>
            <wp:effectExtent l="0" t="0" r="5715" b="165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5271135" cy="4003040"/>
                    </a:xfrm>
                    <a:prstGeom prst="rect">
                      <a:avLst/>
                    </a:prstGeom>
                    <a:noFill/>
                    <a:ln>
                      <a:noFill/>
                    </a:ln>
                  </pic:spPr>
                </pic:pic>
              </a:graphicData>
            </a:graphic>
          </wp:inline>
        </w:drawing>
      </w:r>
    </w:p>
    <w:p>
      <w:pPr>
        <w:pStyle w:val="6"/>
        <w:spacing w:before="156" w:beforeLines="50" w:line="360" w:lineRule="auto"/>
        <w:rPr>
          <w:rFonts w:ascii="Times New Roman" w:hAnsi="Times New Roman"/>
          <w:color w:val="auto"/>
        </w:rPr>
      </w:pPr>
      <w:r>
        <w:rPr>
          <w:rFonts w:ascii="Times New Roman" w:hAnsi="Times New Roman"/>
          <w:color w:val="auto"/>
        </w:rPr>
        <w:t>7.2 检测结果分析</w:t>
      </w:r>
      <w:bookmarkEnd w:id="259"/>
      <w:bookmarkEnd w:id="260"/>
      <w:bookmarkEnd w:id="261"/>
      <w:bookmarkEnd w:id="262"/>
    </w:p>
    <w:p>
      <w:pPr>
        <w:pStyle w:val="7"/>
        <w:spacing w:line="360" w:lineRule="auto"/>
        <w:ind w:firstLine="480" w:firstLineChars="200"/>
        <w:rPr>
          <w:rFonts w:ascii="Times New Roman" w:hAnsi="Times New Roman"/>
          <w:color w:val="auto"/>
        </w:rPr>
      </w:pPr>
      <w:bookmarkStart w:id="263" w:name="_Toc9795"/>
      <w:bookmarkStart w:id="264" w:name="_Toc30843"/>
      <w:bookmarkStart w:id="265" w:name="_Toc3228"/>
      <w:bookmarkStart w:id="266" w:name="_Toc31512"/>
      <w:bookmarkStart w:id="267" w:name="_Toc497001493"/>
      <w:r>
        <w:rPr>
          <w:rFonts w:ascii="Times New Roman" w:hAnsi="Times New Roman"/>
          <w:color w:val="auto"/>
        </w:rPr>
        <w:t>7.2.1</w:t>
      </w:r>
      <w:bookmarkEnd w:id="263"/>
      <w:bookmarkEnd w:id="264"/>
      <w:bookmarkEnd w:id="265"/>
      <w:bookmarkEnd w:id="266"/>
      <w:bookmarkEnd w:id="267"/>
      <w:bookmarkStart w:id="268" w:name="_Toc5876"/>
      <w:bookmarkStart w:id="269" w:name="_Toc497001494"/>
      <w:bookmarkStart w:id="270" w:name="_Toc4404"/>
      <w:bookmarkStart w:id="271" w:name="_Toc1065"/>
      <w:bookmarkStart w:id="272" w:name="_Toc23179"/>
      <w:r>
        <w:rPr>
          <w:rFonts w:ascii="Times New Roman" w:hAnsi="Times New Roman"/>
          <w:color w:val="auto"/>
        </w:rPr>
        <w:t>噪声检测结果</w:t>
      </w:r>
      <w:bookmarkEnd w:id="268"/>
      <w:bookmarkEnd w:id="269"/>
      <w:bookmarkEnd w:id="270"/>
      <w:bookmarkEnd w:id="271"/>
      <w:bookmarkEnd w:id="272"/>
    </w:p>
    <w:p>
      <w:pPr>
        <w:spacing w:line="440" w:lineRule="exact"/>
        <w:ind w:firstLine="616" w:firstLineChars="257"/>
        <w:rPr>
          <w:rFonts w:ascii="Times New Roman" w:hAnsi="Times New Roman"/>
          <w:bCs/>
          <w:color w:val="auto"/>
          <w:sz w:val="24"/>
        </w:rPr>
      </w:pPr>
      <w:bookmarkStart w:id="273" w:name="_Toc4679"/>
      <w:bookmarkStart w:id="274" w:name="_Toc503884785"/>
      <w:bookmarkStart w:id="275" w:name="_Toc19340"/>
      <w:bookmarkStart w:id="276" w:name="_Toc3266"/>
      <w:r>
        <w:rPr>
          <w:rFonts w:ascii="Times New Roman" w:hAnsi="Times New Roman"/>
          <w:color w:val="auto"/>
          <w:kern w:val="0"/>
          <w:sz w:val="24"/>
          <w:szCs w:val="24"/>
        </w:rPr>
        <w:t>经监测，该项目厂界各监测点位昼间噪声监测结果均符合《工业企业厂界环境噪声排放标准》(GB 12348-2008)表I中2类标准。</w:t>
      </w:r>
    </w:p>
    <w:p>
      <w:pPr>
        <w:pStyle w:val="6"/>
        <w:rPr>
          <w:rFonts w:ascii="Times New Roman" w:hAnsi="Times New Roman"/>
          <w:color w:val="auto"/>
        </w:rPr>
      </w:pPr>
      <w:bookmarkStart w:id="277" w:name="_Toc2782"/>
      <w:r>
        <w:rPr>
          <w:rFonts w:ascii="Times New Roman" w:hAnsi="Times New Roman"/>
          <w:color w:val="auto"/>
        </w:rPr>
        <w:t>7.3 总量控制要求</w:t>
      </w:r>
      <w:bookmarkEnd w:id="273"/>
      <w:bookmarkEnd w:id="274"/>
      <w:bookmarkEnd w:id="275"/>
      <w:bookmarkEnd w:id="277"/>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依据企业提供的资料和证明，年工作</w:t>
      </w:r>
      <w:r>
        <w:rPr>
          <w:rFonts w:hint="eastAsia" w:ascii="Times New Roman" w:hAnsi="Times New Roman"/>
          <w:color w:val="auto"/>
          <w:kern w:val="0"/>
          <w:sz w:val="24"/>
          <w:szCs w:val="21"/>
          <w:lang w:val="en-US" w:eastAsia="zh-CN"/>
        </w:rPr>
        <w:t>300</w:t>
      </w:r>
      <w:r>
        <w:rPr>
          <w:rFonts w:hint="eastAsia" w:ascii="Times New Roman" w:hAnsi="Times New Roman"/>
          <w:color w:val="auto"/>
          <w:kern w:val="0"/>
          <w:sz w:val="24"/>
          <w:szCs w:val="21"/>
        </w:rPr>
        <w:t>天，每天工作8小时，采用1班制。年运行时间2400h，该企业污染物排放量为：</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项目无SO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和NOx排放。</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本项目无生产废水外排。满足环评中给出的总量控制指标，COD：0t/a；氨氮：0t/a；SO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：0t/a；NOx：0t/a。</w:t>
      </w:r>
    </w:p>
    <w:p>
      <w:pPr>
        <w:pStyle w:val="5"/>
        <w:spacing w:before="156" w:beforeLines="50"/>
        <w:rPr>
          <w:rFonts w:ascii="Times New Roman" w:hAnsi="Times New Roman"/>
          <w:color w:val="FF0000"/>
        </w:rPr>
      </w:pPr>
      <w:r>
        <w:rPr>
          <w:rFonts w:ascii="Times New Roman" w:hAnsi="Times New Roman"/>
          <w:color w:val="FF0000"/>
        </w:rPr>
        <w:br w:type="page"/>
      </w:r>
    </w:p>
    <w:p>
      <w:pPr>
        <w:pStyle w:val="5"/>
        <w:spacing w:before="156" w:beforeLines="50"/>
        <w:rPr>
          <w:rFonts w:ascii="Times New Roman" w:hAnsi="Times New Roman"/>
          <w:color w:val="auto"/>
        </w:rPr>
      </w:pPr>
      <w:bookmarkStart w:id="278" w:name="_Toc3191"/>
      <w:bookmarkStart w:id="279" w:name="_Toc20214"/>
      <w:bookmarkStart w:id="280" w:name="_Toc5202"/>
      <w:r>
        <w:rPr>
          <w:rFonts w:ascii="Times New Roman" w:hAnsi="Times New Roman"/>
          <w:color w:val="auto"/>
        </w:rPr>
        <w:t>8 环境管理检查</w:t>
      </w:r>
      <w:bookmarkEnd w:id="276"/>
      <w:bookmarkEnd w:id="278"/>
      <w:bookmarkEnd w:id="279"/>
      <w:bookmarkEnd w:id="280"/>
    </w:p>
    <w:p>
      <w:pPr>
        <w:pStyle w:val="6"/>
        <w:rPr>
          <w:rFonts w:ascii="Times New Roman" w:hAnsi="Times New Roman"/>
          <w:color w:val="auto"/>
        </w:rPr>
      </w:pPr>
      <w:bookmarkStart w:id="281" w:name="_Toc32093"/>
      <w:bookmarkStart w:id="282" w:name="_Toc23769"/>
      <w:bookmarkStart w:id="283" w:name="_Toc5972"/>
      <w:bookmarkStart w:id="284" w:name="_Toc17414"/>
      <w:r>
        <w:rPr>
          <w:rFonts w:ascii="Times New Roman" w:hAnsi="Times New Roman"/>
          <w:color w:val="auto"/>
        </w:rPr>
        <w:t>8.1 环保管理机构</w:t>
      </w:r>
      <w:bookmarkEnd w:id="281"/>
      <w:bookmarkEnd w:id="282"/>
      <w:bookmarkEnd w:id="283"/>
      <w:bookmarkEnd w:id="284"/>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eastAsia="zh-CN"/>
        </w:rPr>
        <w:t>河北商合管件制造有限公司</w:t>
      </w:r>
      <w:r>
        <w:rPr>
          <w:rFonts w:ascii="Times New Roman" w:hAnsi="Times New Roman"/>
          <w:color w:val="auto"/>
          <w:sz w:val="24"/>
          <w:szCs w:val="24"/>
        </w:rPr>
        <w:t>环境管理由公司</w:t>
      </w:r>
      <w:r>
        <w:rPr>
          <w:rFonts w:hint="eastAsia" w:ascii="Times New Roman" w:hAnsi="Times New Roman"/>
          <w:color w:val="auto"/>
          <w:sz w:val="24"/>
          <w:szCs w:val="24"/>
        </w:rPr>
        <w:t>专人</w:t>
      </w:r>
      <w:r>
        <w:rPr>
          <w:rFonts w:ascii="Times New Roman" w:hAnsi="Times New Roman"/>
          <w:color w:val="auto"/>
          <w:sz w:val="24"/>
          <w:szCs w:val="24"/>
        </w:rPr>
        <w:t>负责监督，负责工程环境管理工作，定期进行巡检环境影响情况，及时处理环境问题，并进行有关环境保护法规宣传工作。</w:t>
      </w:r>
    </w:p>
    <w:p>
      <w:pPr>
        <w:pStyle w:val="6"/>
        <w:rPr>
          <w:rFonts w:ascii="Times New Roman" w:hAnsi="Times New Roman"/>
          <w:color w:val="auto"/>
          <w:szCs w:val="22"/>
        </w:rPr>
      </w:pPr>
      <w:bookmarkStart w:id="285" w:name="_Toc294178076"/>
      <w:bookmarkStart w:id="286" w:name="_Toc25742"/>
      <w:bookmarkStart w:id="287" w:name="_Toc14656"/>
      <w:bookmarkStart w:id="288" w:name="_Toc29686"/>
      <w:bookmarkStart w:id="289" w:name="_Toc412705194"/>
      <w:bookmarkStart w:id="290" w:name="_Toc18585"/>
      <w:r>
        <w:rPr>
          <w:rFonts w:ascii="Times New Roman" w:hAnsi="Times New Roman"/>
          <w:color w:val="auto"/>
          <w:szCs w:val="22"/>
        </w:rPr>
        <w:t>8.2 施工期环境管理</w:t>
      </w:r>
      <w:bookmarkEnd w:id="285"/>
      <w:bookmarkEnd w:id="286"/>
      <w:bookmarkEnd w:id="287"/>
      <w:bookmarkEnd w:id="288"/>
      <w:bookmarkEnd w:id="289"/>
      <w:bookmarkEnd w:id="290"/>
    </w:p>
    <w:p>
      <w:pPr>
        <w:spacing w:line="480" w:lineRule="atLeast"/>
        <w:ind w:firstLine="480" w:firstLineChars="200"/>
        <w:rPr>
          <w:rFonts w:ascii="Times New Roman" w:hAnsi="Times New Roman"/>
          <w:color w:val="auto"/>
          <w:sz w:val="24"/>
          <w:szCs w:val="24"/>
        </w:rPr>
      </w:pPr>
      <w:bookmarkStart w:id="291" w:name="_Toc294178077"/>
      <w:bookmarkStart w:id="292" w:name="_Toc412705195"/>
      <w:r>
        <w:rPr>
          <w:rFonts w:ascii="Times New Roman" w:hAnsi="Times New Roman"/>
          <w:color w:val="auto"/>
          <w:sz w:val="24"/>
          <w:szCs w:val="24"/>
        </w:rPr>
        <w:t>本工程在施工过程中严格按设计文件施工，特别是按环保设计要求和环评文件提出的措施要求进行施工。</w:t>
      </w:r>
      <w:r>
        <w:rPr>
          <w:rFonts w:ascii="Times New Roman" w:hAnsi="Times New Roman"/>
          <w:bCs/>
          <w:color w:val="auto"/>
          <w:sz w:val="24"/>
        </w:rPr>
        <w:t>切实落实工程环保实施方案，并且做到“三同时”。</w:t>
      </w:r>
    </w:p>
    <w:p>
      <w:pPr>
        <w:pStyle w:val="6"/>
        <w:rPr>
          <w:rFonts w:ascii="Times New Roman" w:hAnsi="Times New Roman"/>
          <w:color w:val="auto"/>
        </w:rPr>
      </w:pPr>
      <w:bookmarkStart w:id="293" w:name="_Toc20253"/>
      <w:bookmarkStart w:id="294" w:name="_Toc7664"/>
      <w:bookmarkStart w:id="295" w:name="_Toc30001"/>
      <w:bookmarkStart w:id="296" w:name="_Toc463"/>
      <w:r>
        <w:rPr>
          <w:rFonts w:ascii="Times New Roman" w:hAnsi="Times New Roman"/>
          <w:color w:val="auto"/>
        </w:rPr>
        <w:t>8.3 运行期环境管理</w:t>
      </w:r>
      <w:bookmarkEnd w:id="291"/>
      <w:bookmarkEnd w:id="292"/>
      <w:bookmarkEnd w:id="293"/>
      <w:bookmarkEnd w:id="294"/>
      <w:bookmarkEnd w:id="295"/>
      <w:bookmarkEnd w:id="296"/>
    </w:p>
    <w:p>
      <w:pPr>
        <w:spacing w:line="480" w:lineRule="atLeast"/>
        <w:ind w:firstLine="480" w:firstLineChars="200"/>
        <w:rPr>
          <w:rFonts w:ascii="Times New Roman" w:hAnsi="Times New Roman"/>
          <w:color w:val="auto"/>
          <w:sz w:val="24"/>
          <w:szCs w:val="24"/>
        </w:rPr>
      </w:pPr>
      <w:bookmarkStart w:id="297" w:name="_Toc294178078"/>
      <w:r>
        <w:rPr>
          <w:rFonts w:hint="eastAsia" w:ascii="Times New Roman" w:hAnsi="Times New Roman"/>
          <w:color w:val="auto"/>
          <w:sz w:val="24"/>
          <w:szCs w:val="24"/>
          <w:lang w:eastAsia="zh-CN"/>
        </w:rPr>
        <w:t>河北商合管件制造有限公司</w:t>
      </w:r>
      <w:r>
        <w:rPr>
          <w:rFonts w:ascii="Times New Roman" w:hAnsi="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297"/>
      <w:bookmarkStart w:id="298" w:name="_Toc412705199"/>
      <w:bookmarkStart w:id="299" w:name="_Toc414220604"/>
    </w:p>
    <w:p>
      <w:pPr>
        <w:pStyle w:val="6"/>
        <w:spacing w:line="440" w:lineRule="atLeast"/>
        <w:rPr>
          <w:rFonts w:ascii="Times New Roman" w:hAnsi="Times New Roman"/>
          <w:color w:val="auto"/>
        </w:rPr>
      </w:pPr>
      <w:bookmarkStart w:id="300" w:name="_Toc8826"/>
      <w:bookmarkStart w:id="301" w:name="_Toc412705196"/>
      <w:bookmarkStart w:id="302" w:name="_Toc414220602"/>
      <w:bookmarkStart w:id="303" w:name="_Toc5087"/>
      <w:bookmarkStart w:id="304" w:name="_Toc28702"/>
      <w:bookmarkStart w:id="305" w:name="_Toc76"/>
      <w:r>
        <w:rPr>
          <w:rFonts w:ascii="Times New Roman" w:hAnsi="Times New Roman"/>
          <w:color w:val="auto"/>
        </w:rPr>
        <w:t>8.4 社会环境影响情况调查</w:t>
      </w:r>
      <w:bookmarkEnd w:id="300"/>
      <w:bookmarkEnd w:id="301"/>
      <w:bookmarkEnd w:id="302"/>
      <w:bookmarkEnd w:id="303"/>
      <w:bookmarkEnd w:id="304"/>
      <w:bookmarkEnd w:id="305"/>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经咨询当地环保主管部门，项目建设及试运行期间未发生扰民和公众投诉意见。</w:t>
      </w:r>
    </w:p>
    <w:p>
      <w:pPr>
        <w:pStyle w:val="6"/>
        <w:rPr>
          <w:rFonts w:ascii="Times New Roman" w:hAnsi="Times New Roman"/>
          <w:color w:val="auto"/>
        </w:rPr>
      </w:pPr>
      <w:bookmarkStart w:id="306" w:name="_Toc26985"/>
      <w:bookmarkStart w:id="307" w:name="_Toc7270"/>
      <w:bookmarkStart w:id="308" w:name="_Toc9083"/>
      <w:bookmarkStart w:id="309" w:name="_Toc15866"/>
      <w:r>
        <w:rPr>
          <w:rFonts w:ascii="Times New Roman" w:hAnsi="Times New Roman"/>
          <w:color w:val="auto"/>
        </w:rPr>
        <w:t>8.5 环境管理情况分析</w:t>
      </w:r>
      <w:bookmarkEnd w:id="298"/>
      <w:bookmarkEnd w:id="299"/>
      <w:bookmarkEnd w:id="306"/>
      <w:bookmarkEnd w:id="307"/>
      <w:bookmarkEnd w:id="308"/>
      <w:bookmarkEnd w:id="309"/>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建设单位设置了相应的环境管理机构，并且正常履行了运行期的环境职责，运行初期的检测工作也已经完成，后续检测计划按周期正常进行。</w:t>
      </w:r>
    </w:p>
    <w:p>
      <w:pPr>
        <w:pStyle w:val="5"/>
        <w:rPr>
          <w:rFonts w:ascii="Times New Roman" w:hAnsi="Times New Roman"/>
          <w:color w:val="auto"/>
        </w:rPr>
      </w:pPr>
      <w:bookmarkStart w:id="310" w:name="_Toc27984"/>
      <w:r>
        <w:rPr>
          <w:rFonts w:ascii="Times New Roman" w:hAnsi="Times New Roman"/>
          <w:color w:val="auto"/>
        </w:rPr>
        <w:br w:type="page"/>
      </w:r>
    </w:p>
    <w:p>
      <w:pPr>
        <w:pStyle w:val="5"/>
        <w:rPr>
          <w:rFonts w:ascii="Times New Roman" w:hAnsi="Times New Roman"/>
          <w:color w:val="auto"/>
        </w:rPr>
      </w:pPr>
      <w:bookmarkStart w:id="311" w:name="_Toc11667"/>
      <w:bookmarkStart w:id="312" w:name="_Toc18158"/>
      <w:bookmarkStart w:id="313" w:name="_Toc12811"/>
      <w:r>
        <w:rPr>
          <w:rFonts w:ascii="Times New Roman" w:hAnsi="Times New Roman"/>
          <w:color w:val="auto"/>
        </w:rPr>
        <w:t>9 结论和建议</w:t>
      </w:r>
      <w:bookmarkEnd w:id="310"/>
      <w:bookmarkEnd w:id="311"/>
      <w:bookmarkEnd w:id="312"/>
      <w:bookmarkEnd w:id="313"/>
    </w:p>
    <w:p>
      <w:pPr>
        <w:pStyle w:val="6"/>
        <w:rPr>
          <w:rFonts w:ascii="Times New Roman" w:hAnsi="Times New Roman"/>
          <w:color w:val="auto"/>
        </w:rPr>
      </w:pPr>
      <w:bookmarkStart w:id="314" w:name="_Toc8760"/>
      <w:bookmarkStart w:id="315" w:name="_Toc6888"/>
      <w:bookmarkStart w:id="316" w:name="_Toc25092"/>
      <w:bookmarkStart w:id="317" w:name="_Toc3234"/>
      <w:r>
        <w:rPr>
          <w:rFonts w:ascii="Times New Roman" w:hAnsi="Times New Roman"/>
          <w:color w:val="auto"/>
        </w:rPr>
        <w:t>9.1 验收主要结论</w:t>
      </w:r>
      <w:bookmarkEnd w:id="314"/>
      <w:bookmarkEnd w:id="315"/>
      <w:bookmarkEnd w:id="316"/>
      <w:bookmarkEnd w:id="317"/>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检测期间，该企业生产正常，设施运行稳定，生产负荷达到</w:t>
      </w:r>
      <w:r>
        <w:rPr>
          <w:rFonts w:hint="eastAsia" w:ascii="Times New Roman" w:hAnsi="Times New Roman"/>
          <w:color w:val="auto"/>
          <w:sz w:val="24"/>
          <w:szCs w:val="24"/>
          <w:lang w:val="en-US" w:eastAsia="zh-CN"/>
        </w:rPr>
        <w:t>90</w:t>
      </w:r>
      <w:r>
        <w:rPr>
          <w:rFonts w:ascii="Times New Roman" w:hAnsi="Times New Roman"/>
          <w:color w:val="auto"/>
          <w:sz w:val="24"/>
          <w:szCs w:val="24"/>
        </w:rPr>
        <w:t>%，满足验收检测技术规范要求。</w:t>
      </w:r>
    </w:p>
    <w:p>
      <w:pPr>
        <w:spacing w:line="480" w:lineRule="atLeast"/>
        <w:ind w:firstLine="480" w:firstLineChars="200"/>
        <w:rPr>
          <w:rFonts w:ascii="Times New Roman" w:hAnsi="Times New Roman"/>
          <w:color w:val="auto"/>
          <w:sz w:val="24"/>
          <w:szCs w:val="24"/>
        </w:rPr>
      </w:pPr>
      <w:bookmarkStart w:id="318" w:name="_Hlk496998889"/>
      <w:r>
        <w:rPr>
          <w:rFonts w:ascii="Times New Roman" w:hAnsi="Times New Roman"/>
          <w:color w:val="auto"/>
          <w:sz w:val="24"/>
          <w:szCs w:val="24"/>
        </w:rPr>
        <w:t>（1）废气</w:t>
      </w:r>
    </w:p>
    <w:bookmarkEnd w:id="318"/>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项目无废气产生</w:t>
      </w:r>
      <w:r>
        <w:rPr>
          <w:rFonts w:hint="eastAsia" w:ascii="Times New Roman" w:hAnsi="Times New Roman"/>
          <w:color w:val="auto"/>
          <w:sz w:val="24"/>
          <w:szCs w:val="24"/>
        </w:rPr>
        <w:t>。</w:t>
      </w:r>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（2）噪声</w:t>
      </w:r>
    </w:p>
    <w:p>
      <w:pPr>
        <w:spacing w:line="480" w:lineRule="atLeast"/>
        <w:ind w:firstLine="480" w:firstLineChars="200"/>
        <w:rPr>
          <w:rFonts w:ascii="Times New Roman" w:hAnsi="Times New Roman"/>
          <w:color w:val="auto"/>
          <w:kern w:val="0"/>
          <w:sz w:val="24"/>
          <w:szCs w:val="24"/>
        </w:rPr>
      </w:pPr>
      <w:bookmarkStart w:id="319" w:name="_Hlk496998963"/>
      <w:r>
        <w:rPr>
          <w:rFonts w:ascii="Times New Roman" w:hAnsi="Times New Roman"/>
          <w:color w:val="auto"/>
          <w:kern w:val="0"/>
          <w:sz w:val="24"/>
          <w:szCs w:val="24"/>
        </w:rPr>
        <w:t>经监测，该项目厂界各监测点位昼间噪声监测结果均符合《工业企业厂界环境噪声排放标准》(GB 12348-2008)表I中2类</w:t>
      </w:r>
      <w:r>
        <w:rPr>
          <w:rFonts w:hint="eastAsia" w:ascii="Times New Roman" w:hAnsi="Times New Roman"/>
          <w:color w:val="auto"/>
          <w:kern w:val="0"/>
          <w:sz w:val="24"/>
          <w:szCs w:val="24"/>
          <w:lang w:val="en-US" w:eastAsia="zh-CN"/>
        </w:rPr>
        <w:t>和4类</w:t>
      </w:r>
      <w:r>
        <w:rPr>
          <w:rFonts w:ascii="Times New Roman" w:hAnsi="Times New Roman"/>
          <w:color w:val="auto"/>
          <w:kern w:val="0"/>
          <w:sz w:val="24"/>
          <w:szCs w:val="24"/>
        </w:rPr>
        <w:t>标准。</w:t>
      </w:r>
    </w:p>
    <w:p>
      <w:pPr>
        <w:numPr>
          <w:ilvl w:val="0"/>
          <w:numId w:val="1"/>
        </w:num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废水</w:t>
      </w:r>
    </w:p>
    <w:bookmarkEnd w:id="319"/>
    <w:p>
      <w:pPr>
        <w:spacing w:line="480" w:lineRule="atLeast"/>
        <w:ind w:firstLine="480" w:firstLineChars="200"/>
        <w:rPr>
          <w:rFonts w:ascii="Times New Roman" w:hAnsi="Times New Roman"/>
          <w:color w:val="auto"/>
          <w:sz w:val="24"/>
          <w:szCs w:val="24"/>
        </w:rPr>
      </w:pPr>
      <w:bookmarkStart w:id="320" w:name="_Toc4537"/>
      <w:bookmarkStart w:id="321" w:name="_Toc6926"/>
      <w:r>
        <w:rPr>
          <w:rFonts w:hint="eastAsia" w:ascii="Times New Roman" w:hAnsi="Times New Roman"/>
          <w:color w:val="auto"/>
          <w:sz w:val="24"/>
          <w:szCs w:val="24"/>
        </w:rPr>
        <w:t>本项目</w:t>
      </w:r>
      <w:r>
        <w:rPr>
          <w:rFonts w:hint="eastAsia" w:ascii="Times New Roman" w:hAnsi="Times New Roman"/>
          <w:color w:val="auto"/>
          <w:sz w:val="24"/>
          <w:szCs w:val="24"/>
          <w:lang w:val="en-US" w:eastAsia="zh-CN"/>
        </w:rPr>
        <w:t>无生产废水产生</w:t>
      </w:r>
      <w:r>
        <w:rPr>
          <w:rFonts w:hint="eastAsia" w:ascii="Times New Roman" w:hAnsi="Times New Roman"/>
          <w:color w:val="auto"/>
          <w:sz w:val="24"/>
          <w:szCs w:val="24"/>
        </w:rPr>
        <w:t>；生活废水主要为盥洗水，厂区泼洒抑尘。</w:t>
      </w:r>
    </w:p>
    <w:p>
      <w:pPr>
        <w:spacing w:line="480" w:lineRule="atLeast"/>
        <w:ind w:firstLine="480" w:firstLineChars="200"/>
        <w:rPr>
          <w:rFonts w:ascii="Times New Roman" w:hAnsi="Times New Roman"/>
          <w:color w:val="auto"/>
          <w:kern w:val="0"/>
          <w:sz w:val="24"/>
          <w:szCs w:val="21"/>
        </w:rPr>
      </w:pPr>
      <w:r>
        <w:rPr>
          <w:rFonts w:ascii="Times New Roman" w:hAnsi="Times New Roman"/>
          <w:color w:val="auto"/>
          <w:kern w:val="0"/>
          <w:sz w:val="24"/>
          <w:szCs w:val="21"/>
        </w:rPr>
        <w:t>（4）固体废弃物</w:t>
      </w:r>
      <w:bookmarkEnd w:id="320"/>
      <w:bookmarkEnd w:id="321"/>
    </w:p>
    <w:p>
      <w:pPr>
        <w:pStyle w:val="7"/>
        <w:ind w:firstLine="480" w:firstLineChars="200"/>
        <w:rPr>
          <w:rFonts w:hint="eastAsia" w:ascii="Times New Roman" w:hAnsi="Times New Roman"/>
          <w:color w:val="auto"/>
        </w:rPr>
      </w:pPr>
      <w:bookmarkStart w:id="322" w:name="_Toc24650"/>
      <w:bookmarkStart w:id="323" w:name="_Toc6395"/>
      <w:bookmarkStart w:id="324" w:name="_Hlk496999304"/>
      <w:r>
        <w:rPr>
          <w:rFonts w:hint="eastAsia" w:ascii="Times New Roman" w:hAnsi="Times New Roman"/>
          <w:color w:val="auto"/>
        </w:rPr>
        <w:t>本项目固废主要为生产过程中产生下脚料，收集后外售；</w:t>
      </w:r>
    </w:p>
    <w:p>
      <w:pPr>
        <w:pStyle w:val="7"/>
        <w:ind w:firstLine="480" w:firstLineChars="200"/>
        <w:rPr>
          <w:rFonts w:hint="eastAsia" w:ascii="Times New Roman" w:hAnsi="Times New Roman"/>
          <w:color w:val="auto"/>
        </w:rPr>
      </w:pPr>
      <w:r>
        <w:rPr>
          <w:rFonts w:hint="eastAsia" w:ascii="Times New Roman" w:hAnsi="Times New Roman"/>
          <w:color w:val="auto"/>
          <w:lang w:val="en-US" w:eastAsia="zh-CN"/>
        </w:rPr>
        <w:t>检验工序产生的不合格品</w:t>
      </w:r>
      <w:r>
        <w:rPr>
          <w:rFonts w:hint="eastAsia" w:ascii="Times New Roman" w:hAnsi="Times New Roman"/>
          <w:color w:val="auto"/>
        </w:rPr>
        <w:t>，收集后外售；</w:t>
      </w:r>
    </w:p>
    <w:p>
      <w:pPr>
        <w:pStyle w:val="7"/>
        <w:ind w:firstLine="480" w:firstLineChars="200"/>
        <w:rPr>
          <w:rFonts w:hint="eastAsia" w:ascii="Times New Roman" w:hAnsi="Times New Roman"/>
          <w:color w:val="auto"/>
        </w:rPr>
      </w:pPr>
      <w:r>
        <w:rPr>
          <w:rFonts w:hint="eastAsia" w:ascii="Times New Roman" w:hAnsi="Times New Roman"/>
          <w:color w:val="auto"/>
        </w:rPr>
        <w:t>厂区职工产生生活垃圾，收集后由环卫人员运至垃圾处理厂处理。</w:t>
      </w:r>
    </w:p>
    <w:p>
      <w:pPr>
        <w:pStyle w:val="7"/>
        <w:ind w:firstLine="480" w:firstLineChars="200"/>
        <w:rPr>
          <w:rFonts w:ascii="Times New Roman" w:hAnsi="Times New Roman"/>
          <w:color w:val="auto"/>
        </w:rPr>
      </w:pPr>
      <w:r>
        <w:rPr>
          <w:rFonts w:ascii="Times New Roman" w:hAnsi="Times New Roman"/>
          <w:color w:val="auto"/>
        </w:rPr>
        <w:t>（5）结论</w:t>
      </w:r>
      <w:bookmarkEnd w:id="322"/>
      <w:bookmarkEnd w:id="323"/>
    </w:p>
    <w:p>
      <w:pPr>
        <w:spacing w:line="480" w:lineRule="atLeast"/>
        <w:ind w:firstLine="480" w:firstLineChars="200"/>
        <w:rPr>
          <w:rFonts w:ascii="Times New Roman" w:hAnsi="Times New Roman"/>
          <w:color w:val="auto"/>
          <w:sz w:val="24"/>
          <w:szCs w:val="24"/>
        </w:rPr>
      </w:pPr>
      <w:r>
        <w:rPr>
          <w:rFonts w:hint="eastAsia" w:ascii="宋体" w:hAnsi="宋体"/>
          <w:color w:val="auto"/>
          <w:sz w:val="24"/>
          <w:szCs w:val="24"/>
        </w:rPr>
        <w:t>综上分析，项目已按环评及批复要求进行了环境保护设施建设，根据监测结果可满足相关环境排放标准要求。</w:t>
      </w:r>
    </w:p>
    <w:bookmarkEnd w:id="324"/>
    <w:p>
      <w:pPr>
        <w:pStyle w:val="6"/>
        <w:spacing w:before="156" w:beforeLines="50"/>
        <w:rPr>
          <w:rFonts w:ascii="Times New Roman" w:hAnsi="Times New Roman"/>
          <w:color w:val="auto"/>
        </w:rPr>
      </w:pPr>
      <w:bookmarkStart w:id="325" w:name="_Toc30691"/>
      <w:bookmarkStart w:id="326" w:name="_Toc10340"/>
      <w:bookmarkStart w:id="327" w:name="_Toc18401"/>
      <w:bookmarkStart w:id="328" w:name="_Toc21981"/>
      <w:r>
        <w:rPr>
          <w:rFonts w:ascii="Times New Roman" w:hAnsi="Times New Roman"/>
          <w:color w:val="auto"/>
        </w:rPr>
        <w:t>9.2 建议</w:t>
      </w:r>
      <w:bookmarkEnd w:id="325"/>
      <w:bookmarkEnd w:id="326"/>
      <w:bookmarkEnd w:id="327"/>
      <w:bookmarkEnd w:id="328"/>
    </w:p>
    <w:p>
      <w:pPr>
        <w:pStyle w:val="7"/>
        <w:spacing w:line="360" w:lineRule="auto"/>
        <w:ind w:firstLine="480" w:firstLineChars="200"/>
        <w:rPr>
          <w:rFonts w:ascii="Times New Roman" w:hAnsi="Times New Roman"/>
          <w:sz w:val="24"/>
          <w:szCs w:val="24"/>
        </w:rPr>
        <w:sectPr>
          <w:pgSz w:w="11906" w:h="16838"/>
          <w:pgMar w:top="1440" w:right="1800" w:bottom="1440" w:left="1800" w:header="851" w:footer="992" w:gutter="0"/>
          <w:cols w:space="425" w:num="1"/>
          <w:docGrid w:type="lines" w:linePitch="312" w:charSpace="0"/>
        </w:sectPr>
      </w:pPr>
      <w:r>
        <w:rPr>
          <w:rFonts w:hint="eastAsia" w:ascii="Times New Roman" w:hAnsi="Times New Roman"/>
          <w:color w:val="auto"/>
        </w:rPr>
        <w:t>企业定期对设备设施进行维护、检修；定期对员工进行培训，提高员工安全环保意识。确保</w:t>
      </w:r>
      <w:r>
        <w:rPr>
          <w:rFonts w:ascii="Times New Roman" w:hAnsi="Times New Roman"/>
          <w:color w:val="auto"/>
        </w:rPr>
        <w:t>各项环保</w:t>
      </w:r>
      <w:r>
        <w:rPr>
          <w:rFonts w:hint="eastAsia" w:ascii="Times New Roman" w:hAnsi="Times New Roman"/>
          <w:color w:val="auto"/>
        </w:rPr>
        <w:t>设施正常运行</w:t>
      </w:r>
      <w:r>
        <w:rPr>
          <w:rFonts w:ascii="Times New Roman" w:hAnsi="Times New Roman"/>
          <w:color w:val="auto"/>
        </w:rPr>
        <w:t>，确保污染物达标排放。应加强环保管理，</w:t>
      </w:r>
      <w:r>
        <w:rPr>
          <w:rFonts w:hint="eastAsia" w:ascii="Times New Roman" w:hAnsi="Times New Roman"/>
          <w:color w:val="auto"/>
        </w:rPr>
        <w:t>加强巡检力度，</w:t>
      </w:r>
      <w:r>
        <w:rPr>
          <w:rFonts w:ascii="Times New Roman" w:hAnsi="Times New Roman"/>
          <w:color w:val="auto"/>
        </w:rPr>
        <w:t>发现问题及时处理。</w:t>
      </w:r>
    </w:p>
    <w:p/>
    <w:p>
      <w:pPr>
        <w:widowControl/>
        <w:spacing w:line="480" w:lineRule="atLeast"/>
        <w:jc w:val="center"/>
        <w:rPr>
          <w:rFonts w:ascii="Times New Roman" w:hAnsi="Times New Roman"/>
          <w:b/>
          <w:bCs/>
          <w:kern w:val="0"/>
          <w:sz w:val="24"/>
          <w:szCs w:val="24"/>
        </w:rPr>
      </w:pPr>
      <w:r>
        <w:rPr>
          <w:rFonts w:hint="eastAsia" w:ascii="Times New Roman" w:hAnsi="Times New Roman"/>
          <w:b/>
          <w:bCs/>
          <w:kern w:val="0"/>
          <w:sz w:val="24"/>
          <w:szCs w:val="24"/>
        </w:rPr>
        <w:t>附件1  项目环评审批意见</w:t>
      </w:r>
    </w:p>
    <w:p>
      <w:pPr>
        <w:widowControl/>
        <w:spacing w:line="480" w:lineRule="atLeast"/>
        <w:jc w:val="center"/>
        <w:rPr>
          <w:rFonts w:hint="eastAsia" w:ascii="Times New Roman" w:hAnsi="Times New Roman" w:eastAsia="宋体"/>
          <w:b/>
          <w:bCs/>
          <w:kern w:val="0"/>
          <w:sz w:val="24"/>
          <w:szCs w:val="24"/>
          <w:lang w:eastAsia="zh-CN"/>
        </w:rPr>
      </w:pPr>
      <w:bookmarkStart w:id="329" w:name="_GoBack"/>
      <w:bookmarkEnd w:id="329"/>
    </w:p>
    <w:p>
      <w:pPr>
        <w:widowControl/>
        <w:spacing w:line="440" w:lineRule="atLeast"/>
        <w:jc w:val="center"/>
        <w:rPr>
          <w:rFonts w:ascii="Times New Roman" w:hAnsi="Times New Roman"/>
          <w:b/>
          <w:bCs/>
          <w:sz w:val="24"/>
          <w:szCs w:val="24"/>
        </w:rPr>
      </w:pPr>
    </w:p>
    <w:p>
      <w:pPr>
        <w:widowControl/>
        <w:spacing w:line="440" w:lineRule="atLeast"/>
        <w:jc w:val="center"/>
        <w:rPr>
          <w:rFonts w:ascii="Times New Roman" w:hAnsi="Times New Roman"/>
          <w:b/>
          <w:bCs/>
          <w:sz w:val="24"/>
          <w:szCs w:val="24"/>
        </w:rPr>
      </w:pPr>
      <w:r>
        <w:rPr>
          <w:rFonts w:hint="eastAsia" w:ascii="Times New Roman" w:hAnsi="Times New Roman" w:eastAsia="宋体"/>
          <w:lang w:eastAsia="zh-CN"/>
        </w:rPr>
        <w:drawing>
          <wp:anchor distT="0" distB="0" distL="114300" distR="114300" simplePos="0" relativeHeight="251658240" behindDoc="0" locked="0" layoutInCell="1" allowOverlap="1">
            <wp:simplePos x="0" y="0"/>
            <wp:positionH relativeFrom="column">
              <wp:posOffset>-174625</wp:posOffset>
            </wp:positionH>
            <wp:positionV relativeFrom="paragraph">
              <wp:posOffset>261620</wp:posOffset>
            </wp:positionV>
            <wp:extent cx="5542915" cy="9083040"/>
            <wp:effectExtent l="0" t="0" r="635" b="3810"/>
            <wp:wrapNone/>
            <wp:docPr id="5" name="图片 5" descr="营业执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营业执照"/>
                    <pic:cNvPicPr>
                      <a:picLocks noChangeAspect="1"/>
                    </pic:cNvPicPr>
                  </pic:nvPicPr>
                  <pic:blipFill>
                    <a:blip r:embed="rId16"/>
                    <a:stretch>
                      <a:fillRect/>
                    </a:stretch>
                  </pic:blipFill>
                  <pic:spPr>
                    <a:xfrm>
                      <a:off x="0" y="0"/>
                      <a:ext cx="5542915" cy="9083040"/>
                    </a:xfrm>
                    <a:prstGeom prst="rect">
                      <a:avLst/>
                    </a:prstGeom>
                  </pic:spPr>
                </pic:pic>
              </a:graphicData>
            </a:graphic>
          </wp:anchor>
        </w:drawing>
      </w:r>
      <w:r>
        <w:rPr>
          <w:rFonts w:ascii="Times New Roman" w:hAnsi="Times New Roman"/>
          <w:b/>
          <w:bCs/>
          <w:sz w:val="24"/>
          <w:szCs w:val="24"/>
        </w:rPr>
        <w:t>附件2  营业执照</w:t>
      </w:r>
    </w:p>
    <w:p>
      <w:pPr>
        <w:pStyle w:val="2"/>
        <w:ind w:firstLine="0" w:firstLineChars="0"/>
        <w:jc w:val="center"/>
        <w:rPr>
          <w:rFonts w:hint="eastAsia" w:ascii="Times New Roman" w:hAnsi="Times New Roman" w:eastAsia="宋体"/>
          <w:lang w:eastAsia="zh-CN"/>
        </w:rPr>
      </w:pPr>
    </w:p>
    <w:p>
      <w:pPr>
        <w:sectPr>
          <w:headerReference r:id="rId9" w:type="default"/>
          <w:footerReference r:id="rId10" w:type="default"/>
          <w:pgSz w:w="11906" w:h="16838"/>
          <w:pgMar w:top="1440" w:right="1800" w:bottom="1440" w:left="1800" w:header="851" w:footer="992" w:gutter="0"/>
          <w:cols w:space="425" w:num="1"/>
          <w:docGrid w:type="lines" w:linePitch="312" w:charSpace="0"/>
        </w:sectPr>
      </w:pPr>
      <w:r>
        <w:rPr>
          <w:rFonts w:ascii="Times New Roman" w:hAnsi="Times New Roman"/>
          <w:b/>
          <w:bCs/>
          <w:sz w:val="28"/>
          <w:szCs w:val="28"/>
        </w:rPr>
        <w:br w:type="page"/>
      </w:r>
    </w:p>
    <w:p>
      <w:pPr>
        <w:rPr>
          <w:rFonts w:ascii="Times New Roman" w:hAnsi="Times New Roman"/>
        </w:rPr>
      </w:pPr>
      <w:r>
        <w:drawing>
          <wp:inline distT="0" distB="0" distL="114300" distR="114300">
            <wp:extent cx="10027285" cy="5976620"/>
            <wp:effectExtent l="0" t="0" r="12065"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a:stretch>
                      <a:fillRect/>
                    </a:stretch>
                  </pic:blipFill>
                  <pic:spPr>
                    <a:xfrm>
                      <a:off x="0" y="0"/>
                      <a:ext cx="10027285" cy="5976620"/>
                    </a:xfrm>
                    <a:prstGeom prst="rect">
                      <a:avLst/>
                    </a:prstGeom>
                    <a:noFill/>
                    <a:ln>
                      <a:noFill/>
                    </a:ln>
                  </pic:spPr>
                </pic:pic>
              </a:graphicData>
            </a:graphic>
          </wp:inline>
        </w:drawing>
      </w:r>
    </w:p>
    <w:sectPr>
      <w:footerReference r:id="rId11" w:type="default"/>
      <w:pgSz w:w="16838" w:h="11906" w:orient="landscape"/>
      <w:pgMar w:top="1230" w:right="306" w:bottom="1230" w:left="30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 Light">
    <w:altName w:val="Segoe Print"/>
    <w:panose1 w:val="00000000000000000000"/>
    <w:charset w:val="00"/>
    <w:family w:val="auto"/>
    <w:pitch w:val="default"/>
    <w:sig w:usb0="00000000" w:usb1="00000000" w:usb2="00000000" w:usb3="00000000" w:csb0="00000001" w:csb1="00000000"/>
  </w:font>
  <w:font w:name="AIAUJG+ËÎÌå">
    <w:altName w:val="Verdana"/>
    <w:panose1 w:val="00000000000000000000"/>
    <w:charset w:val="01"/>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auto"/>
    <w:pitch w:val="default"/>
    <w:sig w:usb0="A00006FF" w:usb1="4000205B" w:usb2="0000001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sz w:val="18"/>
        <w:szCs w:val="18"/>
      </w:rPr>
      <w:t>河北宇富石油管业有限公司年产</w:t>
    </w:r>
    <w:r>
      <w:rPr>
        <w:rFonts w:ascii="Times New Roman" w:hAnsi="Times New Roman" w:eastAsiaTheme="minorEastAsia"/>
        <w:sz w:val="18"/>
        <w:szCs w:val="18"/>
      </w:rPr>
      <w:t>800</w:t>
    </w:r>
    <w:r>
      <w:rPr>
        <w:rFonts w:hint="eastAsia" w:asciiTheme="minorEastAsia" w:hAnsiTheme="minorEastAsia" w:eastAsiaTheme="minorEastAsia" w:cstheme="minorEastAsia"/>
        <w:sz w:val="18"/>
        <w:szCs w:val="18"/>
      </w:rPr>
      <w:t>万标米增强钢丝塑料管生产项目竣工环境保护验收报告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72EB5"/>
    <w:rsid w:val="000B0F86"/>
    <w:rsid w:val="000B23BC"/>
    <w:rsid w:val="0016213F"/>
    <w:rsid w:val="0022349B"/>
    <w:rsid w:val="00282B0D"/>
    <w:rsid w:val="002E5F54"/>
    <w:rsid w:val="002F309B"/>
    <w:rsid w:val="003C3041"/>
    <w:rsid w:val="004062B7"/>
    <w:rsid w:val="00560E4E"/>
    <w:rsid w:val="00590CD2"/>
    <w:rsid w:val="006B4CFC"/>
    <w:rsid w:val="006C034B"/>
    <w:rsid w:val="00784DA5"/>
    <w:rsid w:val="007A366B"/>
    <w:rsid w:val="007B74FF"/>
    <w:rsid w:val="00A63755"/>
    <w:rsid w:val="00A81D27"/>
    <w:rsid w:val="00D4719D"/>
    <w:rsid w:val="00D91EC6"/>
    <w:rsid w:val="00DD2A1C"/>
    <w:rsid w:val="00EE2D98"/>
    <w:rsid w:val="00FA03EF"/>
    <w:rsid w:val="01154659"/>
    <w:rsid w:val="011907BE"/>
    <w:rsid w:val="015604DD"/>
    <w:rsid w:val="018822EA"/>
    <w:rsid w:val="01E479C3"/>
    <w:rsid w:val="02F406E9"/>
    <w:rsid w:val="036C74A4"/>
    <w:rsid w:val="04A85E5B"/>
    <w:rsid w:val="04F624CA"/>
    <w:rsid w:val="07A36D9B"/>
    <w:rsid w:val="07C1255B"/>
    <w:rsid w:val="08354ED4"/>
    <w:rsid w:val="090066D1"/>
    <w:rsid w:val="099A0640"/>
    <w:rsid w:val="09F03240"/>
    <w:rsid w:val="0ABA0647"/>
    <w:rsid w:val="0AE0375C"/>
    <w:rsid w:val="0B6363A9"/>
    <w:rsid w:val="0B6667F7"/>
    <w:rsid w:val="0B6B7007"/>
    <w:rsid w:val="0B832E74"/>
    <w:rsid w:val="0BAC6F41"/>
    <w:rsid w:val="0E0E70D5"/>
    <w:rsid w:val="0ECF421D"/>
    <w:rsid w:val="0F053649"/>
    <w:rsid w:val="0F143ECE"/>
    <w:rsid w:val="0F7E3710"/>
    <w:rsid w:val="0F996560"/>
    <w:rsid w:val="10440ACB"/>
    <w:rsid w:val="11185061"/>
    <w:rsid w:val="11506FB2"/>
    <w:rsid w:val="12630E7F"/>
    <w:rsid w:val="1342171C"/>
    <w:rsid w:val="139C4038"/>
    <w:rsid w:val="143A4C1A"/>
    <w:rsid w:val="14CE2B18"/>
    <w:rsid w:val="16153F55"/>
    <w:rsid w:val="1649623B"/>
    <w:rsid w:val="167F2485"/>
    <w:rsid w:val="16A727EF"/>
    <w:rsid w:val="16D07C2A"/>
    <w:rsid w:val="171B5911"/>
    <w:rsid w:val="175F3F40"/>
    <w:rsid w:val="17B152E2"/>
    <w:rsid w:val="190C4832"/>
    <w:rsid w:val="191205C7"/>
    <w:rsid w:val="197A03A3"/>
    <w:rsid w:val="197A55F9"/>
    <w:rsid w:val="19F340F0"/>
    <w:rsid w:val="1A593FED"/>
    <w:rsid w:val="1A7E60A3"/>
    <w:rsid w:val="1BB914C5"/>
    <w:rsid w:val="1C6B70E4"/>
    <w:rsid w:val="1CFD4F4A"/>
    <w:rsid w:val="1D146AB0"/>
    <w:rsid w:val="1DC34DFA"/>
    <w:rsid w:val="1DE97DB3"/>
    <w:rsid w:val="1E787C3A"/>
    <w:rsid w:val="1EFE2753"/>
    <w:rsid w:val="21895209"/>
    <w:rsid w:val="22E826B5"/>
    <w:rsid w:val="23570B8A"/>
    <w:rsid w:val="23605E8E"/>
    <w:rsid w:val="24123644"/>
    <w:rsid w:val="24461371"/>
    <w:rsid w:val="24B0718C"/>
    <w:rsid w:val="2542404B"/>
    <w:rsid w:val="26B032CD"/>
    <w:rsid w:val="2781114D"/>
    <w:rsid w:val="286D3F7B"/>
    <w:rsid w:val="28BC7A5B"/>
    <w:rsid w:val="29EF18AB"/>
    <w:rsid w:val="2A7F01EB"/>
    <w:rsid w:val="2B9A5A21"/>
    <w:rsid w:val="2BFD0EEC"/>
    <w:rsid w:val="2C914E3F"/>
    <w:rsid w:val="2CE73E1C"/>
    <w:rsid w:val="2DD91141"/>
    <w:rsid w:val="2DEB55D6"/>
    <w:rsid w:val="2E082A95"/>
    <w:rsid w:val="2E535107"/>
    <w:rsid w:val="2EF23990"/>
    <w:rsid w:val="2F2473F1"/>
    <w:rsid w:val="2F3A716E"/>
    <w:rsid w:val="2FD14B32"/>
    <w:rsid w:val="30AB7CA3"/>
    <w:rsid w:val="31210606"/>
    <w:rsid w:val="3225051F"/>
    <w:rsid w:val="322B6C9D"/>
    <w:rsid w:val="32793228"/>
    <w:rsid w:val="33032D3C"/>
    <w:rsid w:val="333831BB"/>
    <w:rsid w:val="33642F1E"/>
    <w:rsid w:val="33A46444"/>
    <w:rsid w:val="344F2D38"/>
    <w:rsid w:val="34C07B39"/>
    <w:rsid w:val="35923813"/>
    <w:rsid w:val="35A534DF"/>
    <w:rsid w:val="35BC1C41"/>
    <w:rsid w:val="35D71A7C"/>
    <w:rsid w:val="37954092"/>
    <w:rsid w:val="37A44B25"/>
    <w:rsid w:val="387859EC"/>
    <w:rsid w:val="3884358F"/>
    <w:rsid w:val="38BF20A9"/>
    <w:rsid w:val="39F138C5"/>
    <w:rsid w:val="3A063711"/>
    <w:rsid w:val="3A914940"/>
    <w:rsid w:val="3B8A1DF8"/>
    <w:rsid w:val="3BB31EF2"/>
    <w:rsid w:val="3BD02128"/>
    <w:rsid w:val="3C774790"/>
    <w:rsid w:val="3C7E652C"/>
    <w:rsid w:val="3C8E4E00"/>
    <w:rsid w:val="3DC85DFF"/>
    <w:rsid w:val="3DDB20E2"/>
    <w:rsid w:val="3E0B53AA"/>
    <w:rsid w:val="3E0D7FF2"/>
    <w:rsid w:val="3E827254"/>
    <w:rsid w:val="3ECF32F6"/>
    <w:rsid w:val="4003422C"/>
    <w:rsid w:val="4111649F"/>
    <w:rsid w:val="421B5153"/>
    <w:rsid w:val="421E388B"/>
    <w:rsid w:val="422C5F7B"/>
    <w:rsid w:val="4347397F"/>
    <w:rsid w:val="445F75CD"/>
    <w:rsid w:val="458A0BC7"/>
    <w:rsid w:val="45D31AC8"/>
    <w:rsid w:val="45EE63E9"/>
    <w:rsid w:val="46956E76"/>
    <w:rsid w:val="474B1EB1"/>
    <w:rsid w:val="485A65CB"/>
    <w:rsid w:val="4A283569"/>
    <w:rsid w:val="4A6B7D3C"/>
    <w:rsid w:val="4A8D49E3"/>
    <w:rsid w:val="4AAA6ED1"/>
    <w:rsid w:val="4B0D2D46"/>
    <w:rsid w:val="4C1E03F9"/>
    <w:rsid w:val="4C72320F"/>
    <w:rsid w:val="4C902FFF"/>
    <w:rsid w:val="4DC537AE"/>
    <w:rsid w:val="4E827D12"/>
    <w:rsid w:val="4EAC0405"/>
    <w:rsid w:val="4EDF4394"/>
    <w:rsid w:val="4F3C6A41"/>
    <w:rsid w:val="4FA225A3"/>
    <w:rsid w:val="4FE6264D"/>
    <w:rsid w:val="50A47F56"/>
    <w:rsid w:val="512E7FBA"/>
    <w:rsid w:val="51806F8B"/>
    <w:rsid w:val="54482B82"/>
    <w:rsid w:val="54511922"/>
    <w:rsid w:val="54626FB4"/>
    <w:rsid w:val="54713309"/>
    <w:rsid w:val="557A527E"/>
    <w:rsid w:val="5702376B"/>
    <w:rsid w:val="57723443"/>
    <w:rsid w:val="591F1701"/>
    <w:rsid w:val="59EB0033"/>
    <w:rsid w:val="5B916452"/>
    <w:rsid w:val="5B982079"/>
    <w:rsid w:val="5BA01B74"/>
    <w:rsid w:val="5BA85FF5"/>
    <w:rsid w:val="5DF16C64"/>
    <w:rsid w:val="5DFF2C8C"/>
    <w:rsid w:val="5EFA4D6F"/>
    <w:rsid w:val="5F0C1043"/>
    <w:rsid w:val="5FC943AC"/>
    <w:rsid w:val="60524FFB"/>
    <w:rsid w:val="60D513C5"/>
    <w:rsid w:val="61903CAC"/>
    <w:rsid w:val="619F3903"/>
    <w:rsid w:val="624A05B8"/>
    <w:rsid w:val="62574003"/>
    <w:rsid w:val="64471040"/>
    <w:rsid w:val="64790CF2"/>
    <w:rsid w:val="648E3223"/>
    <w:rsid w:val="6495713E"/>
    <w:rsid w:val="66144CBE"/>
    <w:rsid w:val="662911B9"/>
    <w:rsid w:val="669E4292"/>
    <w:rsid w:val="67BB4024"/>
    <w:rsid w:val="682C719B"/>
    <w:rsid w:val="68A70E51"/>
    <w:rsid w:val="68C314A8"/>
    <w:rsid w:val="68D42B85"/>
    <w:rsid w:val="69030DD9"/>
    <w:rsid w:val="6957122A"/>
    <w:rsid w:val="69FC3B4D"/>
    <w:rsid w:val="6A0B0A00"/>
    <w:rsid w:val="6AF23142"/>
    <w:rsid w:val="6B184FC4"/>
    <w:rsid w:val="6B1B3C01"/>
    <w:rsid w:val="6CE06728"/>
    <w:rsid w:val="6DC30E5B"/>
    <w:rsid w:val="6E0D5A43"/>
    <w:rsid w:val="6ED659BE"/>
    <w:rsid w:val="6F4B669E"/>
    <w:rsid w:val="6F6C06CA"/>
    <w:rsid w:val="6F7B6A60"/>
    <w:rsid w:val="702B2008"/>
    <w:rsid w:val="70FC22C7"/>
    <w:rsid w:val="71C6608B"/>
    <w:rsid w:val="72D179BF"/>
    <w:rsid w:val="73894780"/>
    <w:rsid w:val="74011799"/>
    <w:rsid w:val="74231176"/>
    <w:rsid w:val="75421315"/>
    <w:rsid w:val="756B2CFD"/>
    <w:rsid w:val="75874E09"/>
    <w:rsid w:val="75EB4796"/>
    <w:rsid w:val="78E8599C"/>
    <w:rsid w:val="790D46C0"/>
    <w:rsid w:val="79230E0C"/>
    <w:rsid w:val="794D7227"/>
    <w:rsid w:val="798A712A"/>
    <w:rsid w:val="79AB3592"/>
    <w:rsid w:val="79D11ED5"/>
    <w:rsid w:val="79E736E8"/>
    <w:rsid w:val="7B130FB2"/>
    <w:rsid w:val="7B455DCD"/>
    <w:rsid w:val="7B985219"/>
    <w:rsid w:val="7BE611BE"/>
    <w:rsid w:val="7C340821"/>
    <w:rsid w:val="7C3E570E"/>
    <w:rsid w:val="7D3B7439"/>
    <w:rsid w:val="7E072EBD"/>
    <w:rsid w:val="7E9A153F"/>
    <w:rsid w:val="7EB02159"/>
    <w:rsid w:val="7F021436"/>
    <w:rsid w:val="7F263E37"/>
    <w:rsid w:val="7FBD30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5">
    <w:name w:val="heading 1"/>
    <w:basedOn w:val="1"/>
    <w:next w:val="1"/>
    <w:qFormat/>
    <w:uiPriority w:val="0"/>
    <w:pPr>
      <w:spacing w:line="480" w:lineRule="atLeast"/>
      <w:outlineLvl w:val="0"/>
    </w:pPr>
    <w:rPr>
      <w:rFonts w:ascii="宋体" w:hAnsi="宋体"/>
      <w:b/>
      <w:sz w:val="30"/>
      <w:szCs w:val="30"/>
    </w:rPr>
  </w:style>
  <w:style w:type="paragraph" w:styleId="6">
    <w:name w:val="heading 2"/>
    <w:basedOn w:val="5"/>
    <w:next w:val="1"/>
    <w:semiHidden/>
    <w:unhideWhenUsed/>
    <w:qFormat/>
    <w:uiPriority w:val="0"/>
    <w:pPr>
      <w:outlineLvl w:val="1"/>
    </w:pPr>
    <w:rPr>
      <w:sz w:val="28"/>
    </w:rPr>
  </w:style>
  <w:style w:type="paragraph" w:styleId="7">
    <w:name w:val="heading 3"/>
    <w:basedOn w:val="1"/>
    <w:next w:val="1"/>
    <w:unhideWhenUsed/>
    <w:qFormat/>
    <w:uiPriority w:val="0"/>
    <w:pPr>
      <w:spacing w:line="480" w:lineRule="atLeast"/>
      <w:outlineLvl w:val="2"/>
    </w:pPr>
    <w:rPr>
      <w:rFonts w:ascii="宋体" w:hAnsi="宋体"/>
      <w:sz w:val="24"/>
      <w:szCs w:val="24"/>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Normal Indent"/>
    <w:basedOn w:val="1"/>
    <w:next w:val="3"/>
    <w:qFormat/>
    <w:uiPriority w:val="0"/>
    <w:pPr>
      <w:ind w:firstLine="420" w:firstLineChars="200"/>
    </w:pPr>
    <w:rPr>
      <w:szCs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cs="宋体"/>
      <w:sz w:val="24"/>
    </w:rPr>
  </w:style>
  <w:style w:type="paragraph" w:styleId="4">
    <w:name w:val="Body Text"/>
    <w:basedOn w:val="1"/>
    <w:qFormat/>
    <w:uiPriority w:val="0"/>
    <w:pPr>
      <w:spacing w:after="120"/>
    </w:pPr>
  </w:style>
  <w:style w:type="paragraph" w:styleId="8">
    <w:name w:val="Body Text Indent"/>
    <w:basedOn w:val="1"/>
    <w:qFormat/>
    <w:uiPriority w:val="0"/>
    <w:pPr>
      <w:spacing w:after="120"/>
      <w:ind w:left="420" w:leftChars="200"/>
    </w:pPr>
  </w:style>
  <w:style w:type="paragraph" w:styleId="9">
    <w:name w:val="toc 3"/>
    <w:basedOn w:val="1"/>
    <w:next w:val="1"/>
    <w:qFormat/>
    <w:uiPriority w:val="0"/>
    <w:pPr>
      <w:widowControl/>
      <w:spacing w:after="100" w:line="259" w:lineRule="auto"/>
      <w:ind w:left="440"/>
      <w:jc w:val="left"/>
    </w:pPr>
    <w:rPr>
      <w:kern w:val="0"/>
      <w:sz w:val="22"/>
    </w:rPr>
  </w:style>
  <w:style w:type="paragraph" w:styleId="10">
    <w:name w:val="Plain Text"/>
    <w:basedOn w:val="1"/>
    <w:link w:val="32"/>
    <w:qFormat/>
    <w:uiPriority w:val="0"/>
    <w:rPr>
      <w:rFonts w:ascii="宋体" w:hAnsi="Courier New" w:cs="Courier New"/>
      <w:szCs w:val="21"/>
    </w:rPr>
  </w:style>
  <w:style w:type="paragraph" w:styleId="11">
    <w:name w:val="footer"/>
    <w:basedOn w:val="1"/>
    <w:qFormat/>
    <w:uiPriority w:val="0"/>
    <w:pPr>
      <w:tabs>
        <w:tab w:val="center" w:pos="4153"/>
        <w:tab w:val="right" w:pos="8306"/>
      </w:tabs>
      <w:snapToGrid w:val="0"/>
      <w:jc w:val="left"/>
    </w:pPr>
    <w:rPr>
      <w:sz w:val="18"/>
      <w:szCs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3">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4">
    <w:name w:val="List"/>
    <w:basedOn w:val="1"/>
    <w:qFormat/>
    <w:uiPriority w:val="0"/>
    <w:pPr>
      <w:spacing w:line="360" w:lineRule="exact"/>
      <w:ind w:firstLine="38" w:firstLineChars="18"/>
      <w:jc w:val="left"/>
    </w:pPr>
    <w:rPr>
      <w:rFonts w:ascii="宋体" w:hAnsi="Times New Roman"/>
      <w:szCs w:val="21"/>
    </w:rPr>
  </w:style>
  <w:style w:type="paragraph" w:styleId="15">
    <w:name w:val="toc 2"/>
    <w:basedOn w:val="1"/>
    <w:next w:val="1"/>
    <w:qFormat/>
    <w:uiPriority w:val="0"/>
    <w:pPr>
      <w:ind w:left="420" w:leftChars="200"/>
    </w:pPr>
  </w:style>
  <w:style w:type="paragraph" w:styleId="16">
    <w:name w:val="Body Text 2"/>
    <w:basedOn w:val="1"/>
    <w:qFormat/>
    <w:uiPriority w:val="0"/>
    <w:pPr>
      <w:spacing w:after="120" w:line="480" w:lineRule="auto"/>
    </w:pPr>
  </w:style>
  <w:style w:type="paragraph" w:styleId="17">
    <w:name w:val="Body Text First Indent 2"/>
    <w:basedOn w:val="8"/>
    <w:next w:val="1"/>
    <w:qFormat/>
    <w:uiPriority w:val="0"/>
    <w:pPr>
      <w:ind w:firstLine="420" w:firstLineChars="200"/>
    </w:pPr>
  </w:style>
  <w:style w:type="table" w:styleId="19">
    <w:name w:val="Table Grid"/>
    <w:basedOn w:val="1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annotation reference"/>
    <w:basedOn w:val="20"/>
    <w:qFormat/>
    <w:uiPriority w:val="0"/>
    <w:rPr>
      <w:rFonts w:ascii="Times New Roman" w:eastAsia="宋体"/>
      <w:color w:val="000000"/>
      <w:spacing w:val="0"/>
      <w:w w:val="100"/>
      <w:sz w:val="21"/>
      <w:szCs w:val="21"/>
      <w:u w:val="none" w:color="000000"/>
      <w:vertAlign w:val="baseline"/>
      <w:lang w:val="en-US" w:eastAsia="zh-CN"/>
    </w:rPr>
  </w:style>
  <w:style w:type="paragraph" w:customStyle="1" w:styleId="22">
    <w:name w:val="样式 样式 样式 四号 左侧:  1.53 厘米 + 首行缩进:  2 字符 + 居中 左侧:  2 字符 首行缩进:  2..."/>
    <w:basedOn w:val="23"/>
    <w:qFormat/>
    <w:uiPriority w:val="0"/>
    <w:pPr>
      <w:jc w:val="center"/>
    </w:pPr>
  </w:style>
  <w:style w:type="paragraph" w:customStyle="1" w:styleId="23">
    <w:name w:val="样式 样式 四号 左侧:  1.53 厘米 + 首行缩进:  2 字符"/>
    <w:basedOn w:val="24"/>
    <w:qFormat/>
    <w:uiPriority w:val="0"/>
    <w:pPr>
      <w:ind w:left="200" w:leftChars="200"/>
    </w:pPr>
    <w:rPr>
      <w:szCs w:val="20"/>
    </w:rPr>
  </w:style>
  <w:style w:type="paragraph" w:customStyle="1" w:styleId="24">
    <w:name w:val="样式 四号 左侧:  1.53 厘米"/>
    <w:basedOn w:val="1"/>
    <w:qFormat/>
    <w:uiPriority w:val="0"/>
    <w:pPr>
      <w:adjustRightInd w:val="0"/>
    </w:pPr>
    <w:rPr>
      <w:w w:val="90"/>
      <w:sz w:val="28"/>
      <w:szCs w:val="28"/>
    </w:rPr>
  </w:style>
  <w:style w:type="paragraph" w:customStyle="1" w:styleId="25">
    <w:name w:val="TOC Heading1"/>
    <w:basedOn w:val="5"/>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6">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7">
    <w:name w:val="列出段落1"/>
    <w:basedOn w:val="1"/>
    <w:qFormat/>
    <w:uiPriority w:val="99"/>
    <w:pPr>
      <w:ind w:firstLine="420" w:firstLineChars="200"/>
    </w:pPr>
  </w:style>
  <w:style w:type="table" w:customStyle="1" w:styleId="28">
    <w:name w:val="TableGrid"/>
    <w:qFormat/>
    <w:uiPriority w:val="0"/>
    <w:tblPr>
      <w:tblCellMar>
        <w:top w:w="0" w:type="dxa"/>
        <w:left w:w="0" w:type="dxa"/>
        <w:bottom w:w="0" w:type="dxa"/>
        <w:right w:w="0" w:type="dxa"/>
      </w:tblCellMar>
    </w:tblPr>
  </w:style>
  <w:style w:type="paragraph" w:customStyle="1" w:styleId="29">
    <w:name w:val="(1)"/>
    <w:basedOn w:val="1"/>
    <w:qFormat/>
    <w:uiPriority w:val="0"/>
    <w:rPr>
      <w:sz w:val="24"/>
    </w:rPr>
  </w:style>
  <w:style w:type="paragraph" w:customStyle="1" w:styleId="30">
    <w:name w:val="1"/>
    <w:basedOn w:val="1"/>
    <w:next w:val="10"/>
    <w:qFormat/>
    <w:uiPriority w:val="0"/>
    <w:rPr>
      <w:rFonts w:ascii="宋体" w:hAnsi="Courier New"/>
      <w:color w:val="000000"/>
      <w:kern w:val="44"/>
      <w:sz w:val="24"/>
      <w:szCs w:val="20"/>
    </w:rPr>
  </w:style>
  <w:style w:type="paragraph" w:customStyle="1" w:styleId="31">
    <w:name w:val="表格内容"/>
    <w:qFormat/>
    <w:uiPriority w:val="0"/>
    <w:pPr>
      <w:adjustRightInd w:val="0"/>
      <w:snapToGrid w:val="0"/>
      <w:spacing w:line="360" w:lineRule="exact"/>
      <w:jc w:val="center"/>
    </w:pPr>
    <w:rPr>
      <w:rFonts w:ascii="Times New Roman" w:hAnsi="Times New Roman" w:eastAsia="宋体" w:cs="Times New Roman"/>
      <w:color w:val="000000"/>
      <w:sz w:val="24"/>
      <w:lang w:val="en-US" w:eastAsia="zh-CN" w:bidi="ar-SA"/>
    </w:rPr>
  </w:style>
  <w:style w:type="character" w:customStyle="1" w:styleId="32">
    <w:name w:val="纯文本 字符"/>
    <w:link w:val="10"/>
    <w:qFormat/>
    <w:uiPriority w:val="0"/>
    <w:rPr>
      <w:rFonts w:ascii="宋体" w:hAnsi="Courier New" w:cs="Courier New"/>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36</Pages>
  <Words>2736</Words>
  <Characters>15598</Characters>
  <Lines>129</Lines>
  <Paragraphs>36</Paragraphs>
  <TotalTime>1</TotalTime>
  <ScaleCrop>false</ScaleCrop>
  <LinksUpToDate>false</LinksUpToDate>
  <CharactersWithSpaces>18298</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Administrator</cp:lastModifiedBy>
  <cp:lastPrinted>2018-10-24T03:46:00Z</cp:lastPrinted>
  <dcterms:modified xsi:type="dcterms:W3CDTF">2020-05-18T12:07:39Z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