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default" w:ascii="Times New Roman" w:hAnsi="Times New Roman" w:cs="Times New Roman"/>
          <w:sz w:val="36"/>
          <w:szCs w:val="36"/>
          <w:lang w:val="en-US" w:eastAsia="zh-CN"/>
        </w:rPr>
      </w:pPr>
      <w:bookmarkStart w:id="1" w:name="_Hlk496950128"/>
      <w:r>
        <w:rPr>
          <w:rFonts w:hint="eastAsia" w:ascii="Times New Roman" w:hAnsi="Times New Roman" w:cs="Times New Roman"/>
          <w:sz w:val="36"/>
          <w:szCs w:val="36"/>
          <w:lang w:val="en-US" w:eastAsia="zh-CN"/>
        </w:rPr>
        <w:t>盐山美辰管件制造厂</w:t>
      </w:r>
    </w:p>
    <w:p>
      <w:pPr>
        <w:jc w:val="center"/>
        <w:rPr>
          <w:rFonts w:hint="eastAsia" w:ascii="Times New Roman" w:hAnsi="Times New Roman" w:eastAsia="宋体" w:cs="Times New Roman"/>
          <w:sz w:val="36"/>
          <w:szCs w:val="36"/>
          <w:lang w:eastAsia="zh-CN"/>
        </w:rPr>
      </w:pPr>
      <w:r>
        <w:rPr>
          <w:rFonts w:hint="eastAsia" w:ascii="Times New Roman" w:hAnsi="Times New Roman" w:cs="Times New Roman"/>
          <w:sz w:val="36"/>
          <w:szCs w:val="36"/>
          <w:lang w:val="en-US" w:eastAsia="zh-CN"/>
        </w:rPr>
        <w:t>弯头生产</w:t>
      </w:r>
      <w:r>
        <w:rPr>
          <w:rFonts w:hint="eastAsia" w:ascii="Times New Roman" w:hAnsi="Times New Roman" w:cs="Times New Roman"/>
          <w:sz w:val="36"/>
          <w:szCs w:val="36"/>
          <w:lang w:eastAsia="zh-CN"/>
        </w:rPr>
        <w:t>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lang w:val="en-US"/>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val="en-US" w:eastAsia="zh-CN"/>
        </w:rPr>
        <w:t>盐山美辰管件制造厂</w:t>
      </w:r>
    </w:p>
    <w:p>
      <w:pPr>
        <w:jc w:val="center"/>
        <w:rPr>
          <w:rFonts w:hint="default" w:ascii="Times New Roman" w:hAnsi="Times New Roman" w:eastAsia="宋体" w:cs="Times New Roman"/>
          <w:sz w:val="32"/>
          <w:szCs w:val="32"/>
          <w:lang w:val="en-US"/>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val="en-US" w:eastAsia="zh-CN"/>
        </w:rPr>
        <w:t>盐山美辰管件制造厂</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default" w:ascii="Times New Roman" w:hAnsi="Times New Roman" w:eastAsia="宋体" w:cs="Times New Roman"/>
          <w:sz w:val="32"/>
          <w:szCs w:val="32"/>
        </w:rPr>
        <w:t>20</w:t>
      </w:r>
      <w:r>
        <w:rPr>
          <w:rFonts w:hint="eastAsia" w:ascii="Times New Roman" w:hAnsi="Times New Roman" w:cs="Times New Roman"/>
          <w:sz w:val="32"/>
          <w:szCs w:val="32"/>
          <w:lang w:val="en-US" w:eastAsia="zh-CN"/>
        </w:rPr>
        <w:t>20</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6</w:t>
      </w:r>
      <w:r>
        <w:rPr>
          <w:rFonts w:hint="default" w:ascii="Times New Roman" w:hAnsi="Times New Roman" w:eastAsia="宋体" w:cs="Times New Roman"/>
          <w:sz w:val="32"/>
          <w:szCs w:val="32"/>
        </w:rPr>
        <w:t>月</w:t>
      </w:r>
    </w:p>
    <w:p>
      <w:pPr>
        <w:pStyle w:val="26"/>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9</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12</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15</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17</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18</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24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24</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25</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26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项目</w:t>
      </w:r>
      <w:r>
        <w:rPr>
          <w:rFonts w:hint="eastAsia" w:ascii="Times New Roman" w:hAnsi="Times New Roman" w:eastAsia="宋体" w:cs="Times New Roman"/>
          <w:sz w:val="24"/>
          <w:szCs w:val="24"/>
          <w:lang w:eastAsia="zh-CN"/>
        </w:rPr>
        <w:t>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厂区</w:t>
      </w:r>
      <w:r>
        <w:rPr>
          <w:rFonts w:hint="default" w:ascii="Times New Roman" w:hAnsi="Times New Roman" w:eastAsia="宋体" w:cs="Times New Roman"/>
          <w:sz w:val="24"/>
          <w:szCs w:val="24"/>
        </w:rPr>
        <w:t>平面布置图</w:t>
      </w:r>
    </w:p>
    <w:p>
      <w:pPr>
        <w:spacing w:line="480" w:lineRule="atLeast"/>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4、项目包络线图</w:t>
      </w:r>
    </w:p>
    <w:p>
      <w:pPr>
        <w:spacing w:line="480" w:lineRule="atLeast"/>
        <w:rPr>
          <w:rFonts w:hint="default" w:ascii="Times New Roman" w:hAnsi="Times New Roman" w:eastAsia="宋体" w:cs="Times New Roman"/>
          <w:sz w:val="24"/>
          <w:szCs w:val="24"/>
        </w:rPr>
      </w:pPr>
    </w:p>
    <w:p>
      <w:pPr>
        <w:pStyle w:val="19"/>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2、备案信息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5"/>
        <w:jc w:val="center"/>
        <w:rPr>
          <w:rFonts w:hint="default" w:ascii="Times New Roman" w:hAnsi="Times New Roman" w:eastAsia="宋体" w:cs="Times New Roman"/>
        </w:rPr>
      </w:pPr>
      <w:bookmarkStart w:id="2" w:name="_Toc10004"/>
      <w:bookmarkStart w:id="3" w:name="_Toc20373"/>
      <w:bookmarkStart w:id="4" w:name="_Toc13375"/>
      <w:bookmarkStart w:id="5" w:name="_Toc9675"/>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盐山美辰管件制造厂位于</w:t>
      </w:r>
      <w:r>
        <w:rPr>
          <w:color w:val="auto"/>
          <w:sz w:val="24"/>
          <w:szCs w:val="24"/>
        </w:rPr>
        <w:t>河北省沧州市</w:t>
      </w:r>
      <w:r>
        <w:rPr>
          <w:rFonts w:hint="eastAsia"/>
          <w:color w:val="auto"/>
          <w:sz w:val="24"/>
          <w:szCs w:val="24"/>
          <w:lang w:val="en-US" w:eastAsia="zh-CN"/>
        </w:rPr>
        <w:t>盐山县盐山镇后刘村南</w:t>
      </w:r>
      <w:r>
        <w:rPr>
          <w:rFonts w:hint="eastAsia" w:ascii="Times New Roman" w:hAnsi="Times New Roman" w:cs="Times New Roman"/>
          <w:sz w:val="24"/>
          <w:szCs w:val="24"/>
          <w:lang w:val="en-US" w:eastAsia="zh-CN"/>
        </w:rPr>
        <w:t>，企业投资155万元建设年产弯头400吨项目，盐山美辰管件制造厂于2019年9月委托</w:t>
      </w:r>
      <w:r>
        <w:rPr>
          <w:rFonts w:hint="eastAsia"/>
          <w:bCs/>
          <w:color w:val="000000" w:themeColor="text1"/>
          <w:sz w:val="24"/>
          <w:lang w:val="en-US" w:eastAsia="zh-CN"/>
          <w14:textFill>
            <w14:solidFill>
              <w14:schemeClr w14:val="tx1"/>
            </w14:solidFill>
          </w14:textFill>
        </w:rPr>
        <w:t>湖北黄环环保科技有限公司</w:t>
      </w:r>
      <w:r>
        <w:rPr>
          <w:rFonts w:hint="eastAsia" w:ascii="Times New Roman" w:hAnsi="Times New Roman" w:cs="Times New Roman"/>
          <w:sz w:val="24"/>
          <w:szCs w:val="24"/>
          <w:lang w:val="en-US" w:eastAsia="zh-CN"/>
        </w:rPr>
        <w:t>编制完成了《盐山美辰管件制造厂弯头生产项目环境影响报告表》，于2019年11月1日取得了沧州市生态环境局盐山县分局的批复，审批文号为盐环表[2019]145号。并于并于2020年4月9日取得固定污染源排污登记回执，登记编号为92130925MA0DL1006J001X</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2020年5月，盐山美辰管件制造厂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w:t>
      </w:r>
      <w:r>
        <w:rPr>
          <w:rFonts w:hint="eastAsia" w:ascii="Times New Roman" w:hAnsi="Times New Roman" w:cs="Times New Roman"/>
          <w:color w:val="FF0000"/>
          <w:sz w:val="24"/>
          <w:szCs w:val="24"/>
          <w:lang w:val="en-US" w:eastAsia="zh-CN"/>
        </w:rPr>
        <w:t>同时盐山美辰管件制造厂委托河北德盛检测技术有限公司于</w:t>
      </w:r>
      <w:bookmarkStart w:id="6" w:name="_Hlk496985984"/>
      <w:r>
        <w:rPr>
          <w:rFonts w:hint="eastAsia" w:ascii="Times New Roman" w:hAnsi="Times New Roman" w:cs="Times New Roman"/>
          <w:color w:val="FF0000"/>
          <w:sz w:val="24"/>
          <w:szCs w:val="24"/>
          <w:highlight w:val="none"/>
          <w:lang w:val="en-US" w:eastAsia="zh-CN"/>
        </w:rPr>
        <w:t>2020年5月8日至9日</w:t>
      </w:r>
      <w:bookmarkEnd w:id="6"/>
      <w:r>
        <w:rPr>
          <w:rFonts w:hint="eastAsia" w:ascii="Times New Roman" w:hAnsi="Times New Roman" w:cs="Times New Roman"/>
          <w:color w:val="FF0000"/>
          <w:sz w:val="24"/>
          <w:szCs w:val="24"/>
          <w:highlight w:val="none"/>
          <w:lang w:val="en-US" w:eastAsia="zh-CN"/>
        </w:rPr>
        <w:t>进行了竣工验收检测并出具检测报告，报告编号为：德盛环检字2020-0341号</w:t>
      </w:r>
      <w:r>
        <w:rPr>
          <w:rFonts w:hint="eastAsia" w:ascii="Times New Roman" w:hAnsi="Times New Roman" w:cs="Times New Roman"/>
          <w:sz w:val="24"/>
          <w:szCs w:val="24"/>
          <w:lang w:val="en-US" w:eastAsia="zh-CN"/>
        </w:rPr>
        <w:t>。盐山美辰管件制造厂根据现场调查情况和检测报告按照《建设项目竣工环境保护验收技术指南污染影响类》编制完成竣工环境保护验收报告，为竣工验收提供科学依据。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5"/>
        <w:rPr>
          <w:rFonts w:hint="default" w:ascii="Times New Roman" w:hAnsi="Times New Roman" w:eastAsia="宋体" w:cs="Times New Roman"/>
        </w:rPr>
      </w:pPr>
      <w:bookmarkStart w:id="7" w:name="_Toc17755"/>
      <w:bookmarkStart w:id="8" w:name="_Toc14085"/>
      <w:bookmarkStart w:id="9" w:name="_Toc23777"/>
      <w:bookmarkStart w:id="10" w:name="_Toc25774"/>
      <w:r>
        <w:rPr>
          <w:rFonts w:hint="default" w:ascii="Times New Roman" w:hAnsi="Times New Roman" w:eastAsia="宋体" w:cs="Times New Roman"/>
        </w:rPr>
        <w:t>1验收编制依据</w:t>
      </w:r>
      <w:bookmarkEnd w:id="7"/>
      <w:bookmarkEnd w:id="8"/>
      <w:bookmarkEnd w:id="9"/>
      <w:bookmarkEnd w:id="10"/>
    </w:p>
    <w:p>
      <w:pPr>
        <w:pStyle w:val="6"/>
        <w:rPr>
          <w:rFonts w:hint="default" w:ascii="Times New Roman" w:hAnsi="Times New Roman" w:eastAsia="宋体" w:cs="Times New Roman"/>
        </w:rPr>
      </w:pPr>
      <w:bookmarkStart w:id="11" w:name="_Toc32325"/>
      <w:bookmarkStart w:id="12" w:name="_Toc5229"/>
      <w:bookmarkStart w:id="13" w:name="_Toc12399"/>
      <w:bookmarkStart w:id="14" w:name="_Toc30258"/>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6"/>
        <w:rPr>
          <w:rFonts w:hint="default" w:ascii="Times New Roman" w:hAnsi="Times New Roman" w:eastAsia="宋体" w:cs="Times New Roman"/>
        </w:rPr>
      </w:pPr>
      <w:bookmarkStart w:id="15" w:name="_Toc19988"/>
      <w:bookmarkStart w:id="16" w:name="_Toc17067"/>
      <w:bookmarkStart w:id="17" w:name="_Toc19837"/>
      <w:bookmarkStart w:id="18" w:name="_Toc11240"/>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（3）《环境影响评价技术导则地面水环境》（HJ/T2.3-93）；</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（1</w:t>
      </w:r>
      <w:r>
        <w:rPr>
          <w:rFonts w:hint="eastAsia" w:ascii="Times New Roman" w:hAnsi="Times New Roman" w:cs="Times New Roman"/>
          <w:sz w:val="24"/>
          <w:szCs w:val="24"/>
          <w:lang w:val="en-US" w:eastAsia="zh-CN"/>
        </w:rPr>
        <w:t>0</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2</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cs="Times New Roman"/>
          <w:sz w:val="24"/>
          <w:szCs w:val="24"/>
          <w:lang w:val="en-US" w:eastAsia="zh-CN"/>
        </w:rPr>
        <w:t>4</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6393"/>
      <w:bookmarkStart w:id="20" w:name="_Toc25756"/>
      <w:bookmarkStart w:id="21" w:name="_Toc31818"/>
      <w:bookmarkStart w:id="22" w:name="_Toc25083"/>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bCs/>
          <w:color w:val="000000" w:themeColor="text1"/>
          <w:sz w:val="24"/>
          <w:lang w:val="en-US" w:eastAsia="zh-CN"/>
          <w14:textFill>
            <w14:solidFill>
              <w14:schemeClr w14:val="tx1"/>
            </w14:solidFill>
          </w14:textFill>
        </w:rPr>
        <w:t>湖北黄环环保科技</w:t>
      </w:r>
      <w:r>
        <w:rPr>
          <w:bCs/>
          <w:color w:val="000000" w:themeColor="text1"/>
          <w:sz w:val="24"/>
          <w14:textFill>
            <w14:solidFill>
              <w14:schemeClr w14:val="tx1"/>
            </w14:solidFill>
          </w14:textFill>
        </w:rPr>
        <w:t>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盐山美辰管件制造厂弯头生产项目环境影响报告表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sz w:val="24"/>
          <w:szCs w:val="24"/>
          <w:lang w:val="en-US" w:eastAsia="zh-CN"/>
        </w:rPr>
        <w:t>沧州市生态环境局盐山县分局</w:t>
      </w:r>
      <w:r>
        <w:rPr>
          <w:rFonts w:hint="eastAsia"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盐环表[2019]145号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盐山美辰管件制造厂弯头生产项目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2019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盐山美辰管件制造厂</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eastAsia" w:ascii="Times New Roman" w:hAnsi="Times New Roman" w:cs="Times New Roman"/>
          <w:color w:val="FF0000"/>
          <w:sz w:val="24"/>
          <w:szCs w:val="24"/>
          <w:highlight w:val="none"/>
          <w:lang w:val="en-US" w:eastAsia="zh-CN"/>
        </w:rPr>
        <w:t>德盛环检字2020-0341YS号</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盐山美辰管件制造厂</w:t>
      </w:r>
      <w:r>
        <w:rPr>
          <w:rFonts w:hint="default" w:ascii="Times New Roman" w:hAnsi="Times New Roman" w:eastAsia="宋体" w:cs="Times New Roman"/>
          <w:sz w:val="24"/>
          <w:szCs w:val="24"/>
        </w:rPr>
        <w:t>提供的其它相关资料。</w:t>
      </w:r>
    </w:p>
    <w:p>
      <w:pPr>
        <w:pStyle w:val="5"/>
        <w:rPr>
          <w:rFonts w:hint="default" w:ascii="Times New Roman" w:hAnsi="Times New Roman" w:eastAsia="宋体" w:cs="Times New Roman"/>
        </w:rPr>
      </w:pPr>
      <w:bookmarkStart w:id="23" w:name="_Toc20655"/>
      <w:bookmarkStart w:id="24" w:name="_Toc26991"/>
      <w:bookmarkStart w:id="25" w:name="_Toc13007"/>
      <w:bookmarkStart w:id="26" w:name="_Toc5367"/>
      <w:r>
        <w:rPr>
          <w:rFonts w:hint="default" w:ascii="Times New Roman" w:hAnsi="Times New Roman" w:eastAsia="宋体" w:cs="Times New Roman"/>
        </w:rPr>
        <w:t>2工程概况</w:t>
      </w:r>
      <w:bookmarkEnd w:id="23"/>
      <w:bookmarkEnd w:id="24"/>
      <w:bookmarkEnd w:id="25"/>
      <w:bookmarkEnd w:id="26"/>
    </w:p>
    <w:p>
      <w:pPr>
        <w:pStyle w:val="6"/>
        <w:rPr>
          <w:rFonts w:hint="default" w:ascii="Times New Roman" w:hAnsi="Times New Roman" w:eastAsia="宋体" w:cs="Times New Roman"/>
        </w:rPr>
      </w:pPr>
      <w:bookmarkStart w:id="27" w:name="_Toc29334"/>
      <w:bookmarkStart w:id="28" w:name="_Toc11367"/>
      <w:bookmarkStart w:id="29" w:name="_Toc22753"/>
      <w:bookmarkStart w:id="30" w:name="_Toc4417"/>
      <w:r>
        <w:rPr>
          <w:rFonts w:hint="default" w:ascii="Times New Roman" w:hAnsi="Times New Roman" w:eastAsia="宋体" w:cs="Times New Roman"/>
        </w:rPr>
        <w:t>2.1项目基本情况</w:t>
      </w:r>
      <w:bookmarkEnd w:id="27"/>
      <w:bookmarkEnd w:id="28"/>
      <w:bookmarkEnd w:id="29"/>
      <w:bookmarkEnd w:id="30"/>
    </w:p>
    <w:p>
      <w:pPr>
        <w:pStyle w:val="7"/>
        <w:rPr>
          <w:rFonts w:hint="default" w:ascii="Times New Roman" w:hAnsi="Times New Roman" w:eastAsia="宋体" w:cs="Times New Roman"/>
        </w:rPr>
      </w:pPr>
      <w:bookmarkStart w:id="31" w:name="_Toc1800"/>
      <w:bookmarkStart w:id="32" w:name="_Toc19257"/>
      <w:bookmarkStart w:id="33" w:name="_Toc496979000"/>
      <w:bookmarkStart w:id="34" w:name="_Toc20380"/>
      <w:bookmarkStart w:id="35" w:name="_Toc497001436"/>
      <w:bookmarkStart w:id="36" w:name="_Toc1249"/>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20"/>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盐山美辰管件制造厂弯头生产项目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盐山美辰管件制造厂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u w:val="dotted"/>
                <w:lang w:val="en-US" w:eastAsia="zh-CN"/>
              </w:rPr>
              <w:t>刘帅</w:t>
            </w:r>
            <w:r>
              <w:rPr>
                <w:rFonts w:hint="eastAsia" w:ascii="Times New Roman" w:hAnsi="Times New Roman" w:cs="Times New Roman"/>
                <w:sz w:val="24"/>
                <w:szCs w:val="24"/>
                <w:lang w:val="en-US" w:eastAsia="zh-CN"/>
              </w:rPr>
              <w:t xml:space="preserve"> </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u w:val="dotted"/>
                <w:lang w:val="en-US" w:eastAsia="zh-CN"/>
              </w:rPr>
              <w:t>刘帅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bCs/>
                <w:color w:val="000000" w:themeColor="text1"/>
                <w:sz w:val="24"/>
                <w:lang w:eastAsia="zh-CN"/>
                <w14:textFill>
                  <w14:solidFill>
                    <w14:schemeClr w14:val="tx1"/>
                  </w14:solidFill>
                </w14:textFill>
              </w:rPr>
              <w:t>盐山盐山镇后刘村南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color w:val="000000" w:themeColor="text1"/>
                <w:spacing w:val="1"/>
                <w:kern w:val="0"/>
                <w:sz w:val="24"/>
                <w:lang w:val="en-US" w:eastAsia="zh-CN"/>
                <w14:textFill>
                  <w14:solidFill>
                    <w14:schemeClr w14:val="tx1"/>
                  </w14:solidFill>
                </w14:textFill>
              </w:rPr>
              <w:t>13313273555</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default"/>
                <w:color w:val="auto"/>
                <w:sz w:val="24"/>
              </w:rPr>
              <w:t>061</w:t>
            </w:r>
            <w:r>
              <w:rPr>
                <w:rFonts w:hint="eastAsia"/>
                <w:color w:val="auto"/>
                <w:sz w:val="24"/>
              </w:rPr>
              <w:t>3</w:t>
            </w:r>
            <w:r>
              <w:rPr>
                <w:rFonts w:hint="default"/>
                <w:color w:val="auto"/>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eastAsia"/>
                <w:color w:val="000000" w:themeColor="text1"/>
                <w:kern w:val="0"/>
                <w:sz w:val="24"/>
                <w:lang w:eastAsia="zh-CN"/>
                <w14:textFill>
                  <w14:solidFill>
                    <w14:schemeClr w14:val="tx1"/>
                  </w14:solidFill>
                </w14:textFill>
              </w:rPr>
              <w:t>金属结构制造</w:t>
            </w:r>
            <w:r>
              <w:rPr>
                <w:rFonts w:hint="default"/>
                <w:color w:val="000000" w:themeColor="text1"/>
                <w:kern w:val="0"/>
                <w:sz w:val="24"/>
                <w14:textFill>
                  <w14:solidFill>
                    <w14:schemeClr w14:val="tx1"/>
                  </w14:solidFill>
                </w14:textFill>
              </w:rPr>
              <w:t>C33</w:t>
            </w:r>
            <w:r>
              <w:rPr>
                <w:rFonts w:hint="eastAsia"/>
                <w:color w:val="000000" w:themeColor="text1"/>
                <w:kern w:val="0"/>
                <w:sz w:val="24"/>
                <w:lang w:val="en-US" w:eastAsia="zh-CN"/>
                <w14:textFill>
                  <w14:solidFill>
                    <w14:schemeClr w14:val="tx1"/>
                  </w14:solidFill>
                </w14:textFill>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color w:val="000000" w:themeColor="text1"/>
                <w:sz w:val="24"/>
                <w:lang w:val="en-US" w:eastAsia="zh-CN"/>
                <w14:textFill>
                  <w14:solidFill>
                    <w14:schemeClr w14:val="tx1"/>
                  </w14:solidFill>
                </w14:textFill>
              </w:rPr>
              <w:t>155</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10</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eastAsia"/>
                <w:bCs/>
                <w:color w:val="000000" w:themeColor="text1"/>
                <w:sz w:val="24"/>
                <w:lang w:eastAsia="zh-CN"/>
                <w14:textFill>
                  <w14:solidFill>
                    <w14:schemeClr w14:val="tx1"/>
                  </w14:solidFill>
                </w14:textFill>
              </w:rPr>
              <w:t>盐山盐山镇后刘村南</w:t>
            </w:r>
          </w:p>
        </w:tc>
      </w:tr>
    </w:tbl>
    <w:p>
      <w:pPr>
        <w:pStyle w:val="7"/>
        <w:rPr>
          <w:rFonts w:hint="default" w:ascii="Times New Roman" w:hAnsi="Times New Roman" w:eastAsia="宋体" w:cs="Times New Roman"/>
        </w:rPr>
      </w:pPr>
      <w:bookmarkStart w:id="38" w:name="_Toc27686"/>
      <w:bookmarkStart w:id="39" w:name="_Toc20144"/>
      <w:bookmarkStart w:id="40" w:name="_Toc496979001"/>
      <w:bookmarkStart w:id="41" w:name="_Toc5505"/>
      <w:bookmarkStart w:id="42" w:name="_Toc497001437"/>
      <w:bookmarkStart w:id="43" w:name="_Toc17116"/>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项目位于</w:t>
      </w:r>
      <w:r>
        <w:rPr>
          <w:rFonts w:hint="eastAsia"/>
          <w:bCs/>
          <w:color w:val="000000" w:themeColor="text1"/>
          <w:sz w:val="24"/>
          <w:lang w:eastAsia="zh-CN"/>
          <w14:textFill>
            <w14:solidFill>
              <w14:schemeClr w14:val="tx1"/>
            </w14:solidFill>
          </w14:textFill>
        </w:rPr>
        <w:t>盐山盐山镇后刘村南</w:t>
      </w:r>
      <w:r>
        <w:rPr>
          <w:rFonts w:hint="eastAsia" w:ascii="Times New Roman" w:hAnsi="Times New Roman" w:cs="Times New Roman"/>
          <w:spacing w:val="0"/>
          <w:kern w:val="0"/>
          <w:sz w:val="24"/>
          <w:szCs w:val="24"/>
          <w:lang w:val="en-US" w:eastAsia="zh-CN"/>
        </w:rPr>
        <w:t>，</w:t>
      </w:r>
      <w:r>
        <w:rPr>
          <w:color w:val="000000" w:themeColor="text1"/>
          <w:sz w:val="24"/>
          <w14:textFill>
            <w14:solidFill>
              <w14:schemeClr w14:val="tx1"/>
            </w14:solidFill>
          </w14:textFill>
        </w:rPr>
        <w:t>项目厂址中心地理坐标为</w:t>
      </w:r>
      <w:r>
        <w:rPr>
          <w:rFonts w:hint="default" w:ascii="Times New Roman" w:hAnsi="Times New Roman" w:eastAsia="宋体" w:cs="Times New Roman"/>
          <w:color w:val="000000" w:themeColor="text1"/>
          <w:sz w:val="24"/>
          <w:szCs w:val="24"/>
          <w14:textFill>
            <w14:solidFill>
              <w14:schemeClr w14:val="tx1"/>
            </w14:solidFill>
          </w14:textFill>
        </w:rPr>
        <w:t>东经</w:t>
      </w:r>
      <w:r>
        <w:rPr>
          <w:rFonts w:hint="default" w:ascii="Times New Roman" w:hAnsi="Times New Roman" w:eastAsia="宋体" w:cs="Times New Roman"/>
          <w:color w:val="000000" w:themeColor="text1"/>
          <w:sz w:val="24"/>
          <w:szCs w:val="24"/>
          <w:lang w:eastAsia="zh-CN"/>
          <w14:textFill>
            <w14:solidFill>
              <w14:schemeClr w14:val="tx1"/>
            </w14:solidFill>
          </w14:textFill>
        </w:rPr>
        <w:t>117°13′9.23″</w:t>
      </w:r>
      <w:r>
        <w:rPr>
          <w:rFonts w:hint="default" w:ascii="Times New Roman" w:hAnsi="Times New Roman" w:eastAsia="宋体" w:cs="Times New Roman"/>
          <w:color w:val="000000" w:themeColor="text1"/>
          <w:sz w:val="24"/>
          <w:szCs w:val="24"/>
          <w14:textFill>
            <w14:solidFill>
              <w14:schemeClr w14:val="tx1"/>
            </w14:solidFill>
          </w14:textFill>
        </w:rPr>
        <w:t>，北纬</w:t>
      </w:r>
      <w:r>
        <w:rPr>
          <w:rFonts w:hint="default" w:ascii="Times New Roman" w:hAnsi="Times New Roman" w:eastAsia="宋体" w:cs="Times New Roman"/>
          <w:color w:val="000000" w:themeColor="text1"/>
          <w:sz w:val="24"/>
          <w:szCs w:val="24"/>
          <w:lang w:eastAsia="zh-CN"/>
          <w14:textFill>
            <w14:solidFill>
              <w14:schemeClr w14:val="tx1"/>
            </w14:solidFill>
          </w14:textFill>
        </w:rPr>
        <w:t>38°04′26.70″</w:t>
      </w:r>
      <w:r>
        <w:rPr>
          <w:rFonts w:hint="default" w:ascii="Times New Roman" w:hAnsi="Times New Roman" w:eastAsia="宋体" w:cs="Times New Roman"/>
          <w:color w:val="000000" w:themeColor="text1"/>
          <w:sz w:val="24"/>
          <w:szCs w:val="24"/>
          <w14:textFill>
            <w14:solidFill>
              <w14:schemeClr w14:val="tx1"/>
            </w14:solidFill>
          </w14:textFill>
        </w:rPr>
        <w:t>项目东侧</w:t>
      </w:r>
      <w:r>
        <w:rPr>
          <w:rFonts w:hint="default" w:ascii="Times New Roman" w:hAnsi="Times New Roman" w:eastAsia="宋体" w:cs="Times New Roman"/>
          <w:color w:val="000000" w:themeColor="text1"/>
          <w:sz w:val="24"/>
          <w:szCs w:val="24"/>
          <w:lang w:eastAsia="zh-CN"/>
          <w14:textFill>
            <w14:solidFill>
              <w14:schemeClr w14:val="tx1"/>
            </w14:solidFill>
          </w14:textFill>
        </w:rPr>
        <w:t>为空地、北</w:t>
      </w:r>
      <w:r>
        <w:rPr>
          <w:rFonts w:hint="default" w:ascii="Times New Roman" w:hAnsi="Times New Roman" w:eastAsia="宋体" w:cs="Times New Roman"/>
          <w:color w:val="000000" w:themeColor="text1"/>
          <w:sz w:val="24"/>
          <w:szCs w:val="24"/>
          <w14:textFill>
            <w14:solidFill>
              <w14:schemeClr w14:val="tx1"/>
            </w14:solidFill>
          </w14:textFill>
        </w:rPr>
        <w:t>侧</w:t>
      </w:r>
      <w:r>
        <w:rPr>
          <w:rFonts w:hint="default" w:ascii="Times New Roman" w:hAnsi="Times New Roman" w:eastAsia="宋体" w:cs="Times New Roman"/>
          <w:color w:val="000000" w:themeColor="text1"/>
          <w:sz w:val="24"/>
          <w:szCs w:val="24"/>
          <w:lang w:eastAsia="zh-CN"/>
          <w14:textFill>
            <w14:solidFill>
              <w14:schemeClr w14:val="tx1"/>
            </w14:solidFill>
          </w14:textFill>
        </w:rPr>
        <w:t>、南侧</w:t>
      </w:r>
      <w:r>
        <w:rPr>
          <w:rFonts w:hint="default" w:ascii="Times New Roman" w:hAnsi="Times New Roman" w:eastAsia="宋体" w:cs="Times New Roman"/>
          <w:color w:val="000000" w:themeColor="text1"/>
          <w:sz w:val="24"/>
          <w:szCs w:val="24"/>
          <w14:textFill>
            <w14:solidFill>
              <w14:schemeClr w14:val="tx1"/>
            </w14:solidFill>
          </w14:textFill>
        </w:rPr>
        <w:t>为</w:t>
      </w:r>
      <w:r>
        <w:rPr>
          <w:rFonts w:hint="default" w:ascii="Times New Roman" w:hAnsi="Times New Roman" w:eastAsia="宋体" w:cs="Times New Roman"/>
          <w:color w:val="000000" w:themeColor="text1"/>
          <w:sz w:val="24"/>
          <w:szCs w:val="24"/>
          <w:lang w:eastAsia="zh-CN"/>
          <w14:textFill>
            <w14:solidFill>
              <w14:schemeClr w14:val="tx1"/>
            </w14:solidFill>
          </w14:textFill>
        </w:rPr>
        <w:t>厂子</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eastAsia="宋体" w:cs="Times New Roman"/>
          <w:color w:val="000000" w:themeColor="text1"/>
          <w:sz w:val="24"/>
          <w:szCs w:val="24"/>
          <w:lang w:eastAsia="zh-CN"/>
          <w14:textFill>
            <w14:solidFill>
              <w14:schemeClr w14:val="tx1"/>
            </w14:solidFill>
          </w14:textFill>
        </w:rPr>
        <w:t>西</w:t>
      </w:r>
      <w:r>
        <w:rPr>
          <w:rFonts w:hint="default" w:ascii="Times New Roman" w:hAnsi="Times New Roman" w:eastAsia="宋体" w:cs="Times New Roman"/>
          <w:color w:val="000000" w:themeColor="text1"/>
          <w:sz w:val="24"/>
          <w:szCs w:val="24"/>
          <w14:textFill>
            <w14:solidFill>
              <w14:schemeClr w14:val="tx1"/>
            </w14:solidFill>
          </w14:textFill>
        </w:rPr>
        <w:t>侧为</w:t>
      </w:r>
      <w:r>
        <w:rPr>
          <w:rFonts w:hint="default" w:ascii="Times New Roman" w:hAnsi="Times New Roman" w:eastAsia="宋体" w:cs="Times New Roman"/>
          <w:color w:val="000000" w:themeColor="text1"/>
          <w:sz w:val="24"/>
          <w:szCs w:val="24"/>
          <w:lang w:eastAsia="zh-CN"/>
          <w14:textFill>
            <w14:solidFill>
              <w14:schemeClr w14:val="tx1"/>
            </w14:solidFill>
          </w14:textFill>
        </w:rPr>
        <w:t>公路</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eastAsia="宋体" w:cs="Times New Roman"/>
          <w:color w:val="000000" w:themeColor="text1"/>
          <w:sz w:val="24"/>
          <w:szCs w:val="24"/>
          <w:highlight w:val="none"/>
          <w14:textFill>
            <w14:solidFill>
              <w14:schemeClr w14:val="tx1"/>
            </w14:solidFill>
          </w14:textFill>
        </w:rPr>
        <w:t>项目周围环境敏感点为</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北侧</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164</w:t>
      </w:r>
      <w:r>
        <w:rPr>
          <w:rFonts w:hint="default" w:ascii="Times New Roman" w:hAnsi="Times New Roman" w:eastAsia="宋体" w:cs="Times New Roman"/>
          <w:color w:val="000000" w:themeColor="text1"/>
          <w:sz w:val="24"/>
          <w:szCs w:val="24"/>
          <w:highlight w:val="none"/>
          <w14:textFill>
            <w14:solidFill>
              <w14:schemeClr w14:val="tx1"/>
            </w14:solidFill>
          </w14:textFill>
        </w:rPr>
        <w:t>m处的</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后刘村</w:t>
      </w:r>
      <w:r>
        <w:rPr>
          <w:rFonts w:hint="default" w:ascii="Times New Roman" w:hAnsi="Times New Roman" w:eastAsia="宋体" w:cs="Times New Roman"/>
          <w:color w:val="000000" w:themeColor="text1"/>
          <w:sz w:val="24"/>
          <w:szCs w:val="24"/>
          <w:highlight w:val="none"/>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东</w:t>
      </w:r>
      <w:r>
        <w:rPr>
          <w:rFonts w:hint="default" w:ascii="Times New Roman" w:hAnsi="Times New Roman" w:eastAsia="宋体" w:cs="Times New Roman"/>
          <w:color w:val="000000" w:themeColor="text1"/>
          <w:sz w:val="24"/>
          <w:szCs w:val="24"/>
          <w:highlight w:val="none"/>
          <w14:textFill>
            <w14:solidFill>
              <w14:schemeClr w14:val="tx1"/>
            </w14:solidFill>
          </w14:textFill>
        </w:rPr>
        <w:t>侧</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220</w:t>
      </w:r>
      <w:r>
        <w:rPr>
          <w:rFonts w:hint="default" w:ascii="Times New Roman" w:hAnsi="Times New Roman" w:eastAsia="宋体" w:cs="Times New Roman"/>
          <w:color w:val="000000" w:themeColor="text1"/>
          <w:sz w:val="24"/>
          <w:szCs w:val="24"/>
          <w:highlight w:val="none"/>
          <w14:textFill>
            <w14:solidFill>
              <w14:schemeClr w14:val="tx1"/>
            </w14:solidFill>
          </w14:textFill>
        </w:rPr>
        <w:t>m处的</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翟庄村</w:t>
      </w:r>
      <w:r>
        <w:rPr>
          <w:rFonts w:hint="default" w:ascii="Times New Roman" w:hAnsi="Times New Roman" w:eastAsia="宋体" w:cs="Times New Roman"/>
          <w:color w:val="000000" w:themeColor="text1"/>
          <w:sz w:val="24"/>
          <w:szCs w:val="24"/>
          <w:highlight w:val="none"/>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东</w:t>
      </w:r>
      <w:r>
        <w:rPr>
          <w:rFonts w:hint="default" w:ascii="Times New Roman" w:hAnsi="Times New Roman" w:eastAsia="宋体" w:cs="Times New Roman"/>
          <w:color w:val="000000" w:themeColor="text1"/>
          <w:sz w:val="24"/>
          <w:szCs w:val="24"/>
          <w:highlight w:val="none"/>
          <w14:textFill>
            <w14:solidFill>
              <w14:schemeClr w14:val="tx1"/>
            </w14:solidFill>
          </w14:textFill>
        </w:rPr>
        <w:t>侧</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889</w:t>
      </w:r>
      <w:r>
        <w:rPr>
          <w:rFonts w:hint="default" w:ascii="Times New Roman" w:hAnsi="Times New Roman" w:eastAsia="宋体" w:cs="Times New Roman"/>
          <w:color w:val="000000" w:themeColor="text1"/>
          <w:sz w:val="24"/>
          <w:szCs w:val="24"/>
          <w:highlight w:val="none"/>
          <w14:textFill>
            <w14:solidFill>
              <w14:schemeClr w14:val="tx1"/>
            </w14:solidFill>
          </w14:textFill>
        </w:rPr>
        <w:t>m处的</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辛庄村，南侧</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435</w:t>
      </w:r>
      <w:r>
        <w:rPr>
          <w:rFonts w:hint="default" w:ascii="Times New Roman" w:hAnsi="Times New Roman" w:eastAsia="宋体" w:cs="Times New Roman"/>
          <w:color w:val="000000" w:themeColor="text1"/>
          <w:sz w:val="24"/>
          <w:szCs w:val="24"/>
          <w:highlight w:val="none"/>
          <w14:textFill>
            <w14:solidFill>
              <w14:schemeClr w14:val="tx1"/>
            </w14:solidFill>
          </w14:textFill>
        </w:rPr>
        <w:t>m处的</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小刘庄</w:t>
      </w:r>
      <w:r>
        <w:rPr>
          <w:rFonts w:hint="default" w:ascii="Times New Roman" w:hAnsi="Times New Roman" w:eastAsia="宋体" w:cs="Times New Roman"/>
          <w:color w:val="000000" w:themeColor="text1"/>
          <w:sz w:val="24"/>
          <w:szCs w:val="24"/>
          <w:highlight w:val="none"/>
          <w14:textFill>
            <w14:solidFill>
              <w14:schemeClr w14:val="tx1"/>
            </w14:solidFill>
          </w14:textFill>
        </w:rPr>
        <w:t>，</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西南侧</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633</w:t>
      </w:r>
      <w:r>
        <w:rPr>
          <w:rFonts w:hint="default" w:ascii="Times New Roman" w:hAnsi="Times New Roman" w:eastAsia="宋体" w:cs="Times New Roman"/>
          <w:color w:val="000000" w:themeColor="text1"/>
          <w:sz w:val="24"/>
          <w:szCs w:val="24"/>
          <w:highlight w:val="none"/>
          <w:lang w:eastAsia="zh-CN"/>
          <w14:textFill>
            <w14:solidFill>
              <w14:schemeClr w14:val="tx1"/>
            </w14:solidFill>
          </w14:textFill>
        </w:rPr>
        <w:t>m处的刘红庙村，西侧</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403m处的杨红庙村</w:t>
      </w:r>
      <w:r>
        <w:rPr>
          <w:rFonts w:hint="default" w:ascii="Times New Roman" w:hAnsi="Times New Roman" w:eastAsia="宋体" w:cs="Times New Roman"/>
          <w:color w:val="000000" w:themeColor="text1"/>
          <w:sz w:val="24"/>
          <w:szCs w:val="24"/>
          <w:highlight w:val="none"/>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项目所在地周围没有自然保护区、风景名胜区、生活饮用水水源地等敏感目标</w:t>
      </w:r>
      <w:r>
        <w:rPr>
          <w:rFonts w:hint="default" w:ascii="Times New Roman" w:hAnsi="Times New Roman" w:eastAsia="宋体" w:cs="Times New Roman"/>
          <w:bCs/>
          <w:color w:val="000000" w:themeColor="text1"/>
          <w:sz w:val="24"/>
          <w:szCs w:val="24"/>
          <w14:textFill>
            <w14:solidFill>
              <w14:schemeClr w14:val="tx1"/>
            </w14:solidFill>
          </w14:textFill>
        </w:rPr>
        <w:t>。</w:t>
      </w:r>
      <w:r>
        <w:rPr>
          <w:rFonts w:hint="default" w:ascii="Times New Roman" w:hAnsi="Times New Roman" w:eastAsia="宋体" w:cs="Times New Roman"/>
          <w:color w:val="auto"/>
          <w:sz w:val="24"/>
          <w:szCs w:val="24"/>
        </w:rPr>
        <w:t>项目地理位置见附图1，周边关系见附图2。</w:t>
      </w:r>
    </w:p>
    <w:p>
      <w:pPr>
        <w:pStyle w:val="7"/>
        <w:rPr>
          <w:rFonts w:hint="default" w:ascii="Times New Roman" w:hAnsi="Times New Roman" w:eastAsia="宋体" w:cs="Times New Roman"/>
        </w:rPr>
      </w:pPr>
      <w:bookmarkStart w:id="44" w:name="_Toc29219"/>
      <w:bookmarkStart w:id="45" w:name="_Toc497001438"/>
      <w:bookmarkStart w:id="46" w:name="_Toc32226"/>
      <w:bookmarkStart w:id="47" w:name="_Toc20079"/>
      <w:bookmarkStart w:id="48" w:name="_Toc496979002"/>
      <w:bookmarkStart w:id="49" w:name="_Toc8614"/>
      <w:r>
        <w:rPr>
          <w:rFonts w:hint="default" w:ascii="Times New Roman" w:hAnsi="Times New Roman" w:eastAsia="宋体" w:cs="Times New Roman"/>
        </w:rPr>
        <w:t>2.1.3厂区平面布置</w:t>
      </w:r>
      <w:bookmarkEnd w:id="44"/>
      <w:bookmarkEnd w:id="45"/>
      <w:bookmarkEnd w:id="46"/>
      <w:bookmarkEnd w:id="47"/>
      <w:bookmarkEnd w:id="48"/>
      <w:bookmarkEnd w:id="49"/>
    </w:p>
    <w:p>
      <w:pPr>
        <w:spacing w:line="440" w:lineRule="atLeast"/>
        <w:ind w:firstLine="480" w:firstLineChars="200"/>
        <w:jc w:val="left"/>
        <w:rPr>
          <w:rFonts w:hint="default" w:ascii="Times New Roman" w:hAnsi="Times New Roman" w:eastAsia="宋体" w:cs="Times New Roman"/>
          <w:sz w:val="24"/>
          <w:szCs w:val="24"/>
        </w:rPr>
      </w:pPr>
      <w:r>
        <w:rPr>
          <w:rFonts w:hint="default"/>
          <w:color w:val="auto"/>
          <w:sz w:val="24"/>
        </w:rPr>
        <w:t>项目</w:t>
      </w:r>
      <w:r>
        <w:rPr>
          <w:rFonts w:hint="eastAsia"/>
          <w:color w:val="auto"/>
          <w:sz w:val="24"/>
          <w:lang w:eastAsia="zh-CN"/>
        </w:rPr>
        <w:t>大门位于厂区西侧，办公室位于厂区西北侧，生产车间位于厂区东北侧，成品库分别位于厂区东侧和南侧，仓库分别位于西南侧和北侧</w:t>
      </w:r>
      <w:r>
        <w:rPr>
          <w:rFonts w:hint="eastAsia"/>
          <w:color w:val="auto"/>
          <w:sz w:val="24"/>
        </w:rPr>
        <w:t>；厂区内</w:t>
      </w:r>
      <w:r>
        <w:rPr>
          <w:rFonts w:hint="default"/>
          <w:color w:val="auto"/>
          <w:sz w:val="24"/>
        </w:rPr>
        <w:t>布局合理</w:t>
      </w:r>
      <w:r>
        <w:rPr>
          <w:color w:val="000000" w:themeColor="text1"/>
          <w:sz w:val="24"/>
          <w14:textFill>
            <w14:solidFill>
              <w14:schemeClr w14:val="tx1"/>
            </w14:solidFill>
          </w14:textFill>
        </w:rPr>
        <w:t>。具体平面布置图详见附图3</w:t>
      </w:r>
      <w:r>
        <w:rPr>
          <w:rFonts w:hint="default" w:ascii="Times New Roman" w:hAnsi="Times New Roman" w:eastAsia="宋体" w:cs="Times New Roman"/>
          <w:sz w:val="24"/>
          <w:szCs w:val="24"/>
        </w:rPr>
        <w:t>。</w:t>
      </w:r>
    </w:p>
    <w:p>
      <w:pPr>
        <w:pStyle w:val="6"/>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23037"/>
      <w:bookmarkStart w:id="51" w:name="_Toc23208"/>
      <w:bookmarkStart w:id="52" w:name="_Toc32048"/>
      <w:bookmarkStart w:id="53" w:name="_Toc27136"/>
      <w:r>
        <w:rPr>
          <w:rFonts w:hint="default" w:ascii="Times New Roman" w:hAnsi="Times New Roman" w:eastAsia="宋体" w:cs="Times New Roman"/>
        </w:rPr>
        <w:t>2.2建设内容</w:t>
      </w:r>
      <w:bookmarkEnd w:id="50"/>
      <w:bookmarkEnd w:id="51"/>
      <w:bookmarkEnd w:id="52"/>
      <w:bookmarkEnd w:id="53"/>
    </w:p>
    <w:p>
      <w:pPr>
        <w:pStyle w:val="7"/>
        <w:spacing w:line="440" w:lineRule="atLeast"/>
        <w:rPr>
          <w:rFonts w:hint="default" w:ascii="Times New Roman" w:hAnsi="Times New Roman" w:eastAsia="宋体" w:cs="Times New Roman"/>
        </w:rPr>
      </w:pPr>
      <w:bookmarkStart w:id="54" w:name="_Toc496979004"/>
      <w:bookmarkStart w:id="55" w:name="_Toc27539"/>
      <w:bookmarkStart w:id="56" w:name="_Toc497001440"/>
      <w:bookmarkStart w:id="57" w:name="_Toc26634"/>
      <w:bookmarkStart w:id="58" w:name="_Toc10787"/>
      <w:bookmarkStart w:id="59" w:name="_Toc30677"/>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7"/>
        <w:spacing w:beforeLines="50" w:line="360" w:lineRule="auto"/>
        <w:ind w:firstLine="480" w:firstLineChars="200"/>
        <w:rPr>
          <w:rFonts w:hint="default" w:ascii="Times New Roman" w:hAnsi="Times New Roman" w:eastAsia="宋体" w:cs="Times New Roman"/>
        </w:rPr>
      </w:pPr>
      <w:bookmarkStart w:id="60" w:name="_Toc26443"/>
      <w:bookmarkStart w:id="61" w:name="_Toc30045"/>
      <w:bookmarkStart w:id="62" w:name="_Toc25732"/>
      <w:bookmarkStart w:id="63" w:name="_Toc26138"/>
      <w:bookmarkStart w:id="64" w:name="_Toc9009"/>
      <w:bookmarkStart w:id="65" w:name="_Toc26546"/>
      <w:r>
        <w:rPr>
          <w:rFonts w:hint="default" w:ascii="Times New Roman" w:hAnsi="Times New Roman" w:eastAsia="宋体" w:cs="Times New Roman"/>
        </w:rPr>
        <w:t>本项目</w:t>
      </w:r>
      <w:bookmarkEnd w:id="60"/>
      <w:bookmarkStart w:id="66" w:name="_Toc496979005"/>
      <w:bookmarkStart w:id="67" w:name="_Toc497001441"/>
      <w:r>
        <w:rPr>
          <w:rFonts w:hint="default"/>
          <w:color w:val="000000" w:themeColor="text1"/>
          <w14:textFill>
            <w14:solidFill>
              <w14:schemeClr w14:val="tx1"/>
            </w14:solidFill>
          </w14:textFill>
        </w:rPr>
        <w:t>年产</w:t>
      </w:r>
      <w:r>
        <w:rPr>
          <w:rFonts w:hint="eastAsia"/>
          <w:color w:val="000000" w:themeColor="text1"/>
          <w:lang w:eastAsia="zh-CN"/>
          <w14:textFill>
            <w14:solidFill>
              <w14:schemeClr w14:val="tx1"/>
            </w14:solidFill>
          </w14:textFill>
        </w:rPr>
        <w:t>弯头</w:t>
      </w:r>
      <w:r>
        <w:rPr>
          <w:rFonts w:hint="eastAsia"/>
          <w:color w:val="000000" w:themeColor="text1"/>
          <w:lang w:val="en-US" w:eastAsia="zh-CN"/>
          <w14:textFill>
            <w14:solidFill>
              <w14:schemeClr w14:val="tx1"/>
            </w14:solidFill>
          </w14:textFill>
        </w:rPr>
        <w:t>400吨</w:t>
      </w:r>
      <w:r>
        <w:rPr>
          <w:rFonts w:hint="eastAsia" w:ascii="Times New Roman" w:hAnsi="Times New Roman" w:cs="Times New Roman"/>
          <w:lang w:val="en-US" w:eastAsia="zh-CN"/>
        </w:rPr>
        <w:t>。</w:t>
      </w:r>
      <w:bookmarkEnd w:id="61"/>
      <w:bookmarkEnd w:id="62"/>
      <w:bookmarkEnd w:id="63"/>
      <w:bookmarkEnd w:id="64"/>
      <w:bookmarkEnd w:id="65"/>
    </w:p>
    <w:p>
      <w:pPr>
        <w:pStyle w:val="7"/>
        <w:spacing w:line="440" w:lineRule="atLeast"/>
        <w:rPr>
          <w:rFonts w:hint="eastAsia" w:ascii="Times New Roman" w:hAnsi="Times New Roman" w:eastAsia="宋体" w:cs="Times New Roman"/>
          <w:sz w:val="24"/>
          <w:szCs w:val="24"/>
          <w:lang w:eastAsia="zh-CN"/>
        </w:rPr>
      </w:pPr>
      <w:bookmarkStart w:id="68" w:name="_Toc13472"/>
      <w:bookmarkStart w:id="69" w:name="_Toc20908"/>
      <w:bookmarkStart w:id="70" w:name="_Toc21731"/>
      <w:bookmarkStart w:id="71" w:name="_Toc23799"/>
      <w:r>
        <w:rPr>
          <w:rFonts w:hint="default" w:ascii="Times New Roman" w:hAnsi="Times New Roman" w:eastAsia="宋体" w:cs="Times New Roman"/>
        </w:rPr>
        <w:t>2.2.2主要原辅材料</w:t>
      </w:r>
      <w:bookmarkEnd w:id="66"/>
      <w:bookmarkEnd w:id="67"/>
      <w:bookmarkEnd w:id="68"/>
      <w:bookmarkEnd w:id="69"/>
      <w:bookmarkEnd w:id="70"/>
      <w:bookmarkEnd w:id="71"/>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72" w:name="_Toc496979006"/>
            <w:bookmarkStart w:id="73" w:name="_Toc4853"/>
            <w:bookmarkStart w:id="74" w:name="_Toc2160"/>
            <w:bookmarkStart w:id="75" w:name="_Toc497001442"/>
            <w:bookmarkStart w:id="76" w:name="_Toc5968"/>
            <w:bookmarkStart w:id="77" w:name="_Toc26045"/>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spacing w:line="360" w:lineRule="exact"/>
              <w:jc w:val="center"/>
              <w:rPr>
                <w:rFonts w:hint="eastAsia" w:ascii="Times New Roman" w:hAnsi="Times New Roman" w:eastAsia="宋体" w:cs="Times New Roman"/>
                <w:color w:val="auto"/>
                <w:kern w:val="0"/>
                <w:sz w:val="21"/>
                <w:szCs w:val="21"/>
                <w:lang w:val="en-US" w:eastAsia="zh-CN"/>
              </w:rPr>
            </w:pPr>
            <w:r>
              <w:rPr>
                <w:rFonts w:hint="eastAsia"/>
                <w:color w:val="000000"/>
                <w:szCs w:val="21"/>
                <w:lang w:val="en-US" w:eastAsia="zh-CN"/>
              </w:rPr>
              <w:t>钢管</w:t>
            </w:r>
          </w:p>
        </w:tc>
        <w:tc>
          <w:tcPr>
            <w:tcW w:w="1238"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eastAsia="zh-CN"/>
              </w:rPr>
            </w:pPr>
            <w:r>
              <w:rPr>
                <w:color w:val="000000"/>
                <w:szCs w:val="21"/>
              </w:rPr>
              <w:t>t/a</w:t>
            </w:r>
          </w:p>
        </w:tc>
        <w:tc>
          <w:tcPr>
            <w:tcW w:w="1881"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color w:val="000000"/>
                <w:szCs w:val="21"/>
                <w:lang w:val="en-US" w:eastAsia="zh-CN"/>
              </w:rPr>
              <w:t>400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7"/>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72"/>
      <w:bookmarkEnd w:id="73"/>
      <w:bookmarkEnd w:id="74"/>
      <w:bookmarkEnd w:id="75"/>
      <w:bookmarkEnd w:id="76"/>
      <w:bookmarkEnd w:id="77"/>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eastAsia" w:ascii="宋体" w:hAnsi="宋体" w:eastAsia="宋体" w:cs="宋体"/>
          <w:sz w:val="24"/>
          <w:szCs w:val="24"/>
        </w:rPr>
        <w:t>本项目</w:t>
      </w:r>
      <w:r>
        <w:rPr>
          <w:rFonts w:hint="eastAsia" w:ascii="宋体" w:hAnsi="宋体" w:eastAsia="宋体" w:cs="宋体"/>
          <w:color w:val="000000" w:themeColor="text1"/>
          <w:sz w:val="24"/>
          <w:szCs w:val="24"/>
          <w14:textFill>
            <w14:solidFill>
              <w14:schemeClr w14:val="tx1"/>
            </w14:solidFill>
          </w14:textFill>
        </w:rPr>
        <w:t>购置注塑机、粉碎机等共7台</w:t>
      </w:r>
      <w:r>
        <w:rPr>
          <w:rFonts w:hint="default" w:ascii="Times New Roman" w:hAnsi="Times New Roman" w:eastAsia="宋体" w:cs="Times New Roman"/>
          <w:sz w:val="24"/>
          <w:szCs w:val="24"/>
        </w:rPr>
        <w:t>，年产</w:t>
      </w:r>
      <w:r>
        <w:rPr>
          <w:rFonts w:hint="eastAsia" w:ascii="Times New Roman" w:hAnsi="Times New Roman" w:cs="Times New Roman"/>
          <w:sz w:val="24"/>
          <w:szCs w:val="24"/>
          <w:lang w:val="en-US" w:eastAsia="zh-CN"/>
        </w:rPr>
        <w:t>电暖气塑料配件26吨</w:t>
      </w:r>
      <w:r>
        <w:rPr>
          <w:rFonts w:hint="default" w:ascii="Times New Roman" w:hAnsi="Times New Roman" w:eastAsia="宋体" w:cs="Times New Roman"/>
          <w:sz w:val="24"/>
          <w:szCs w:val="24"/>
        </w:rPr>
        <w:t>。</w:t>
      </w:r>
      <w:r>
        <w:rPr>
          <w:rFonts w:hint="eastAsia" w:ascii="Times New Roman" w:hAnsi="Times New Roman" w:eastAsia="宋体" w:cs="AIAUJG+ËÎÌå"/>
          <w:color w:val="000000"/>
          <w:spacing w:val="-4"/>
          <w:sz w:val="24"/>
          <w:lang w:eastAsia="zh-CN"/>
        </w:rPr>
        <w:t>本项目由主体工程</w:t>
      </w:r>
      <w:r>
        <w:rPr>
          <w:rFonts w:hint="eastAsia" w:ascii="Times New Roman" w:hAnsi="Times New Roman" w:eastAsia="宋体" w:cs="Times New Roman"/>
          <w:sz w:val="24"/>
          <w:szCs w:val="24"/>
          <w:lang w:val="en-US" w:eastAsia="zh-CN"/>
        </w:rPr>
        <w:t>、环保工程和公用工程组成</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2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801"/>
        <w:gridCol w:w="5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val="en-US" w:eastAsia="zh-CN"/>
              </w:rPr>
              <w:t>类别</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项目</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环评</w:t>
            </w:r>
            <w:r>
              <w:rPr>
                <w:rFonts w:hint="default" w:ascii="Times New Roman" w:hAnsi="Times New Roman" w:eastAsia="宋体" w:cs="Times New Roman"/>
                <w:b/>
                <w:bCs/>
                <w:kern w:val="0"/>
                <w:sz w:val="21"/>
                <w:szCs w:val="21"/>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主体工程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color w:val="auto"/>
                <w:sz w:val="21"/>
                <w:szCs w:val="21"/>
                <w:lang w:val="en-US" w:eastAsia="zh-CN"/>
              </w:rPr>
              <w:t>生产车间</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default"/>
                <w:color w:val="auto"/>
                <w:szCs w:val="21"/>
              </w:rPr>
              <w:t>建筑面积</w:t>
            </w:r>
            <w:r>
              <w:rPr>
                <w:rFonts w:hint="eastAsia"/>
                <w:color w:val="auto"/>
                <w:szCs w:val="21"/>
                <w:lang w:val="en-US" w:eastAsia="zh-CN"/>
              </w:rPr>
              <w:t>105</w:t>
            </w:r>
            <w:r>
              <w:rPr>
                <w:rFonts w:hint="default"/>
                <w:color w:val="auto"/>
                <w:szCs w:val="21"/>
              </w:rPr>
              <w:t>m</w:t>
            </w:r>
            <w:r>
              <w:rPr>
                <w:rFonts w:hint="default"/>
                <w:color w:val="auto"/>
                <w:szCs w:val="21"/>
                <w:vertAlign w:val="superscript"/>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Times New Roman"/>
                <w:kern w:val="0"/>
                <w:sz w:val="21"/>
                <w:szCs w:val="21"/>
                <w:lang w:val="en-US" w:eastAsia="zh-CN"/>
              </w:rPr>
            </w:pPr>
            <w:r>
              <w:rPr>
                <w:rFonts w:hint="eastAsia" w:ascii="Times New Roman" w:hAnsi="Times New Roman" w:cs="Times New Roman"/>
                <w:kern w:val="0"/>
                <w:sz w:val="21"/>
                <w:szCs w:val="21"/>
                <w:lang w:val="en-US" w:eastAsia="zh-CN"/>
              </w:rPr>
              <w:t>辅助工程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办公</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color w:val="auto"/>
                <w:szCs w:val="21"/>
              </w:rPr>
            </w:pPr>
            <w:r>
              <w:rPr>
                <w:rFonts w:hint="default"/>
                <w:color w:val="auto"/>
                <w:szCs w:val="21"/>
              </w:rPr>
              <w:t>建筑面积</w:t>
            </w:r>
            <w:r>
              <w:rPr>
                <w:rFonts w:hint="eastAsia"/>
                <w:color w:val="auto"/>
                <w:szCs w:val="21"/>
                <w:lang w:val="en-US" w:eastAsia="zh-CN"/>
              </w:rPr>
              <w:t>48</w:t>
            </w:r>
            <w:r>
              <w:rPr>
                <w:rFonts w:hint="default"/>
                <w:color w:val="auto"/>
                <w:szCs w:val="21"/>
              </w:rPr>
              <w:t>m</w:t>
            </w:r>
            <w:r>
              <w:rPr>
                <w:rFonts w:hint="default"/>
                <w:color w:val="auto"/>
                <w:szCs w:val="21"/>
                <w:vertAlign w:val="superscript"/>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pP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仓库</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default"/>
                <w:color w:val="auto"/>
                <w:szCs w:val="21"/>
              </w:rPr>
              <w:t>建筑面积</w:t>
            </w:r>
            <w:r>
              <w:rPr>
                <w:rFonts w:hint="eastAsia"/>
                <w:color w:val="auto"/>
                <w:szCs w:val="21"/>
                <w:lang w:val="en-US" w:eastAsia="zh-CN"/>
              </w:rPr>
              <w:t>64</w:t>
            </w:r>
            <w:r>
              <w:rPr>
                <w:rFonts w:hint="default"/>
                <w:color w:val="auto"/>
                <w:szCs w:val="21"/>
              </w:rPr>
              <w:t xml:space="preserve"> m</w:t>
            </w:r>
            <w:r>
              <w:rPr>
                <w:rFonts w:hint="default"/>
                <w:color w:val="auto"/>
                <w:szCs w:val="21"/>
                <w:vertAlign w:val="superscript"/>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公用工程</w:t>
            </w: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供水</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bCs/>
                <w:color w:val="000000" w:themeColor="text1"/>
                <w:kern w:val="2"/>
                <w:szCs w:val="21"/>
                <w14:textFill>
                  <w14:solidFill>
                    <w14:schemeClr w14:val="tx1"/>
                  </w14:solidFill>
                </w14:textFill>
              </w:rPr>
              <w:t>由当地供水系统提供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供电</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color w:val="auto"/>
                <w:szCs w:val="21"/>
              </w:rPr>
              <w:t>由</w:t>
            </w:r>
            <w:r>
              <w:rPr>
                <w:rFonts w:hint="eastAsia"/>
                <w:color w:val="auto"/>
                <w:szCs w:val="21"/>
                <w:lang w:val="en-US" w:eastAsia="zh-CN"/>
              </w:rPr>
              <w:t>当地</w:t>
            </w:r>
            <w:r>
              <w:rPr>
                <w:color w:val="auto"/>
                <w:szCs w:val="21"/>
              </w:rPr>
              <w:t>供电系统提供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供热</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rFonts w:hint="default"/>
                <w:color w:val="000000" w:themeColor="text1"/>
                <w:szCs w:val="21"/>
                <w14:textFill>
                  <w14:solidFill>
                    <w14:schemeClr w14:val="tx1"/>
                  </w14:solidFill>
                </w14:textFill>
              </w:rPr>
              <w:t>项目生产过程中用</w:t>
            </w:r>
            <w:r>
              <w:rPr>
                <w:rFonts w:hint="eastAsia"/>
                <w:color w:val="000000" w:themeColor="text1"/>
                <w:szCs w:val="21"/>
                <w:lang w:eastAsia="zh-CN"/>
                <w14:textFill>
                  <w14:solidFill>
                    <w14:schemeClr w14:val="tx1"/>
                  </w14:solidFill>
                </w14:textFill>
              </w:rPr>
              <w:t>电加</w:t>
            </w:r>
            <w:r>
              <w:rPr>
                <w:rFonts w:hint="default"/>
                <w:color w:val="000000" w:themeColor="text1"/>
                <w:szCs w:val="21"/>
                <w14:textFill>
                  <w14:solidFill>
                    <w14:schemeClr w14:val="tx1"/>
                  </w14:solidFill>
                </w14:textFill>
              </w:rPr>
              <w:t>热，</w:t>
            </w:r>
            <w:r>
              <w:rPr>
                <w:rFonts w:hint="eastAsia"/>
                <w:color w:val="000000" w:themeColor="text1"/>
                <w:szCs w:val="21"/>
                <w14:textFill>
                  <w14:solidFill>
                    <w14:schemeClr w14:val="tx1"/>
                  </w14:solidFill>
                </w14:textFill>
              </w:rPr>
              <w:t>冬季采暖</w:t>
            </w:r>
            <w:r>
              <w:rPr>
                <w:rFonts w:hint="default"/>
                <w:color w:val="000000" w:themeColor="text1"/>
                <w:szCs w:val="21"/>
                <w14:textFill>
                  <w14:solidFill>
                    <w14:schemeClr w14:val="tx1"/>
                  </w14:solidFill>
                </w14:textFill>
              </w:rPr>
              <w:t>采用空调</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环保工程</w:t>
            </w: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废气</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rFonts w:hint="eastAsia"/>
                <w:color w:val="000000" w:themeColor="text1"/>
                <w:szCs w:val="21"/>
                <w:highlight w:val="none"/>
                <w:lang w:eastAsia="zh-CN"/>
                <w14:textFill>
                  <w14:solidFill>
                    <w14:schemeClr w14:val="tx1"/>
                  </w14:solidFill>
                </w14:textFill>
              </w:rPr>
              <w:t>本项目无废气产生</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b w:val="0"/>
                <w:bCs w:val="0"/>
                <w:color w:val="auto"/>
                <w:kern w:val="2"/>
                <w:sz w:val="21"/>
                <w:szCs w:val="21"/>
                <w:lang w:val="en-US" w:eastAsia="zh-CN" w:bidi="ar-SA"/>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废水</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rFonts w:hint="default"/>
                <w:color w:val="000000" w:themeColor="text1"/>
                <w:szCs w:val="21"/>
                <w14:textFill>
                  <w14:solidFill>
                    <w14:schemeClr w14:val="tx1"/>
                  </w14:solidFill>
                </w14:textFill>
              </w:rPr>
              <w:t>本项目无生产废水产生；生活废水主要为盥洗水，</w:t>
            </w:r>
            <w:r>
              <w:rPr>
                <w:rFonts w:hint="eastAsia"/>
                <w:color w:val="000000" w:themeColor="text1"/>
                <w:szCs w:val="21"/>
                <w14:textFill>
                  <w14:solidFill>
                    <w14:schemeClr w14:val="tx1"/>
                  </w14:solidFill>
                </w14:textFill>
              </w:rPr>
              <w:t>厂区泼洒抑尘</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噪声</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rFonts w:hint="default" w:ascii="Times New Roman" w:hAnsi="Times New Roman" w:eastAsia="宋体" w:cs="Times New Roman"/>
                <w:kern w:val="0"/>
                <w:sz w:val="21"/>
                <w:szCs w:val="21"/>
                <w:lang w:val="en-US" w:eastAsia="zh-CN"/>
              </w:rPr>
            </w:pPr>
            <w:r>
              <w:rPr>
                <w:rFonts w:hint="default"/>
                <w:color w:val="000000" w:themeColor="text1"/>
                <w:szCs w:val="21"/>
                <w14:textFill>
                  <w14:solidFill>
                    <w14:schemeClr w14:val="tx1"/>
                  </w14:solidFill>
                </w14:textFill>
              </w:rPr>
              <w:t>合理布局、建筑隔声、减震垫、定期检修</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固体废物</w:t>
            </w:r>
          </w:p>
        </w:tc>
        <w:tc>
          <w:tcPr>
            <w:tcW w:w="5464" w:type="dxa"/>
            <w:tcBorders>
              <w:tl2br w:val="nil"/>
              <w:tr2bl w:val="nil"/>
            </w:tcBorders>
            <w:tcMar>
              <w:top w:w="0" w:type="dxa"/>
              <w:left w:w="0" w:type="dxa"/>
              <w:bottom w:w="0" w:type="dxa"/>
              <w:right w:w="0" w:type="dxa"/>
            </w:tcMar>
            <w:vAlign w:val="center"/>
          </w:tcPr>
          <w:p>
            <w:pPr>
              <w:pStyle w:val="18"/>
              <w:snapToGrid w:val="0"/>
              <w:spacing w:after="0" w:line="360" w:lineRule="exact"/>
              <w:ind w:firstLine="0" w:firstLineChars="0"/>
              <w:jc w:val="left"/>
              <w:rPr>
                <w:color w:val="auto"/>
                <w:sz w:val="21"/>
                <w:szCs w:val="21"/>
              </w:rPr>
            </w:pPr>
            <w:r>
              <w:rPr>
                <w:rFonts w:hint="default"/>
                <w:color w:val="000000" w:themeColor="text1"/>
                <w:szCs w:val="21"/>
                <w14:textFill>
                  <w14:solidFill>
                    <w14:schemeClr w14:val="tx1"/>
                  </w14:solidFill>
                </w14:textFill>
              </w:rPr>
              <w:t>生产过程产生的下脚料</w:t>
            </w:r>
            <w:r>
              <w:rPr>
                <w:rFonts w:hint="eastAsia"/>
                <w:color w:val="000000" w:themeColor="text1"/>
                <w:szCs w:val="21"/>
                <w:lang w:eastAsia="zh-CN"/>
                <w14:textFill>
                  <w14:solidFill>
                    <w14:schemeClr w14:val="tx1"/>
                  </w14:solidFill>
                </w14:textFill>
              </w:rPr>
              <w:t>收集后外售</w:t>
            </w:r>
            <w:r>
              <w:rPr>
                <w:rFonts w:hint="default"/>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含油抹布混入生活垃圾与</w:t>
            </w:r>
            <w:r>
              <w:rPr>
                <w:rFonts w:hint="default"/>
                <w:color w:val="000000" w:themeColor="text1"/>
                <w:szCs w:val="21"/>
                <w14:textFill>
                  <w14:solidFill>
                    <w14:schemeClr w14:val="tx1"/>
                  </w14:solidFill>
                </w14:textFill>
              </w:rPr>
              <w:t>生活垃圾集中收集后由环卫部门统一清运</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bl>
    <w:p>
      <w:pPr>
        <w:pStyle w:val="2"/>
        <w:rPr>
          <w:rFonts w:hint="default"/>
        </w:rPr>
      </w:pPr>
    </w:p>
    <w:p>
      <w:pPr>
        <w:pStyle w:val="7"/>
        <w:rPr>
          <w:rFonts w:hint="default" w:ascii="Times New Roman" w:hAnsi="Times New Roman" w:eastAsia="宋体" w:cs="Times New Roman"/>
        </w:rPr>
      </w:pPr>
      <w:bookmarkStart w:id="78" w:name="_Toc30584"/>
      <w:bookmarkStart w:id="79" w:name="_Toc27810"/>
      <w:bookmarkStart w:id="80" w:name="_Toc1691"/>
      <w:bookmarkStart w:id="81" w:name="_Toc497001443"/>
      <w:bookmarkStart w:id="82" w:name="_Toc17854"/>
      <w:bookmarkStart w:id="83" w:name="_Toc496979007"/>
      <w:r>
        <w:rPr>
          <w:rFonts w:hint="default" w:ascii="Times New Roman" w:hAnsi="Times New Roman" w:eastAsia="宋体" w:cs="Times New Roman"/>
        </w:rPr>
        <w:t>2.2.4生产设备</w:t>
      </w:r>
      <w:bookmarkEnd w:id="78"/>
      <w:bookmarkEnd w:id="79"/>
      <w:bookmarkEnd w:id="80"/>
      <w:bookmarkEnd w:id="81"/>
      <w:bookmarkEnd w:id="82"/>
      <w:bookmarkEnd w:id="83"/>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84" w:name="_Toc9178"/>
            <w:bookmarkStart w:id="85" w:name="_Toc23184"/>
            <w:bookmarkStart w:id="86" w:name="_Toc376"/>
            <w:bookmarkStart w:id="87" w:name="_Toc25900"/>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1</w:t>
            </w:r>
          </w:p>
        </w:tc>
        <w:tc>
          <w:tcPr>
            <w:tcW w:w="2277" w:type="dxa"/>
            <w:tcBorders>
              <w:tl2br w:val="nil"/>
              <w:tr2bl w:val="nil"/>
            </w:tcBorders>
            <w:vAlign w:val="center"/>
          </w:tcPr>
          <w:p>
            <w:pPr>
              <w:autoSpaceDE w:val="0"/>
              <w:autoSpaceDN w:val="0"/>
              <w:adjustRightInd w:val="0"/>
              <w:snapToGrid w:val="0"/>
              <w:spacing w:line="360" w:lineRule="exact"/>
              <w:jc w:val="center"/>
              <w:rPr>
                <w:rFonts w:hint="eastAsia" w:ascii="Times New Roman" w:hAnsi="Times New Roman" w:eastAsia="宋体" w:cs="Times New Roman"/>
                <w:kern w:val="0"/>
                <w:szCs w:val="21"/>
                <w:lang w:eastAsia="zh-CN"/>
              </w:rPr>
            </w:pPr>
            <w:r>
              <w:rPr>
                <w:rFonts w:hint="eastAsia"/>
                <w:color w:val="000000"/>
                <w:szCs w:val="21"/>
                <w:lang w:val="en-US" w:eastAsia="zh-CN"/>
              </w:rPr>
              <w:t>推制机</w:t>
            </w:r>
          </w:p>
        </w:tc>
        <w:tc>
          <w:tcPr>
            <w:tcW w:w="1617" w:type="dxa"/>
            <w:tcBorders>
              <w:tl2br w:val="nil"/>
              <w:tr2bl w:val="nil"/>
            </w:tcBorders>
            <w:vAlign w:val="center"/>
          </w:tcPr>
          <w:p>
            <w:pPr>
              <w:widowControl/>
              <w:jc w:val="center"/>
              <w:rPr>
                <w:rFonts w:hint="eastAsia" w:ascii="Times New Roman" w:hAnsi="Times New Roman" w:eastAsia="宋体" w:cs="Times New Roman"/>
                <w:kern w:val="0"/>
                <w:szCs w:val="21"/>
                <w:lang w:val="en-US" w:eastAsia="zh-CN"/>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spacing w:line="360" w:lineRule="exact"/>
              <w:jc w:val="center"/>
              <w:rPr>
                <w:rFonts w:hint="eastAsia" w:ascii="Times New Roman" w:hAnsi="Times New Roman" w:eastAsia="宋体" w:cs="Times New Roman"/>
                <w:kern w:val="0"/>
                <w:szCs w:val="21"/>
                <w:lang w:val="en-US" w:eastAsia="zh-CN"/>
              </w:rPr>
            </w:pPr>
            <w:r>
              <w:rPr>
                <w:rFonts w:hint="eastAsia"/>
                <w:color w:val="000000"/>
                <w:kern w:val="0"/>
                <w:szCs w:val="21"/>
                <w:lang w:val="en-US" w:eastAsia="zh-CN"/>
              </w:rPr>
              <w:t>1</w:t>
            </w:r>
          </w:p>
        </w:tc>
        <w:tc>
          <w:tcPr>
            <w:tcW w:w="1778"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2</w:t>
            </w:r>
          </w:p>
        </w:tc>
        <w:tc>
          <w:tcPr>
            <w:tcW w:w="2277" w:type="dxa"/>
            <w:tcBorders>
              <w:tl2br w:val="nil"/>
              <w:tr2bl w:val="nil"/>
            </w:tcBorders>
            <w:vAlign w:val="center"/>
          </w:tcPr>
          <w:p>
            <w:pPr>
              <w:autoSpaceDE w:val="0"/>
              <w:autoSpaceDN w:val="0"/>
              <w:adjustRightInd w:val="0"/>
              <w:snapToGrid w:val="0"/>
              <w:spacing w:line="360" w:lineRule="exact"/>
              <w:jc w:val="center"/>
              <w:rPr>
                <w:rFonts w:hint="default" w:ascii="Times New Roman" w:hAnsi="Times New Roman" w:eastAsia="宋体" w:cs="Times New Roman"/>
                <w:kern w:val="0"/>
                <w:szCs w:val="21"/>
                <w:lang w:val="en-US" w:eastAsia="zh-CN"/>
              </w:rPr>
            </w:pPr>
            <w:r>
              <w:rPr>
                <w:rFonts w:hint="eastAsia" w:ascii="Times New Roman" w:hAnsi="Times New Roman" w:cs="Times New Roman"/>
                <w:color w:val="000000"/>
                <w:sz w:val="21"/>
                <w:szCs w:val="21"/>
                <w:lang w:val="en-US" w:eastAsia="zh-CN"/>
              </w:rPr>
              <w:t>锯床</w:t>
            </w:r>
          </w:p>
        </w:tc>
        <w:tc>
          <w:tcPr>
            <w:tcW w:w="1617" w:type="dxa"/>
            <w:tcBorders>
              <w:tl2br w:val="nil"/>
              <w:tr2bl w:val="nil"/>
            </w:tcBorders>
            <w:vAlign w:val="center"/>
          </w:tcPr>
          <w:p>
            <w:pPr>
              <w:widowControl/>
              <w:jc w:val="center"/>
              <w:rPr>
                <w:rFonts w:hint="eastAsia" w:ascii="Times New Roman" w:hAnsi="Times New Roman" w:eastAsia="宋体" w:cs="Times New Roman"/>
                <w:kern w:val="0"/>
                <w:szCs w:val="21"/>
                <w:lang w:val="en-US" w:eastAsia="zh-CN"/>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spacing w:line="360" w:lineRule="exact"/>
              <w:jc w:val="center"/>
              <w:rPr>
                <w:rFonts w:hint="eastAsia" w:ascii="Times New Roman" w:hAnsi="Times New Roman" w:eastAsia="宋体" w:cs="Times New Roman"/>
                <w:kern w:val="0"/>
                <w:szCs w:val="21"/>
                <w:lang w:val="en-US" w:eastAsia="zh-CN"/>
              </w:rPr>
            </w:pPr>
            <w:r>
              <w:rPr>
                <w:rFonts w:hint="eastAsia"/>
                <w:color w:val="000000"/>
                <w:kern w:val="0"/>
                <w:szCs w:val="21"/>
                <w:lang w:val="en-US" w:eastAsia="zh-CN"/>
              </w:rPr>
              <w:t>4</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现场实际为2台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3</w:t>
            </w:r>
          </w:p>
        </w:tc>
        <w:tc>
          <w:tcPr>
            <w:tcW w:w="2277" w:type="dxa"/>
            <w:tcBorders>
              <w:tl2br w:val="nil"/>
              <w:tr2bl w:val="nil"/>
            </w:tcBorders>
            <w:vAlign w:val="center"/>
          </w:tcPr>
          <w:p>
            <w:pPr>
              <w:widowControl/>
              <w:spacing w:line="360" w:lineRule="exact"/>
              <w:jc w:val="center"/>
              <w:textAlignment w:val="center"/>
              <w:rPr>
                <w:rFonts w:hint="default" w:eastAsia="宋体"/>
                <w:kern w:val="0"/>
                <w:sz w:val="21"/>
                <w:szCs w:val="21"/>
                <w:lang w:val="en-US" w:eastAsia="zh-CN"/>
              </w:rPr>
            </w:pPr>
            <w:r>
              <w:rPr>
                <w:rFonts w:hint="eastAsia" w:ascii="Times New Roman" w:hAnsi="Times New Roman" w:cs="Times New Roman"/>
                <w:color w:val="000000"/>
                <w:kern w:val="0"/>
                <w:sz w:val="21"/>
                <w:szCs w:val="21"/>
                <w:lang w:val="en-US" w:eastAsia="zh-CN" w:bidi="ar"/>
              </w:rPr>
              <w:t>车床</w:t>
            </w:r>
          </w:p>
        </w:tc>
        <w:tc>
          <w:tcPr>
            <w:tcW w:w="1617" w:type="dxa"/>
            <w:tcBorders>
              <w:tl2br w:val="nil"/>
              <w:tr2bl w:val="nil"/>
            </w:tcBorders>
            <w:vAlign w:val="center"/>
          </w:tcPr>
          <w:p>
            <w:pPr>
              <w:widowControl/>
              <w:jc w:val="center"/>
              <w:rPr>
                <w:rFonts w:hint="default" w:ascii="Times New Roman" w:hAnsi="Times New Roman" w:eastAsia="宋体" w:cs="Times New Roman"/>
                <w:b w:val="0"/>
                <w:bCs w:val="0"/>
                <w:color w:val="auto"/>
                <w:kern w:val="0"/>
                <w:szCs w:val="21"/>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jc w:val="center"/>
              <w:textAlignment w:val="center"/>
              <w:rPr>
                <w:rFonts w:hint="eastAsia" w:ascii="Times New Roman" w:hAnsi="Times New Roman" w:eastAsia="宋体" w:cs="Times New Roman"/>
                <w:kern w:val="0"/>
                <w:szCs w:val="21"/>
                <w:lang w:val="en-US" w:eastAsia="zh-CN"/>
              </w:rPr>
            </w:pPr>
            <w:r>
              <w:rPr>
                <w:rFonts w:hint="eastAsia"/>
                <w:color w:val="000000"/>
                <w:kern w:val="0"/>
                <w:sz w:val="22"/>
                <w:szCs w:val="22"/>
                <w:lang w:val="en-US" w:eastAsia="zh-CN" w:bidi="ar"/>
              </w:rPr>
              <w:t>3</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spacing w:line="360" w:lineRule="atLeast"/>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4</w:t>
            </w:r>
          </w:p>
        </w:tc>
        <w:tc>
          <w:tcPr>
            <w:tcW w:w="2277" w:type="dxa"/>
            <w:tcBorders>
              <w:tl2br w:val="nil"/>
              <w:tr2bl w:val="nil"/>
            </w:tcBorders>
            <w:vAlign w:val="center"/>
          </w:tcPr>
          <w:p>
            <w:pPr>
              <w:widowControl/>
              <w:spacing w:line="360" w:lineRule="exact"/>
              <w:jc w:val="center"/>
              <w:textAlignment w:val="center"/>
              <w:rPr>
                <w:rFonts w:hint="default" w:ascii="Times New Roman" w:hAnsi="Times New Roman"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截管机</w:t>
            </w:r>
          </w:p>
        </w:tc>
        <w:tc>
          <w:tcPr>
            <w:tcW w:w="1617" w:type="dxa"/>
            <w:tcBorders>
              <w:tl2br w:val="nil"/>
              <w:tr2bl w:val="nil"/>
            </w:tcBorders>
            <w:vAlign w:val="center"/>
          </w:tcPr>
          <w:p>
            <w:pPr>
              <w:widowControl/>
              <w:jc w:val="center"/>
              <w:rPr>
                <w:rFonts w:hint="default" w:ascii="Times New Roman" w:hAnsi="Times New Roman" w:eastAsia="宋体" w:cs="Times New Roman"/>
                <w:b w:val="0"/>
                <w:bCs w:val="0"/>
                <w:color w:val="auto"/>
                <w:kern w:val="0"/>
                <w:szCs w:val="21"/>
              </w:rPr>
            </w:pPr>
            <w:r>
              <w:rPr>
                <w:rFonts w:hint="default" w:ascii="Times New Roman" w:hAnsi="Times New Roman" w:eastAsia="宋体" w:cs="Times New Roman"/>
                <w:b w:val="0"/>
                <w:bCs w:val="0"/>
                <w:color w:val="auto"/>
                <w:kern w:val="0"/>
                <w:szCs w:val="21"/>
              </w:rPr>
              <w:t>台</w:t>
            </w:r>
          </w:p>
        </w:tc>
        <w:tc>
          <w:tcPr>
            <w:tcW w:w="1785" w:type="dxa"/>
            <w:tcBorders>
              <w:tl2br w:val="nil"/>
              <w:tr2bl w:val="nil"/>
            </w:tcBorders>
            <w:vAlign w:val="center"/>
          </w:tcPr>
          <w:p>
            <w:pPr>
              <w:widowControl/>
              <w:jc w:val="center"/>
              <w:textAlignment w:val="center"/>
              <w:rPr>
                <w:rFonts w:hint="eastAsia" w:eastAsia="宋体"/>
                <w:color w:val="000000"/>
                <w:kern w:val="0"/>
                <w:sz w:val="22"/>
                <w:szCs w:val="22"/>
                <w:lang w:val="en-US" w:eastAsia="zh-CN" w:bidi="ar"/>
              </w:rPr>
            </w:pPr>
            <w:r>
              <w:rPr>
                <w:rFonts w:hint="eastAsia"/>
                <w:color w:val="000000"/>
                <w:kern w:val="0"/>
                <w:sz w:val="22"/>
                <w:szCs w:val="22"/>
                <w:lang w:val="en-US" w:eastAsia="zh-CN" w:bidi="ar"/>
              </w:rPr>
              <w:t>1</w:t>
            </w:r>
          </w:p>
        </w:tc>
        <w:tc>
          <w:tcPr>
            <w:tcW w:w="1778" w:type="dxa"/>
            <w:tcBorders>
              <w:tl2br w:val="nil"/>
              <w:tr2bl w:val="nil"/>
            </w:tcBorders>
            <w:vAlign w:val="center"/>
          </w:tcPr>
          <w:p>
            <w:pPr>
              <w:adjustRightInd w:val="0"/>
              <w:snapToGrid w:val="0"/>
              <w:spacing w:line="360" w:lineRule="atLeast"/>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6"/>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84"/>
      <w:bookmarkEnd w:id="85"/>
      <w:bookmarkEnd w:id="86"/>
      <w:bookmarkEnd w:id="87"/>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eastAsia" w:ascii="Times New Roman" w:hAnsi="Times New Roman" w:eastAsia="宋体" w:cs="Times New Roman"/>
          <w:sz w:val="24"/>
          <w:szCs w:val="24"/>
          <w:lang w:eastAsia="zh-CN"/>
        </w:rPr>
      </w:pPr>
      <w:r>
        <w:drawing>
          <wp:inline distT="0" distB="0" distL="114300" distR="114300">
            <wp:extent cx="5274310" cy="1290955"/>
            <wp:effectExtent l="0" t="0" r="2540" b="444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2"/>
                    <a:stretch>
                      <a:fillRect/>
                    </a:stretch>
                  </pic:blipFill>
                  <pic:spPr>
                    <a:xfrm>
                      <a:off x="0" y="0"/>
                      <a:ext cx="5274310" cy="129095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8" w:name="_Toc12629"/>
      <w:bookmarkStart w:id="89" w:name="_Toc29955"/>
      <w:bookmarkStart w:id="90" w:name="_Toc12284"/>
      <w:bookmarkStart w:id="91" w:name="_Toc2746"/>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工艺流程简述：</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①</w:t>
      </w:r>
      <w:r>
        <w:rPr>
          <w:rFonts w:hint="eastAsia" w:ascii="宋体" w:hAnsi="宋体" w:cs="宋体"/>
          <w:color w:val="auto"/>
          <w:kern w:val="2"/>
          <w:sz w:val="24"/>
          <w:szCs w:val="24"/>
          <w:lang w:val="en-US" w:eastAsia="zh-CN" w:bidi="ar-SA"/>
        </w:rPr>
        <w:t>切割</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default"/>
          <w:color w:val="000000" w:themeColor="text1"/>
          <w:sz w:val="24"/>
          <w14:textFill>
            <w14:solidFill>
              <w14:schemeClr w14:val="tx1"/>
            </w14:solidFill>
          </w14:textFill>
        </w:rPr>
        <w:t>根据产品需求，利用</w:t>
      </w:r>
      <w:r>
        <w:rPr>
          <w:rFonts w:hint="eastAsia"/>
          <w:color w:val="000000" w:themeColor="text1"/>
          <w:sz w:val="24"/>
          <w:lang w:eastAsia="zh-CN"/>
          <w14:textFill>
            <w14:solidFill>
              <w14:schemeClr w14:val="tx1"/>
            </w14:solidFill>
          </w14:textFill>
        </w:rPr>
        <w:t>截管机将钢管截断</w:t>
      </w:r>
      <w:r>
        <w:rPr>
          <w:rFonts w:hint="eastAsia" w:ascii="宋体" w:hAnsi="宋体" w:eastAsia="宋体" w:cs="宋体"/>
          <w:color w:val="auto"/>
          <w:kern w:val="2"/>
          <w:sz w:val="24"/>
          <w:szCs w:val="24"/>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②</w:t>
      </w:r>
      <w:r>
        <w:rPr>
          <w:rFonts w:hint="eastAsia" w:ascii="宋体" w:hAnsi="宋体" w:cs="宋体"/>
          <w:color w:val="000000"/>
          <w:kern w:val="0"/>
          <w:sz w:val="24"/>
          <w:szCs w:val="24"/>
          <w:lang w:val="en-US" w:eastAsia="zh-CN"/>
        </w:rPr>
        <w:t>推制</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000000"/>
          <w:kern w:val="0"/>
          <w:sz w:val="24"/>
          <w:szCs w:val="24"/>
        </w:rPr>
      </w:pPr>
      <w:r>
        <w:rPr>
          <w:rFonts w:hint="default"/>
          <w:color w:val="000000" w:themeColor="text1"/>
          <w:sz w:val="24"/>
          <w14:textFill>
            <w14:solidFill>
              <w14:schemeClr w14:val="tx1"/>
            </w14:solidFill>
          </w14:textFill>
        </w:rPr>
        <w:t>根据需要将</w:t>
      </w:r>
      <w:r>
        <w:rPr>
          <w:rFonts w:hint="eastAsia"/>
          <w:color w:val="000000" w:themeColor="text1"/>
          <w:sz w:val="24"/>
          <w:lang w:eastAsia="zh-CN"/>
          <w14:textFill>
            <w14:solidFill>
              <w14:schemeClr w14:val="tx1"/>
            </w14:solidFill>
          </w14:textFill>
        </w:rPr>
        <w:t>截断的钢管放在推制机上推制成弯头形状</w:t>
      </w:r>
      <w:r>
        <w:rPr>
          <w:rFonts w:hint="eastAsia" w:ascii="宋体" w:hAnsi="宋体" w:eastAsia="宋体" w:cs="宋体"/>
          <w:color w:val="000000"/>
          <w:kern w:val="0"/>
          <w:sz w:val="24"/>
          <w:szCs w:val="24"/>
        </w:rPr>
        <w:t>；</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③</w:t>
      </w:r>
      <w:r>
        <w:rPr>
          <w:rFonts w:hint="eastAsia"/>
          <w:color w:val="000000" w:themeColor="text1"/>
          <w:sz w:val="24"/>
          <w:lang w:eastAsia="zh-CN"/>
          <w14:textFill>
            <w14:solidFill>
              <w14:schemeClr w14:val="tx1"/>
            </w14:solidFill>
          </w14:textFill>
        </w:rPr>
        <w:t>车床</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default"/>
          <w:color w:val="000000" w:themeColor="text1"/>
          <w:sz w:val="24"/>
          <w14:textFill>
            <w14:solidFill>
              <w14:schemeClr w14:val="tx1"/>
            </w14:solidFill>
          </w14:textFill>
        </w:rPr>
        <w:t>根据产品需要</w:t>
      </w:r>
      <w:r>
        <w:rPr>
          <w:rFonts w:hint="eastAsia"/>
          <w:color w:val="000000" w:themeColor="text1"/>
          <w:sz w:val="24"/>
          <w:lang w:eastAsia="zh-CN"/>
          <w14:textFill>
            <w14:solidFill>
              <w14:schemeClr w14:val="tx1"/>
            </w14:solidFill>
          </w14:textFill>
        </w:rPr>
        <w:t>用车床对弯头车出成品</w:t>
      </w:r>
      <w:r>
        <w:rPr>
          <w:rFonts w:hint="eastAsia" w:ascii="宋体" w:hAnsi="宋体" w:eastAsia="宋体" w:cs="宋体"/>
          <w:color w:val="000000"/>
          <w:kern w:val="0"/>
          <w:sz w:val="24"/>
          <w:szCs w:val="24"/>
        </w:rPr>
        <w:t>；</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④</w:t>
      </w:r>
      <w:r>
        <w:rPr>
          <w:rFonts w:hint="default"/>
          <w:color w:val="000000" w:themeColor="text1"/>
          <w:sz w:val="24"/>
          <w14:textFill>
            <w14:solidFill>
              <w14:schemeClr w14:val="tx1"/>
            </w14:solidFill>
          </w14:textFill>
        </w:rPr>
        <w:t>成品入库</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kern w:val="2"/>
          <w:sz w:val="24"/>
          <w:szCs w:val="24"/>
          <w:lang w:val="en-US" w:eastAsia="zh-CN" w:bidi="ar-SA"/>
        </w:rPr>
      </w:pPr>
      <w:r>
        <w:rPr>
          <w:rFonts w:hint="default"/>
          <w:color w:val="000000" w:themeColor="text1"/>
          <w:sz w:val="24"/>
          <w14:textFill>
            <w14:solidFill>
              <w14:schemeClr w14:val="tx1"/>
            </w14:solidFill>
          </w14:textFill>
        </w:rPr>
        <w:t>产品入库</w:t>
      </w:r>
      <w:r>
        <w:rPr>
          <w:rFonts w:hint="eastAsia" w:ascii="宋体" w:hAnsi="宋体" w:eastAsia="宋体" w:cs="宋体"/>
          <w:color w:val="auto"/>
          <w:kern w:val="2"/>
          <w:sz w:val="24"/>
          <w:szCs w:val="24"/>
          <w:lang w:val="en-US" w:eastAsia="zh-CN" w:bidi="ar-SA"/>
        </w:rPr>
        <w:t>。</w:t>
      </w:r>
    </w:p>
    <w:p>
      <w:pPr>
        <w:pStyle w:val="6"/>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8"/>
      <w:bookmarkEnd w:id="89"/>
      <w:bookmarkEnd w:id="90"/>
      <w:bookmarkEnd w:id="91"/>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本项目劳动定员为</w:t>
      </w:r>
      <w:r>
        <w:rPr>
          <w:rFonts w:hint="eastAsia" w:ascii="Times New Roman" w:hAnsi="Times New Roman" w:cs="Times New Roman"/>
          <w:sz w:val="24"/>
          <w:szCs w:val="24"/>
          <w:lang w:val="en-US" w:eastAsia="zh-CN"/>
        </w:rPr>
        <w:t>5</w:t>
      </w:r>
      <w:r>
        <w:rPr>
          <w:rFonts w:hint="default" w:ascii="Times New Roman" w:hAnsi="Times New Roman" w:eastAsia="宋体" w:cs="Times New Roman"/>
          <w:sz w:val="24"/>
          <w:szCs w:val="24"/>
        </w:rPr>
        <w:t>人，实行白班工作制，每天8小时，年工作日为300天。</w:t>
      </w:r>
    </w:p>
    <w:p>
      <w:pPr>
        <w:pStyle w:val="6"/>
        <w:rPr>
          <w:rFonts w:hint="default" w:ascii="Times New Roman" w:hAnsi="Times New Roman" w:eastAsia="宋体" w:cs="Times New Roman"/>
        </w:rPr>
      </w:pPr>
      <w:bookmarkStart w:id="92" w:name="_Toc172"/>
      <w:bookmarkStart w:id="93" w:name="_Toc23560"/>
      <w:bookmarkStart w:id="94" w:name="_Toc4180"/>
      <w:bookmarkStart w:id="95" w:name="_Toc18609"/>
      <w:r>
        <w:rPr>
          <w:rFonts w:hint="default" w:ascii="Times New Roman" w:hAnsi="Times New Roman" w:eastAsia="宋体" w:cs="Times New Roman"/>
        </w:rPr>
        <w:t>2.5公用工程</w:t>
      </w:r>
      <w:bookmarkEnd w:id="92"/>
      <w:bookmarkEnd w:id="93"/>
      <w:bookmarkEnd w:id="94"/>
      <w:bookmarkEnd w:id="95"/>
    </w:p>
    <w:p>
      <w:pPr>
        <w:pStyle w:val="7"/>
        <w:spacing w:line="440" w:lineRule="atLeast"/>
        <w:rPr>
          <w:rFonts w:hint="default" w:ascii="Times New Roman" w:hAnsi="Times New Roman" w:eastAsia="宋体" w:cs="Times New Roman"/>
          <w:color w:val="auto"/>
        </w:rPr>
      </w:pPr>
      <w:bookmarkStart w:id="96" w:name="_Toc30587"/>
      <w:bookmarkStart w:id="97" w:name="_Toc497001447"/>
      <w:bookmarkStart w:id="98" w:name="_Toc11895"/>
      <w:bookmarkStart w:id="99" w:name="_Toc496979011"/>
      <w:bookmarkStart w:id="100" w:name="_Toc23987"/>
      <w:bookmarkStart w:id="101" w:name="_Toc30661"/>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6"/>
      <w:bookmarkEnd w:id="97"/>
      <w:bookmarkEnd w:id="98"/>
      <w:bookmarkEnd w:id="99"/>
      <w:bookmarkEnd w:id="100"/>
      <w:bookmarkEnd w:id="101"/>
    </w:p>
    <w:p>
      <w:pPr>
        <w:pStyle w:val="7"/>
        <w:spacing w:line="440" w:lineRule="atLeast"/>
        <w:ind w:firstLine="480" w:firstLineChars="200"/>
        <w:rPr>
          <w:rFonts w:hint="eastAsia" w:ascii="Times New Roman" w:hAnsi="Times New Roman" w:eastAsia="宋体" w:cs="Times New Roman"/>
          <w:color w:val="auto"/>
          <w:lang w:eastAsia="zh-CN"/>
        </w:rPr>
      </w:pPr>
      <w:bookmarkStart w:id="102" w:name="_Toc497001448"/>
      <w:bookmarkStart w:id="103" w:name="_Toc922"/>
      <w:bookmarkStart w:id="104" w:name="_Toc496979012"/>
      <w:r>
        <w:rPr>
          <w:rFonts w:hint="default" w:ascii="Times New Roman" w:hAnsi="Times New Roman" w:eastAsia="宋体" w:cs="Times New Roman"/>
          <w:color w:val="auto"/>
        </w:rPr>
        <w:t>1）给水：项目</w:t>
      </w:r>
      <w:r>
        <w:rPr>
          <w:bCs/>
          <w:color w:val="000000" w:themeColor="text1"/>
          <w:kern w:val="2"/>
          <w:szCs w:val="21"/>
          <w14:textFill>
            <w14:solidFill>
              <w14:schemeClr w14:val="tx1"/>
            </w14:solidFill>
          </w14:textFill>
        </w:rPr>
        <w:t>由当地供水系统提供</w:t>
      </w:r>
      <w:r>
        <w:rPr>
          <w:rFonts w:hint="default" w:ascii="Times New Roman" w:hAnsi="Times New Roman" w:eastAsia="宋体" w:cs="Times New Roman"/>
          <w:color w:val="auto"/>
        </w:rPr>
        <w:t>。</w:t>
      </w:r>
    </w:p>
    <w:p>
      <w:pPr>
        <w:pStyle w:val="7"/>
        <w:spacing w:line="440" w:lineRule="atLeast"/>
        <w:ind w:firstLine="480" w:firstLineChars="200"/>
        <w:rPr>
          <w:rFonts w:ascii="Times New Roman" w:hAnsi="Times New Roman" w:eastAsia="宋体"/>
          <w:color w:val="auto"/>
          <w:kern w:val="28"/>
          <w:sz w:val="24"/>
        </w:rPr>
      </w:pPr>
      <w:bookmarkStart w:id="105"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105"/>
      <w:r>
        <w:rPr>
          <w:rFonts w:hint="eastAsia" w:ascii="Times New Roman" w:hAnsi="Times New Roman" w:eastAsia="宋体"/>
          <w:color w:val="auto"/>
          <w:kern w:val="28"/>
          <w:sz w:val="24"/>
          <w:lang w:eastAsia="zh-CN"/>
        </w:rPr>
        <w:t>本项目</w:t>
      </w:r>
      <w:r>
        <w:rPr>
          <w:bCs/>
          <w:color w:val="auto"/>
          <w:kern w:val="2"/>
          <w:szCs w:val="21"/>
        </w:rPr>
        <w:t>项目</w:t>
      </w:r>
      <w:r>
        <w:rPr>
          <w:rFonts w:hint="eastAsia"/>
          <w:bCs/>
          <w:color w:val="auto"/>
          <w:kern w:val="2"/>
          <w:szCs w:val="21"/>
          <w:lang w:val="en-US" w:eastAsia="zh-CN"/>
        </w:rPr>
        <w:t>无生产废水</w:t>
      </w:r>
      <w:r>
        <w:rPr>
          <w:bCs/>
          <w:color w:val="auto"/>
          <w:kern w:val="2"/>
          <w:szCs w:val="21"/>
        </w:rPr>
        <w:t>；生活用水</w:t>
      </w:r>
      <w:r>
        <w:rPr>
          <w:rFonts w:hint="eastAsia"/>
          <w:color w:val="000000" w:themeColor="text1"/>
          <w:sz w:val="24"/>
          <w14:textFill>
            <w14:solidFill>
              <w14:schemeClr w14:val="tx1"/>
            </w14:solidFill>
          </w14:textFill>
        </w:rPr>
        <w:t>泼洒抑尘不外排</w:t>
      </w:r>
      <w:r>
        <w:rPr>
          <w:rFonts w:hint="eastAsia" w:ascii="Times New Roman" w:hAnsi="Times New Roman"/>
          <w:color w:val="auto"/>
          <w:kern w:val="28"/>
          <w:sz w:val="24"/>
          <w:lang w:eastAsia="zh-CN"/>
        </w:rPr>
        <w:t>。</w:t>
      </w:r>
    </w:p>
    <w:p>
      <w:pPr>
        <w:pStyle w:val="7"/>
        <w:spacing w:line="440" w:lineRule="atLeast"/>
        <w:rPr>
          <w:rFonts w:hint="default" w:ascii="Times New Roman" w:hAnsi="Times New Roman" w:eastAsia="宋体" w:cs="Times New Roman"/>
          <w:color w:val="auto"/>
        </w:rPr>
      </w:pPr>
      <w:bookmarkStart w:id="106" w:name="_Toc26592"/>
      <w:bookmarkStart w:id="107" w:name="_Toc24223"/>
      <w:bookmarkStart w:id="108" w:name="_Toc21823"/>
      <w:r>
        <w:rPr>
          <w:rFonts w:hint="default" w:ascii="Times New Roman" w:hAnsi="Times New Roman" w:eastAsia="宋体" w:cs="Times New Roman"/>
          <w:color w:val="auto"/>
        </w:rPr>
        <w:t>2.5.2供电</w:t>
      </w:r>
      <w:bookmarkEnd w:id="102"/>
      <w:bookmarkEnd w:id="103"/>
      <w:bookmarkEnd w:id="104"/>
      <w:bookmarkEnd w:id="106"/>
      <w:bookmarkEnd w:id="107"/>
      <w:bookmarkEnd w:id="108"/>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项目用电</w:t>
      </w:r>
      <w:r>
        <w:rPr>
          <w:color w:val="auto"/>
          <w:sz w:val="24"/>
          <w:szCs w:val="24"/>
        </w:rPr>
        <w:t>由</w:t>
      </w:r>
      <w:r>
        <w:rPr>
          <w:rFonts w:hint="eastAsia"/>
          <w:color w:val="auto"/>
          <w:sz w:val="24"/>
          <w:szCs w:val="24"/>
          <w:lang w:val="en-US" w:eastAsia="zh-CN"/>
        </w:rPr>
        <w:t>当地</w:t>
      </w:r>
      <w:r>
        <w:rPr>
          <w:color w:val="auto"/>
          <w:sz w:val="24"/>
          <w:szCs w:val="24"/>
        </w:rPr>
        <w:t>供电系统提供</w:t>
      </w:r>
      <w:r>
        <w:rPr>
          <w:rFonts w:hint="eastAsia" w:ascii="Times New Roman" w:hAnsi="Times New Roman" w:cs="Times New Roman"/>
          <w:color w:val="auto"/>
          <w:sz w:val="24"/>
          <w:szCs w:val="24"/>
          <w:lang w:eastAsia="zh-CN"/>
        </w:rPr>
        <w:t>。</w:t>
      </w:r>
    </w:p>
    <w:p>
      <w:pPr>
        <w:pStyle w:val="7"/>
        <w:rPr>
          <w:rFonts w:hint="default" w:ascii="Times New Roman" w:hAnsi="Times New Roman" w:eastAsia="宋体" w:cs="Times New Roman"/>
          <w:color w:val="auto"/>
        </w:rPr>
      </w:pPr>
      <w:bookmarkStart w:id="109" w:name="_Toc2253"/>
      <w:bookmarkStart w:id="110" w:name="_Toc11980"/>
      <w:bookmarkStart w:id="111" w:name="_Toc27473"/>
      <w:bookmarkStart w:id="112" w:name="_Toc138"/>
      <w:r>
        <w:rPr>
          <w:rFonts w:hint="default" w:ascii="Times New Roman" w:hAnsi="Times New Roman" w:eastAsia="宋体" w:cs="Times New Roman"/>
          <w:color w:val="auto"/>
        </w:rPr>
        <w:t>2.5.3供暖</w:t>
      </w:r>
      <w:bookmarkEnd w:id="109"/>
      <w:bookmarkEnd w:id="110"/>
      <w:bookmarkEnd w:id="111"/>
      <w:bookmarkEnd w:id="112"/>
    </w:p>
    <w:p>
      <w:pPr>
        <w:spacing w:line="360" w:lineRule="auto"/>
        <w:ind w:firstLine="480" w:firstLineChars="200"/>
        <w:rPr>
          <w:rFonts w:hint="eastAsia" w:ascii="Times New Roman" w:hAnsi="Times New Roman" w:eastAsia="宋体" w:cs="Times New Roman"/>
          <w:lang w:eastAsia="zh-CN"/>
        </w:rPr>
      </w:pPr>
      <w:bookmarkStart w:id="113" w:name="_Toc21958"/>
      <w:bookmarkStart w:id="114" w:name="_Toc12064"/>
      <w:bookmarkStart w:id="115" w:name="_Toc14595"/>
      <w:bookmarkStart w:id="116" w:name="_Toc23930"/>
      <w:r>
        <w:rPr>
          <w:rFonts w:hint="default"/>
          <w:color w:val="000000" w:themeColor="text1"/>
          <w:sz w:val="24"/>
          <w14:textFill>
            <w14:solidFill>
              <w14:schemeClr w14:val="tx1"/>
            </w14:solidFill>
          </w14:textFill>
        </w:rPr>
        <w:t>本项目生产过程用</w:t>
      </w:r>
      <w:r>
        <w:rPr>
          <w:rFonts w:hint="eastAsia"/>
          <w:color w:val="000000" w:themeColor="text1"/>
          <w:sz w:val="24"/>
          <w:lang w:eastAsia="zh-CN"/>
          <w14:textFill>
            <w14:solidFill>
              <w14:schemeClr w14:val="tx1"/>
            </w14:solidFill>
          </w14:textFill>
        </w:rPr>
        <w:t>电加</w:t>
      </w:r>
      <w:r>
        <w:rPr>
          <w:rFonts w:hint="default"/>
          <w:color w:val="000000" w:themeColor="text1"/>
          <w:sz w:val="24"/>
          <w14:textFill>
            <w14:solidFill>
              <w14:schemeClr w14:val="tx1"/>
            </w14:solidFill>
          </w14:textFill>
        </w:rPr>
        <w:t>热，冬季办公区取暖采用空调</w:t>
      </w:r>
      <w:r>
        <w:rPr>
          <w:rFonts w:hint="eastAsia" w:ascii="Times New Roman" w:hAnsi="Times New Roman" w:cs="Times New Roman"/>
          <w:color w:val="auto"/>
          <w:sz w:val="24"/>
          <w:szCs w:val="24"/>
          <w:lang w:eastAsia="zh-CN"/>
        </w:rPr>
        <w:t>。</w:t>
      </w:r>
    </w:p>
    <w:p>
      <w:pPr>
        <w:pStyle w:val="6"/>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13"/>
      <w:bookmarkEnd w:id="114"/>
      <w:bookmarkEnd w:id="115"/>
      <w:bookmarkEnd w:id="11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bCs/>
          <w:color w:val="000000" w:themeColor="text1"/>
          <w:sz w:val="24"/>
          <w:lang w:val="en-US" w:eastAsia="zh-CN"/>
          <w14:textFill>
            <w14:solidFill>
              <w14:schemeClr w14:val="tx1"/>
            </w14:solidFill>
          </w14:textFill>
        </w:rPr>
        <w:t>湖北黄环环保科技有限公司</w:t>
      </w:r>
      <w:r>
        <w:rPr>
          <w:rFonts w:hint="eastAsia" w:ascii="Times New Roman" w:hAnsi="Times New Roman" w:cs="Times New Roman"/>
          <w:sz w:val="24"/>
          <w:szCs w:val="24"/>
          <w:lang w:val="en-US" w:eastAsia="zh-CN"/>
        </w:rPr>
        <w:t>编制完成了《盐山美辰管件制造厂弯头生产项目环境影响报告表》，于2019年11月1日取得了沧州市生态环境局盐山县分局的批复，审批文号为盐环评[2019]145号</w:t>
      </w:r>
      <w:r>
        <w:rPr>
          <w:rFonts w:hint="eastAsia" w:ascii="Times New Roman" w:hAnsi="Times New Roman" w:eastAsia="宋体" w:cs="Times New Roman"/>
          <w:sz w:val="24"/>
          <w:szCs w:val="24"/>
          <w:lang w:eastAsia="zh-CN"/>
        </w:rPr>
        <w:t>。</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7" w:name="_Toc29987"/>
      <w:bookmarkStart w:id="118" w:name="_Toc31951"/>
      <w:bookmarkStart w:id="119" w:name="_Toc6019"/>
      <w:bookmarkStart w:id="120" w:name="_Toc27205"/>
      <w:r>
        <w:rPr>
          <w:rFonts w:hint="default" w:ascii="Times New Roman" w:hAnsi="Times New Roman" w:eastAsia="宋体" w:cs="Times New Roman"/>
          <w:szCs w:val="22"/>
        </w:rPr>
        <w:t>2.7项目投资</w:t>
      </w:r>
      <w:bookmarkEnd w:id="117"/>
      <w:bookmarkEnd w:id="118"/>
      <w:bookmarkEnd w:id="119"/>
      <w:bookmarkEnd w:id="120"/>
    </w:p>
    <w:p>
      <w:pPr>
        <w:pStyle w:val="6"/>
        <w:ind w:firstLine="480" w:firstLineChars="200"/>
        <w:rPr>
          <w:rFonts w:hint="default" w:ascii="Times New Roman" w:hAnsi="Times New Roman" w:eastAsia="宋体" w:cs="Times New Roman"/>
          <w:b w:val="0"/>
          <w:bCs/>
          <w:color w:val="auto"/>
          <w:kern w:val="2"/>
          <w:sz w:val="24"/>
          <w:szCs w:val="24"/>
          <w:lang w:val="en-US" w:eastAsia="zh-CN" w:bidi="ar-SA"/>
        </w:rPr>
      </w:pPr>
      <w:bookmarkStart w:id="121" w:name="_Toc3229"/>
      <w:bookmarkStart w:id="122" w:name="_Toc21008"/>
      <w:bookmarkStart w:id="123" w:name="_Toc15687"/>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155</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10</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6.45</w:t>
      </w:r>
      <w:r>
        <w:rPr>
          <w:rFonts w:hint="default" w:ascii="Times New Roman" w:hAnsi="Times New Roman" w:eastAsia="宋体" w:cs="Times New Roman"/>
          <w:b w:val="0"/>
          <w:bCs/>
          <w:color w:val="auto"/>
          <w:kern w:val="2"/>
          <w:sz w:val="24"/>
          <w:szCs w:val="24"/>
          <w:lang w:val="en-US" w:eastAsia="zh-CN" w:bidi="ar-SA"/>
        </w:rPr>
        <w:t>%。</w:t>
      </w:r>
      <w:bookmarkStart w:id="124"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155</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10</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6.45</w:t>
      </w:r>
      <w:r>
        <w:rPr>
          <w:rFonts w:hint="eastAsia" w:ascii="Times New Roman" w:hAnsi="Times New Roman" w:eastAsia="宋体" w:cs="Times New Roman"/>
          <w:b w:val="0"/>
          <w:bCs/>
          <w:i w:val="0"/>
          <w:iCs w:val="0"/>
          <w:color w:val="auto"/>
          <w:kern w:val="2"/>
          <w:sz w:val="24"/>
          <w:szCs w:val="24"/>
          <w:lang w:val="en-US" w:eastAsia="zh-CN" w:bidi="ar-SA"/>
        </w:rPr>
        <w:t>%。</w:t>
      </w:r>
      <w:bookmarkEnd w:id="121"/>
      <w:bookmarkEnd w:id="122"/>
      <w:bookmarkEnd w:id="123"/>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5" w:name="_Toc2981"/>
      <w:bookmarkStart w:id="126" w:name="_Toc3625"/>
      <w:bookmarkStart w:id="127" w:name="_Toc22160"/>
      <w:r>
        <w:rPr>
          <w:rFonts w:hint="default" w:ascii="Times New Roman" w:hAnsi="Times New Roman" w:eastAsia="宋体" w:cs="Times New Roman"/>
        </w:rPr>
        <w:t>2.8项目变更情况说明</w:t>
      </w:r>
      <w:bookmarkEnd w:id="124"/>
      <w:bookmarkEnd w:id="125"/>
      <w:bookmarkEnd w:id="126"/>
      <w:bookmarkEnd w:id="127"/>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rPr>
      </w:pPr>
      <w:bookmarkStart w:id="128" w:name="_Toc3130"/>
      <w:bookmarkStart w:id="129" w:name="_Toc30604"/>
      <w:bookmarkStart w:id="130" w:name="_Toc18868"/>
      <w:bookmarkStart w:id="131" w:name="_Toc7013"/>
      <w:r>
        <w:rPr>
          <w:rFonts w:hint="eastAsia" w:ascii="Times New Roman" w:hAnsi="Times New Roman" w:cs="Times New Roman"/>
          <w:b w:val="0"/>
          <w:bCs/>
          <w:color w:val="auto"/>
          <w:kern w:val="2"/>
          <w:sz w:val="24"/>
          <w:szCs w:val="24"/>
          <w:lang w:val="en-US" w:eastAsia="zh-CN" w:bidi="ar-SA"/>
        </w:rPr>
        <w:t>项目锯床环评文件为4台，实际2台。其它建设内容与环评文件对比基本一致</w:t>
      </w:r>
      <w:r>
        <w:rPr>
          <w:rFonts w:hint="default" w:ascii="Times New Roman" w:hAnsi="Times New Roman" w:eastAsia="宋体" w:cs="Times New Roman"/>
          <w:b w:val="0"/>
          <w:bCs/>
          <w:color w:val="auto"/>
          <w:kern w:val="2"/>
          <w:sz w:val="24"/>
          <w:szCs w:val="24"/>
          <w:lang w:val="en-US" w:eastAsia="zh-CN" w:bidi="ar-SA"/>
        </w:rPr>
        <w:t>。</w:t>
      </w:r>
      <w:r>
        <w:rPr>
          <w:rFonts w:hint="default" w:ascii="Times New Roman" w:hAnsi="Times New Roman" w:eastAsia="宋体" w:cs="Times New Roman"/>
        </w:rPr>
        <w:br w:type="page"/>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8"/>
      <w:bookmarkEnd w:id="129"/>
      <w:bookmarkEnd w:id="130"/>
      <w:bookmarkEnd w:id="131"/>
    </w:p>
    <w:p>
      <w:pPr>
        <w:jc w:val="center"/>
        <w:rPr>
          <w:rFonts w:hint="default" w:ascii="Times New Roman" w:hAnsi="Times New Roman" w:eastAsia="宋体" w:cs="Times New Roman"/>
          <w:b/>
          <w:color w:val="auto"/>
          <w:sz w:val="24"/>
          <w:szCs w:val="24"/>
        </w:rPr>
      </w:pPr>
    </w:p>
    <w:p>
      <w:pPr>
        <w:jc w:val="center"/>
        <w:rPr>
          <w:rFonts w:hint="default"/>
        </w:rPr>
      </w:pPr>
      <w:r>
        <w:rPr>
          <w:rFonts w:hint="default" w:ascii="Times New Roman" w:hAnsi="Times New Roman" w:eastAsia="宋体" w:cs="Times New Roman"/>
          <w:b/>
          <w:color w:val="auto"/>
          <w:sz w:val="24"/>
          <w:szCs w:val="24"/>
        </w:rPr>
        <w:t>表2-</w:t>
      </w:r>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p>
    <w:tbl>
      <w:tblPr>
        <w:tblStyle w:val="20"/>
        <w:tblpPr w:leftFromText="180" w:rightFromText="180" w:vertAnchor="text" w:horzAnchor="page" w:tblpX="1861" w:tblpY="704"/>
        <w:tblOverlap w:val="never"/>
        <w:tblW w:w="82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400"/>
        <w:gridCol w:w="688"/>
        <w:gridCol w:w="830"/>
        <w:gridCol w:w="1003"/>
        <w:gridCol w:w="1245"/>
        <w:gridCol w:w="2596"/>
        <w:gridCol w:w="15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777" w:hRule="atLeast"/>
        </w:trPr>
        <w:tc>
          <w:tcPr>
            <w:tcW w:w="400" w:type="dxa"/>
            <w:vAlign w:val="center"/>
          </w:tcPr>
          <w:p>
            <w:pPr>
              <w:pStyle w:val="4"/>
              <w:adjustRightInd w:val="0"/>
              <w:spacing w:line="240" w:lineRule="auto"/>
              <w:jc w:val="center"/>
              <w:rPr>
                <w:color w:val="auto"/>
                <w:sz w:val="21"/>
                <w:szCs w:val="21"/>
              </w:rPr>
            </w:pPr>
            <w:r>
              <w:rPr>
                <w:color w:val="auto"/>
                <w:sz w:val="21"/>
                <w:szCs w:val="21"/>
              </w:rPr>
              <w:t>项目</w:t>
            </w:r>
          </w:p>
        </w:tc>
        <w:tc>
          <w:tcPr>
            <w:tcW w:w="688" w:type="dxa"/>
            <w:vAlign w:val="center"/>
          </w:tcPr>
          <w:p>
            <w:pPr>
              <w:pStyle w:val="4"/>
              <w:adjustRightInd w:val="0"/>
              <w:spacing w:line="240" w:lineRule="auto"/>
              <w:jc w:val="center"/>
              <w:rPr>
                <w:color w:val="auto"/>
                <w:sz w:val="21"/>
                <w:szCs w:val="21"/>
              </w:rPr>
            </w:pPr>
            <w:r>
              <w:rPr>
                <w:color w:val="auto"/>
                <w:sz w:val="21"/>
                <w:szCs w:val="21"/>
              </w:rPr>
              <w:t>污染源</w:t>
            </w:r>
          </w:p>
        </w:tc>
        <w:tc>
          <w:tcPr>
            <w:tcW w:w="830" w:type="dxa"/>
            <w:vAlign w:val="center"/>
          </w:tcPr>
          <w:p>
            <w:pPr>
              <w:pStyle w:val="4"/>
              <w:adjustRightInd w:val="0"/>
              <w:spacing w:line="240" w:lineRule="auto"/>
              <w:jc w:val="center"/>
              <w:rPr>
                <w:color w:val="auto"/>
                <w:sz w:val="21"/>
                <w:szCs w:val="21"/>
              </w:rPr>
            </w:pPr>
            <w:r>
              <w:rPr>
                <w:color w:val="auto"/>
                <w:sz w:val="21"/>
                <w:szCs w:val="21"/>
              </w:rPr>
              <w:t>污染物</w:t>
            </w:r>
          </w:p>
        </w:tc>
        <w:tc>
          <w:tcPr>
            <w:tcW w:w="1003" w:type="dxa"/>
            <w:vAlign w:val="center"/>
          </w:tcPr>
          <w:p>
            <w:pPr>
              <w:pStyle w:val="4"/>
              <w:adjustRightInd w:val="0"/>
              <w:spacing w:line="240" w:lineRule="auto"/>
              <w:jc w:val="center"/>
              <w:rPr>
                <w:color w:val="auto"/>
                <w:sz w:val="21"/>
                <w:szCs w:val="21"/>
              </w:rPr>
            </w:pPr>
            <w:r>
              <w:rPr>
                <w:color w:val="auto"/>
                <w:sz w:val="21"/>
                <w:szCs w:val="21"/>
              </w:rPr>
              <w:t>环保设施名称</w:t>
            </w:r>
          </w:p>
        </w:tc>
        <w:tc>
          <w:tcPr>
            <w:tcW w:w="1245" w:type="dxa"/>
            <w:vAlign w:val="center"/>
          </w:tcPr>
          <w:p>
            <w:pPr>
              <w:pStyle w:val="4"/>
              <w:adjustRightInd w:val="0"/>
              <w:spacing w:line="240" w:lineRule="auto"/>
              <w:jc w:val="center"/>
              <w:rPr>
                <w:color w:val="auto"/>
                <w:sz w:val="21"/>
                <w:szCs w:val="21"/>
              </w:rPr>
            </w:pPr>
            <w:r>
              <w:rPr>
                <w:color w:val="auto"/>
                <w:sz w:val="21"/>
                <w:szCs w:val="21"/>
              </w:rPr>
              <w:t>验收指标</w:t>
            </w:r>
          </w:p>
        </w:tc>
        <w:tc>
          <w:tcPr>
            <w:tcW w:w="2596" w:type="dxa"/>
            <w:vAlign w:val="center"/>
          </w:tcPr>
          <w:p>
            <w:pPr>
              <w:pStyle w:val="4"/>
              <w:adjustRightInd w:val="0"/>
              <w:spacing w:line="240" w:lineRule="auto"/>
              <w:jc w:val="center"/>
              <w:rPr>
                <w:color w:val="auto"/>
                <w:sz w:val="21"/>
                <w:szCs w:val="21"/>
              </w:rPr>
            </w:pPr>
            <w:r>
              <w:rPr>
                <w:color w:val="auto"/>
                <w:sz w:val="21"/>
                <w:szCs w:val="21"/>
              </w:rPr>
              <w:t>验收标准</w:t>
            </w:r>
          </w:p>
        </w:tc>
        <w:tc>
          <w:tcPr>
            <w:tcW w:w="1514" w:type="dxa"/>
            <w:vAlign w:val="center"/>
          </w:tcPr>
          <w:p>
            <w:pPr>
              <w:pStyle w:val="4"/>
              <w:adjustRightInd w:val="0"/>
              <w:spacing w:line="240" w:lineRule="auto"/>
              <w:jc w:val="center"/>
              <w:rPr>
                <w:rFonts w:hint="eastAsia" w:eastAsia="宋体"/>
                <w:color w:val="auto"/>
                <w:sz w:val="21"/>
                <w:szCs w:val="21"/>
                <w:lang w:val="en-US" w:eastAsia="zh-CN"/>
              </w:rPr>
            </w:pPr>
            <w:r>
              <w:rPr>
                <w:rFonts w:hint="eastAsia"/>
                <w:color w:val="auto"/>
                <w:sz w:val="21"/>
                <w:szCs w:val="21"/>
                <w:lang w:val="en-US" w:eastAsia="zh-CN"/>
              </w:rPr>
              <w:t>落实情况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770" w:hRule="atLeast"/>
        </w:trPr>
        <w:tc>
          <w:tcPr>
            <w:tcW w:w="400" w:type="dxa"/>
            <w:vMerge w:val="restart"/>
            <w:vAlign w:val="center"/>
          </w:tcPr>
          <w:p>
            <w:pPr>
              <w:pStyle w:val="4"/>
              <w:adjustRightInd w:val="0"/>
              <w:spacing w:line="240" w:lineRule="auto"/>
              <w:jc w:val="center"/>
              <w:rPr>
                <w:sz w:val="21"/>
                <w:szCs w:val="21"/>
              </w:rPr>
            </w:pPr>
            <w:r>
              <w:rPr>
                <w:sz w:val="21"/>
                <w:szCs w:val="21"/>
              </w:rPr>
              <w:t>废气</w:t>
            </w:r>
          </w:p>
        </w:tc>
        <w:tc>
          <w:tcPr>
            <w:tcW w:w="688" w:type="dxa"/>
            <w:vAlign w:val="center"/>
          </w:tcPr>
          <w:p>
            <w:pPr>
              <w:spacing w:line="240" w:lineRule="auto"/>
              <w:jc w:val="center"/>
              <w:rPr>
                <w:rFonts w:hint="eastAsia" w:eastAsia="宋体"/>
                <w:szCs w:val="21"/>
                <w:lang w:val="en-US" w:eastAsia="zh-CN"/>
              </w:rPr>
            </w:pPr>
            <w:r>
              <w:rPr>
                <w:rFonts w:hint="eastAsia"/>
                <w:szCs w:val="21"/>
                <w:lang w:val="en-US" w:eastAsia="zh-CN"/>
              </w:rPr>
              <w:t>-</w:t>
            </w:r>
          </w:p>
        </w:tc>
        <w:tc>
          <w:tcPr>
            <w:tcW w:w="830" w:type="dxa"/>
            <w:vAlign w:val="center"/>
          </w:tcPr>
          <w:p>
            <w:pPr>
              <w:spacing w:line="240" w:lineRule="auto"/>
              <w:jc w:val="center"/>
              <w:rPr>
                <w:rFonts w:hint="eastAsia" w:eastAsia="宋体"/>
                <w:bCs/>
                <w:color w:val="auto"/>
                <w:szCs w:val="21"/>
                <w:lang w:val="en-US" w:eastAsia="zh-CN"/>
              </w:rPr>
            </w:pPr>
            <w:r>
              <w:rPr>
                <w:rFonts w:hint="eastAsia"/>
                <w:bCs/>
                <w:color w:val="auto"/>
                <w:szCs w:val="21"/>
                <w:lang w:val="en-US" w:eastAsia="zh-CN"/>
              </w:rPr>
              <w:t>-</w:t>
            </w:r>
          </w:p>
        </w:tc>
        <w:tc>
          <w:tcPr>
            <w:tcW w:w="1003" w:type="dxa"/>
            <w:vAlign w:val="center"/>
          </w:tcPr>
          <w:p>
            <w:pPr>
              <w:adjustRightInd w:val="0"/>
              <w:snapToGrid w:val="0"/>
              <w:spacing w:line="240" w:lineRule="auto"/>
              <w:jc w:val="center"/>
              <w:rPr>
                <w:rFonts w:hint="eastAsia" w:eastAsia="宋体"/>
                <w:bCs/>
                <w:color w:val="auto"/>
                <w:szCs w:val="21"/>
                <w:lang w:val="en-US" w:eastAsia="zh-CN"/>
              </w:rPr>
            </w:pPr>
            <w:r>
              <w:rPr>
                <w:rFonts w:hint="eastAsia"/>
                <w:bCs/>
                <w:color w:val="auto"/>
                <w:szCs w:val="21"/>
                <w:lang w:val="en-US" w:eastAsia="zh-CN"/>
              </w:rPr>
              <w:t>-</w:t>
            </w:r>
          </w:p>
        </w:tc>
        <w:tc>
          <w:tcPr>
            <w:tcW w:w="1245" w:type="dxa"/>
            <w:vAlign w:val="center"/>
          </w:tcPr>
          <w:p>
            <w:pPr>
              <w:pStyle w:val="34"/>
              <w:rPr>
                <w:rFonts w:hint="eastAsia" w:eastAsia="宋体"/>
                <w:color w:val="auto"/>
                <w:spacing w:val="9"/>
                <w:kern w:val="2"/>
                <w:sz w:val="24"/>
                <w:szCs w:val="20"/>
                <w:lang w:val="en-US" w:eastAsia="zh-CN"/>
              </w:rPr>
            </w:pPr>
            <w:r>
              <w:rPr>
                <w:rFonts w:hint="eastAsia"/>
                <w:color w:val="auto"/>
                <w:spacing w:val="9"/>
                <w:kern w:val="2"/>
                <w:sz w:val="24"/>
                <w:szCs w:val="20"/>
                <w:lang w:val="en-US" w:eastAsia="zh-CN"/>
              </w:rPr>
              <w:t>-</w:t>
            </w:r>
          </w:p>
        </w:tc>
        <w:tc>
          <w:tcPr>
            <w:tcW w:w="2596" w:type="dxa"/>
            <w:vAlign w:val="center"/>
          </w:tcPr>
          <w:p>
            <w:pPr>
              <w:pStyle w:val="34"/>
              <w:rPr>
                <w:rFonts w:hint="eastAsia" w:eastAsia="宋体"/>
                <w:color w:val="auto"/>
                <w:lang w:val="en-US" w:eastAsia="zh-CN"/>
              </w:rPr>
            </w:pPr>
            <w:r>
              <w:rPr>
                <w:rFonts w:hint="eastAsia"/>
                <w:color w:val="auto"/>
                <w:lang w:val="en-US" w:eastAsia="zh-CN"/>
              </w:rPr>
              <w:t>-</w:t>
            </w:r>
          </w:p>
        </w:tc>
        <w:tc>
          <w:tcPr>
            <w:tcW w:w="1514" w:type="dxa"/>
            <w:vAlign w:val="center"/>
          </w:tcPr>
          <w:p>
            <w:pPr>
              <w:jc w:val="center"/>
              <w:rPr>
                <w:rFonts w:hint="eastAsia"/>
                <w:szCs w:val="21"/>
                <w:lang w:val="en-US" w:eastAsia="zh-CN"/>
              </w:rPr>
            </w:pPr>
            <w:r>
              <w:rPr>
                <w:rFonts w:hint="eastAsia"/>
                <w:szCs w:val="21"/>
                <w:lang w:val="en-US" w:eastAsia="zh-CN"/>
              </w:rPr>
              <w:t>落实</w:t>
            </w:r>
          </w:p>
          <w:p>
            <w:pPr>
              <w:pStyle w:val="34"/>
              <w:rPr>
                <w:rFonts w:hint="eastAsia" w:eastAsia="宋体"/>
                <w:kern w:val="2"/>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284" w:hRule="atLeast"/>
        </w:trPr>
        <w:tc>
          <w:tcPr>
            <w:tcW w:w="400" w:type="dxa"/>
            <w:vAlign w:val="center"/>
          </w:tcPr>
          <w:p>
            <w:pPr>
              <w:pStyle w:val="4"/>
              <w:adjustRightInd w:val="0"/>
              <w:spacing w:line="240" w:lineRule="auto"/>
              <w:jc w:val="center"/>
              <w:rPr>
                <w:sz w:val="21"/>
                <w:szCs w:val="21"/>
              </w:rPr>
            </w:pPr>
            <w:r>
              <w:rPr>
                <w:sz w:val="21"/>
                <w:szCs w:val="21"/>
              </w:rPr>
              <w:t>废水</w:t>
            </w:r>
          </w:p>
        </w:tc>
        <w:tc>
          <w:tcPr>
            <w:tcW w:w="688" w:type="dxa"/>
            <w:vAlign w:val="center"/>
          </w:tcPr>
          <w:p>
            <w:pPr>
              <w:pStyle w:val="4"/>
              <w:adjustRightInd w:val="0"/>
              <w:spacing w:line="240" w:lineRule="auto"/>
              <w:jc w:val="center"/>
              <w:rPr>
                <w:sz w:val="21"/>
                <w:szCs w:val="21"/>
              </w:rPr>
            </w:pPr>
            <w:r>
              <w:rPr>
                <w:sz w:val="21"/>
                <w:szCs w:val="21"/>
              </w:rPr>
              <w:t>厂区职工生活污水</w:t>
            </w:r>
          </w:p>
        </w:tc>
        <w:tc>
          <w:tcPr>
            <w:tcW w:w="830" w:type="dxa"/>
            <w:vAlign w:val="center"/>
          </w:tcPr>
          <w:p>
            <w:pPr>
              <w:widowControl w:val="0"/>
              <w:spacing w:line="240" w:lineRule="auto"/>
              <w:jc w:val="center"/>
              <w:rPr>
                <w:bCs/>
                <w:color w:val="auto"/>
                <w:szCs w:val="21"/>
              </w:rPr>
            </w:pPr>
            <w:r>
              <w:rPr>
                <w:bCs/>
                <w:color w:val="auto"/>
                <w:szCs w:val="21"/>
              </w:rPr>
              <w:t>COD</w:t>
            </w:r>
          </w:p>
          <w:p>
            <w:pPr>
              <w:widowControl w:val="0"/>
              <w:spacing w:line="240" w:lineRule="auto"/>
              <w:jc w:val="center"/>
              <w:rPr>
                <w:bCs/>
                <w:color w:val="auto"/>
                <w:szCs w:val="21"/>
              </w:rPr>
            </w:pPr>
            <w:r>
              <w:rPr>
                <w:bCs/>
                <w:color w:val="auto"/>
                <w:szCs w:val="21"/>
              </w:rPr>
              <w:t>氨氮</w:t>
            </w:r>
          </w:p>
          <w:p>
            <w:pPr>
              <w:widowControl w:val="0"/>
              <w:spacing w:line="240" w:lineRule="auto"/>
              <w:jc w:val="center"/>
              <w:rPr>
                <w:szCs w:val="21"/>
              </w:rPr>
            </w:pPr>
            <w:r>
              <w:rPr>
                <w:bCs/>
                <w:color w:val="auto"/>
                <w:szCs w:val="21"/>
              </w:rPr>
              <w:t>SS</w:t>
            </w:r>
          </w:p>
        </w:tc>
        <w:tc>
          <w:tcPr>
            <w:tcW w:w="1003" w:type="dxa"/>
            <w:vAlign w:val="center"/>
          </w:tcPr>
          <w:p>
            <w:pPr>
              <w:widowControl w:val="0"/>
              <w:spacing w:line="240" w:lineRule="auto"/>
              <w:jc w:val="center"/>
              <w:rPr>
                <w:szCs w:val="21"/>
              </w:rPr>
            </w:pPr>
            <w:r>
              <w:rPr>
                <w:rFonts w:hint="eastAsia"/>
                <w:color w:val="000000" w:themeColor="text1"/>
                <w:sz w:val="21"/>
                <w:szCs w:val="21"/>
                <w14:textFill>
                  <w14:solidFill>
                    <w14:schemeClr w14:val="tx1"/>
                  </w14:solidFill>
                </w14:textFill>
              </w:rPr>
              <w:t>职工盥洗废水泼洒抑尘</w:t>
            </w:r>
          </w:p>
        </w:tc>
        <w:tc>
          <w:tcPr>
            <w:tcW w:w="1245" w:type="dxa"/>
            <w:vAlign w:val="center"/>
          </w:tcPr>
          <w:p>
            <w:pPr>
              <w:widowControl w:val="0"/>
              <w:spacing w:line="240" w:lineRule="auto"/>
              <w:jc w:val="center"/>
              <w:rPr>
                <w:color w:val="auto"/>
                <w:szCs w:val="21"/>
              </w:rPr>
            </w:pPr>
            <w:r>
              <w:rPr>
                <w:color w:val="auto"/>
                <w:szCs w:val="21"/>
              </w:rPr>
              <w:t>不外排</w:t>
            </w:r>
          </w:p>
        </w:tc>
        <w:tc>
          <w:tcPr>
            <w:tcW w:w="2596" w:type="dxa"/>
            <w:vAlign w:val="center"/>
          </w:tcPr>
          <w:p>
            <w:pPr>
              <w:widowControl w:val="0"/>
              <w:snapToGrid w:val="0"/>
              <w:spacing w:line="240" w:lineRule="auto"/>
              <w:ind w:left="-107" w:leftChars="-51" w:right="-61" w:rightChars="-29"/>
              <w:jc w:val="center"/>
              <w:rPr>
                <w:color w:val="auto"/>
                <w:spacing w:val="2"/>
                <w:kern w:val="2"/>
                <w:szCs w:val="21"/>
              </w:rPr>
            </w:pPr>
            <w:r>
              <w:rPr>
                <w:color w:val="auto"/>
                <w:spacing w:val="2"/>
                <w:kern w:val="2"/>
                <w:szCs w:val="21"/>
              </w:rPr>
              <w:t>/</w:t>
            </w:r>
          </w:p>
        </w:tc>
        <w:tc>
          <w:tcPr>
            <w:tcW w:w="1514" w:type="dxa"/>
            <w:vAlign w:val="center"/>
          </w:tcPr>
          <w:p>
            <w:pPr>
              <w:widowControl w:val="0"/>
              <w:snapToGrid w:val="0"/>
              <w:spacing w:line="240" w:lineRule="auto"/>
              <w:ind w:left="-107" w:leftChars="-51" w:right="-61" w:rightChars="-29"/>
              <w:jc w:val="center"/>
              <w:rPr>
                <w:rFonts w:hint="eastAsia" w:eastAsia="宋体"/>
                <w:color w:val="auto"/>
                <w:spacing w:val="2"/>
                <w:kern w:val="2"/>
                <w:szCs w:val="21"/>
                <w:lang w:val="en-US" w:eastAsia="zh-CN"/>
              </w:rPr>
            </w:pPr>
            <w:r>
              <w:rPr>
                <w:rFonts w:hint="eastAsia"/>
                <w:color w:val="auto"/>
                <w:spacing w:val="2"/>
                <w:kern w:val="2"/>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65" w:hRule="atLeast"/>
        </w:trPr>
        <w:tc>
          <w:tcPr>
            <w:tcW w:w="400" w:type="dxa"/>
            <w:vAlign w:val="center"/>
          </w:tcPr>
          <w:p>
            <w:pPr>
              <w:pStyle w:val="4"/>
              <w:adjustRightInd w:val="0"/>
              <w:spacing w:line="240" w:lineRule="auto"/>
              <w:jc w:val="center"/>
              <w:rPr>
                <w:sz w:val="21"/>
                <w:szCs w:val="21"/>
              </w:rPr>
            </w:pPr>
            <w:r>
              <w:rPr>
                <w:sz w:val="21"/>
                <w:szCs w:val="21"/>
              </w:rPr>
              <w:t>噪声</w:t>
            </w:r>
          </w:p>
        </w:tc>
        <w:tc>
          <w:tcPr>
            <w:tcW w:w="1518" w:type="dxa"/>
            <w:gridSpan w:val="2"/>
            <w:vAlign w:val="center"/>
          </w:tcPr>
          <w:p>
            <w:pPr>
              <w:pStyle w:val="4"/>
              <w:adjustRightInd w:val="0"/>
              <w:spacing w:line="240" w:lineRule="auto"/>
              <w:jc w:val="center"/>
              <w:rPr>
                <w:sz w:val="21"/>
                <w:szCs w:val="21"/>
              </w:rPr>
            </w:pPr>
            <w:r>
              <w:rPr>
                <w:sz w:val="21"/>
                <w:szCs w:val="21"/>
              </w:rPr>
              <w:t>生产设备运行噪声</w:t>
            </w:r>
          </w:p>
        </w:tc>
        <w:tc>
          <w:tcPr>
            <w:tcW w:w="1003" w:type="dxa"/>
            <w:vAlign w:val="center"/>
          </w:tcPr>
          <w:p>
            <w:pPr>
              <w:pStyle w:val="4"/>
              <w:adjustRightInd w:val="0"/>
              <w:spacing w:line="240" w:lineRule="auto"/>
              <w:jc w:val="center"/>
              <w:rPr>
                <w:sz w:val="21"/>
                <w:szCs w:val="21"/>
              </w:rPr>
            </w:pPr>
            <w:r>
              <w:rPr>
                <w:sz w:val="21"/>
                <w:szCs w:val="21"/>
              </w:rPr>
              <w:t>选用低噪声设备，产噪设备加装减振垫、厂房内合理布设</w:t>
            </w:r>
          </w:p>
        </w:tc>
        <w:tc>
          <w:tcPr>
            <w:tcW w:w="1245" w:type="dxa"/>
            <w:vAlign w:val="center"/>
          </w:tcPr>
          <w:p>
            <w:pPr>
              <w:snapToGrid w:val="0"/>
              <w:spacing w:line="240" w:lineRule="auto"/>
              <w:jc w:val="center"/>
              <w:rPr>
                <w:szCs w:val="21"/>
              </w:rPr>
            </w:pPr>
            <w:r>
              <w:rPr>
                <w:szCs w:val="21"/>
              </w:rPr>
              <w:t>昼间60dB（A）</w:t>
            </w:r>
          </w:p>
          <w:p>
            <w:pPr>
              <w:spacing w:line="240" w:lineRule="auto"/>
              <w:jc w:val="center"/>
              <w:rPr>
                <w:szCs w:val="21"/>
              </w:rPr>
            </w:pPr>
            <w:r>
              <w:rPr>
                <w:szCs w:val="21"/>
              </w:rPr>
              <w:t>夜间50dB（A）</w:t>
            </w:r>
          </w:p>
        </w:tc>
        <w:tc>
          <w:tcPr>
            <w:tcW w:w="2596" w:type="dxa"/>
            <w:vAlign w:val="center"/>
          </w:tcPr>
          <w:p>
            <w:pPr>
              <w:widowControl w:val="0"/>
              <w:spacing w:line="240" w:lineRule="auto"/>
              <w:jc w:val="center"/>
              <w:rPr>
                <w:szCs w:val="21"/>
              </w:rPr>
            </w:pPr>
            <w:r>
              <w:rPr>
                <w:szCs w:val="21"/>
              </w:rPr>
              <w:t>《工业企业厂界环境噪声排放标准》（GB12348-2008）</w:t>
            </w:r>
          </w:p>
          <w:p>
            <w:pPr>
              <w:widowControl w:val="0"/>
              <w:spacing w:line="240" w:lineRule="auto"/>
              <w:jc w:val="center"/>
              <w:rPr>
                <w:szCs w:val="21"/>
              </w:rPr>
            </w:pPr>
            <w:r>
              <w:rPr>
                <w:szCs w:val="21"/>
              </w:rPr>
              <w:t>中2类标准</w:t>
            </w:r>
          </w:p>
        </w:tc>
        <w:tc>
          <w:tcPr>
            <w:tcW w:w="1514" w:type="dxa"/>
            <w:vAlign w:val="center"/>
          </w:tcPr>
          <w:p>
            <w:pPr>
              <w:widowControl w:val="0"/>
              <w:spacing w:line="240" w:lineRule="auto"/>
              <w:jc w:val="center"/>
              <w:rPr>
                <w:rFonts w:hint="eastAsia" w:eastAsia="宋体"/>
                <w:szCs w:val="21"/>
                <w:lang w:val="en-US" w:eastAsia="zh-CN"/>
              </w:rPr>
            </w:pPr>
            <w:r>
              <w:rPr>
                <w:rFonts w:hint="eastAsia"/>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307" w:hRule="atLeast"/>
        </w:trPr>
        <w:tc>
          <w:tcPr>
            <w:tcW w:w="400" w:type="dxa"/>
            <w:vMerge w:val="restart"/>
            <w:vAlign w:val="center"/>
          </w:tcPr>
          <w:p>
            <w:pPr>
              <w:pStyle w:val="4"/>
              <w:adjustRightInd w:val="0"/>
              <w:spacing w:line="240" w:lineRule="auto"/>
              <w:jc w:val="center"/>
              <w:rPr>
                <w:sz w:val="21"/>
                <w:szCs w:val="21"/>
              </w:rPr>
            </w:pPr>
            <w:r>
              <w:rPr>
                <w:sz w:val="21"/>
                <w:szCs w:val="21"/>
              </w:rPr>
              <w:t>固废</w:t>
            </w:r>
          </w:p>
        </w:tc>
        <w:tc>
          <w:tcPr>
            <w:tcW w:w="688" w:type="dxa"/>
            <w:vAlign w:val="center"/>
          </w:tcPr>
          <w:p>
            <w:pPr>
              <w:pStyle w:val="4"/>
              <w:adjustRightInd w:val="0"/>
              <w:spacing w:line="240" w:lineRule="auto"/>
              <w:jc w:val="center"/>
              <w:rPr>
                <w:sz w:val="21"/>
                <w:szCs w:val="21"/>
              </w:rPr>
            </w:pPr>
            <w:r>
              <w:rPr>
                <w:sz w:val="21"/>
                <w:szCs w:val="21"/>
              </w:rPr>
              <w:t>生产过程</w:t>
            </w:r>
          </w:p>
        </w:tc>
        <w:tc>
          <w:tcPr>
            <w:tcW w:w="830" w:type="dxa"/>
            <w:vAlign w:val="center"/>
          </w:tcPr>
          <w:p>
            <w:pPr>
              <w:pStyle w:val="4"/>
              <w:adjustRightInd w:val="0"/>
              <w:spacing w:line="240" w:lineRule="auto"/>
              <w:jc w:val="center"/>
              <w:rPr>
                <w:sz w:val="21"/>
                <w:szCs w:val="21"/>
              </w:rPr>
            </w:pPr>
            <w:r>
              <w:rPr>
                <w:sz w:val="21"/>
                <w:szCs w:val="21"/>
              </w:rPr>
              <w:t>下脚料</w:t>
            </w:r>
          </w:p>
        </w:tc>
        <w:tc>
          <w:tcPr>
            <w:tcW w:w="1003" w:type="dxa"/>
            <w:vAlign w:val="center"/>
          </w:tcPr>
          <w:p>
            <w:pPr>
              <w:pStyle w:val="4"/>
              <w:adjustRightInd w:val="0"/>
              <w:spacing w:line="240" w:lineRule="auto"/>
              <w:jc w:val="center"/>
              <w:rPr>
                <w:rFonts w:hint="eastAsia" w:eastAsia="宋体"/>
                <w:sz w:val="21"/>
                <w:szCs w:val="21"/>
                <w:lang w:eastAsia="zh-CN"/>
              </w:rPr>
            </w:pPr>
            <w:r>
              <w:rPr>
                <w:sz w:val="21"/>
                <w:szCs w:val="21"/>
              </w:rPr>
              <w:t>收集后</w:t>
            </w:r>
            <w:r>
              <w:rPr>
                <w:rFonts w:hint="eastAsia"/>
                <w:sz w:val="21"/>
                <w:szCs w:val="21"/>
                <w:lang w:val="en-US" w:eastAsia="zh-CN"/>
              </w:rPr>
              <w:t>外售</w:t>
            </w:r>
          </w:p>
        </w:tc>
        <w:tc>
          <w:tcPr>
            <w:tcW w:w="1245" w:type="dxa"/>
            <w:vAlign w:val="center"/>
          </w:tcPr>
          <w:p>
            <w:pPr>
              <w:pStyle w:val="4"/>
              <w:adjustRightInd w:val="0"/>
              <w:spacing w:line="240" w:lineRule="auto"/>
              <w:jc w:val="center"/>
              <w:rPr>
                <w:sz w:val="21"/>
                <w:szCs w:val="21"/>
              </w:rPr>
            </w:pPr>
            <w:r>
              <w:rPr>
                <w:sz w:val="21"/>
                <w:szCs w:val="21"/>
              </w:rPr>
              <w:t>/</w:t>
            </w:r>
          </w:p>
        </w:tc>
        <w:tc>
          <w:tcPr>
            <w:tcW w:w="2596" w:type="dxa"/>
            <w:vAlign w:val="center"/>
          </w:tcPr>
          <w:p>
            <w:pPr>
              <w:widowControl w:val="0"/>
              <w:spacing w:line="240" w:lineRule="auto"/>
              <w:jc w:val="center"/>
              <w:rPr>
                <w:szCs w:val="21"/>
              </w:rPr>
            </w:pPr>
          </w:p>
          <w:p>
            <w:pPr>
              <w:widowControl w:val="0"/>
              <w:spacing w:line="240" w:lineRule="auto"/>
              <w:jc w:val="center"/>
              <w:rPr>
                <w:szCs w:val="21"/>
              </w:rPr>
            </w:pPr>
            <w:r>
              <w:rPr>
                <w:szCs w:val="21"/>
              </w:rPr>
              <w:t>《一般工业固体废物贮存、处置场污染控制标准》GB18599-2001中相关标准</w:t>
            </w:r>
          </w:p>
        </w:tc>
        <w:tc>
          <w:tcPr>
            <w:tcW w:w="1514" w:type="dxa"/>
            <w:vAlign w:val="center"/>
          </w:tcPr>
          <w:p>
            <w:pPr>
              <w:widowControl w:val="0"/>
              <w:spacing w:line="240" w:lineRule="auto"/>
              <w:jc w:val="center"/>
              <w:rPr>
                <w:rFonts w:hint="eastAsia" w:eastAsia="宋体"/>
                <w:szCs w:val="21"/>
                <w:lang w:val="en-US" w:eastAsia="zh-CN"/>
              </w:rPr>
            </w:pPr>
            <w:r>
              <w:rPr>
                <w:rFonts w:hint="eastAsia"/>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099" w:hRule="atLeast"/>
        </w:trPr>
        <w:tc>
          <w:tcPr>
            <w:tcW w:w="400" w:type="dxa"/>
            <w:vMerge w:val="continue"/>
            <w:vAlign w:val="center"/>
          </w:tcPr>
          <w:p>
            <w:pPr>
              <w:pStyle w:val="4"/>
              <w:adjustRightInd w:val="0"/>
              <w:spacing w:line="240" w:lineRule="auto"/>
              <w:jc w:val="center"/>
              <w:rPr>
                <w:sz w:val="21"/>
                <w:szCs w:val="21"/>
              </w:rPr>
            </w:pPr>
          </w:p>
        </w:tc>
        <w:tc>
          <w:tcPr>
            <w:tcW w:w="688" w:type="dxa"/>
            <w:vAlign w:val="center"/>
          </w:tcPr>
          <w:p>
            <w:pPr>
              <w:pStyle w:val="4"/>
              <w:adjustRightInd w:val="0"/>
              <w:spacing w:line="240" w:lineRule="auto"/>
              <w:jc w:val="center"/>
              <w:rPr>
                <w:rFonts w:hint="eastAsia" w:eastAsia="宋体"/>
                <w:sz w:val="21"/>
                <w:szCs w:val="21"/>
                <w:lang w:eastAsia="zh-CN"/>
              </w:rPr>
            </w:pPr>
            <w:r>
              <w:rPr>
                <w:rFonts w:hint="eastAsia"/>
                <w:sz w:val="21"/>
                <w:szCs w:val="21"/>
                <w:lang w:val="en-US" w:eastAsia="zh-CN"/>
              </w:rPr>
              <w:t>生产过程</w:t>
            </w:r>
          </w:p>
        </w:tc>
        <w:tc>
          <w:tcPr>
            <w:tcW w:w="830" w:type="dxa"/>
            <w:vAlign w:val="center"/>
          </w:tcPr>
          <w:p>
            <w:pPr>
              <w:pStyle w:val="4"/>
              <w:adjustRightInd w:val="0"/>
              <w:spacing w:line="240" w:lineRule="auto"/>
              <w:jc w:val="center"/>
              <w:rPr>
                <w:rFonts w:hint="eastAsia" w:eastAsia="宋体"/>
                <w:sz w:val="21"/>
                <w:szCs w:val="21"/>
                <w:lang w:eastAsia="zh-CN"/>
              </w:rPr>
            </w:pPr>
            <w:r>
              <w:rPr>
                <w:rFonts w:hint="eastAsia"/>
                <w:sz w:val="21"/>
                <w:szCs w:val="21"/>
                <w:lang w:val="en-US" w:eastAsia="zh-CN"/>
              </w:rPr>
              <w:t>含油抹布</w:t>
            </w:r>
          </w:p>
        </w:tc>
        <w:tc>
          <w:tcPr>
            <w:tcW w:w="1003" w:type="dxa"/>
            <w:vMerge w:val="restart"/>
            <w:vAlign w:val="center"/>
          </w:tcPr>
          <w:p>
            <w:pPr>
              <w:pStyle w:val="4"/>
              <w:adjustRightInd w:val="0"/>
              <w:spacing w:line="240" w:lineRule="auto"/>
              <w:jc w:val="center"/>
              <w:rPr>
                <w:sz w:val="21"/>
                <w:szCs w:val="21"/>
              </w:rPr>
            </w:pPr>
            <w:r>
              <w:rPr>
                <w:sz w:val="21"/>
                <w:szCs w:val="21"/>
              </w:rPr>
              <w:t>收集后由环卫人员运至垃圾处理厂处理</w:t>
            </w:r>
          </w:p>
        </w:tc>
        <w:tc>
          <w:tcPr>
            <w:tcW w:w="1245" w:type="dxa"/>
            <w:vMerge w:val="restart"/>
            <w:vAlign w:val="center"/>
          </w:tcPr>
          <w:p>
            <w:pPr>
              <w:pStyle w:val="4"/>
              <w:adjustRightInd w:val="0"/>
              <w:spacing w:line="240" w:lineRule="auto"/>
              <w:jc w:val="center"/>
              <w:rPr>
                <w:sz w:val="21"/>
                <w:szCs w:val="21"/>
              </w:rPr>
            </w:pPr>
            <w:r>
              <w:rPr>
                <w:sz w:val="21"/>
                <w:szCs w:val="21"/>
              </w:rPr>
              <w:t>/</w:t>
            </w:r>
          </w:p>
        </w:tc>
        <w:tc>
          <w:tcPr>
            <w:tcW w:w="2596" w:type="dxa"/>
            <w:vMerge w:val="restart"/>
            <w:vAlign w:val="center"/>
          </w:tcPr>
          <w:p>
            <w:pPr>
              <w:pStyle w:val="4"/>
              <w:adjustRightInd w:val="0"/>
              <w:spacing w:line="240" w:lineRule="auto"/>
              <w:jc w:val="center"/>
              <w:rPr>
                <w:sz w:val="21"/>
                <w:szCs w:val="21"/>
              </w:rPr>
            </w:pPr>
            <w:r>
              <w:rPr>
                <w:sz w:val="21"/>
                <w:szCs w:val="21"/>
              </w:rPr>
              <w:t>/</w:t>
            </w:r>
          </w:p>
        </w:tc>
        <w:tc>
          <w:tcPr>
            <w:tcW w:w="1514" w:type="dxa"/>
            <w:vMerge w:val="restart"/>
            <w:vAlign w:val="center"/>
          </w:tcPr>
          <w:p>
            <w:pPr>
              <w:pStyle w:val="4"/>
              <w:adjustRightInd w:val="0"/>
              <w:spacing w:line="240" w:lineRule="auto"/>
              <w:jc w:val="center"/>
              <w:rPr>
                <w:rFonts w:hint="default" w:eastAsia="宋体"/>
                <w:sz w:val="21"/>
                <w:szCs w:val="21"/>
                <w:lang w:val="en-US" w:eastAsia="zh-CN"/>
              </w:rPr>
            </w:pPr>
            <w:r>
              <w:rPr>
                <w:rFonts w:hint="eastAsia"/>
                <w:sz w:val="21"/>
                <w:szCs w:val="21"/>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754" w:hRule="atLeast"/>
        </w:trPr>
        <w:tc>
          <w:tcPr>
            <w:tcW w:w="400" w:type="dxa"/>
            <w:vMerge w:val="continue"/>
            <w:vAlign w:val="center"/>
          </w:tcPr>
          <w:p>
            <w:pPr>
              <w:pStyle w:val="4"/>
              <w:adjustRightInd w:val="0"/>
              <w:spacing w:line="240" w:lineRule="auto"/>
              <w:jc w:val="center"/>
              <w:rPr>
                <w:sz w:val="21"/>
                <w:szCs w:val="21"/>
              </w:rPr>
            </w:pPr>
          </w:p>
        </w:tc>
        <w:tc>
          <w:tcPr>
            <w:tcW w:w="688" w:type="dxa"/>
            <w:vAlign w:val="center"/>
          </w:tcPr>
          <w:p>
            <w:pPr>
              <w:pStyle w:val="4"/>
              <w:adjustRightInd w:val="0"/>
              <w:spacing w:line="240" w:lineRule="auto"/>
              <w:jc w:val="center"/>
              <w:rPr>
                <w:color w:val="auto"/>
                <w:sz w:val="21"/>
                <w:szCs w:val="21"/>
              </w:rPr>
            </w:pPr>
            <w:r>
              <w:rPr>
                <w:color w:val="auto"/>
                <w:sz w:val="21"/>
                <w:szCs w:val="21"/>
              </w:rPr>
              <w:t>厂区职工</w:t>
            </w:r>
          </w:p>
        </w:tc>
        <w:tc>
          <w:tcPr>
            <w:tcW w:w="830" w:type="dxa"/>
            <w:vAlign w:val="center"/>
          </w:tcPr>
          <w:p>
            <w:pPr>
              <w:pStyle w:val="4"/>
              <w:adjustRightInd w:val="0"/>
              <w:spacing w:line="240" w:lineRule="auto"/>
              <w:jc w:val="center"/>
              <w:rPr>
                <w:color w:val="auto"/>
                <w:spacing w:val="-20"/>
                <w:sz w:val="21"/>
                <w:szCs w:val="21"/>
              </w:rPr>
            </w:pPr>
            <w:r>
              <w:rPr>
                <w:color w:val="auto"/>
                <w:spacing w:val="-20"/>
                <w:sz w:val="21"/>
                <w:szCs w:val="21"/>
              </w:rPr>
              <w:t>生活垃圾</w:t>
            </w:r>
          </w:p>
        </w:tc>
        <w:tc>
          <w:tcPr>
            <w:tcW w:w="1003" w:type="dxa"/>
            <w:vMerge w:val="continue"/>
            <w:vAlign w:val="center"/>
          </w:tcPr>
          <w:p>
            <w:pPr>
              <w:pStyle w:val="4"/>
              <w:adjustRightInd w:val="0"/>
              <w:spacing w:line="240" w:lineRule="auto"/>
              <w:jc w:val="center"/>
              <w:rPr>
                <w:sz w:val="21"/>
                <w:szCs w:val="21"/>
              </w:rPr>
            </w:pPr>
          </w:p>
        </w:tc>
        <w:tc>
          <w:tcPr>
            <w:tcW w:w="1245" w:type="dxa"/>
            <w:vMerge w:val="continue"/>
            <w:vAlign w:val="center"/>
          </w:tcPr>
          <w:p>
            <w:pPr>
              <w:pStyle w:val="4"/>
              <w:adjustRightInd w:val="0"/>
              <w:spacing w:line="240" w:lineRule="auto"/>
              <w:jc w:val="center"/>
              <w:rPr>
                <w:sz w:val="21"/>
                <w:szCs w:val="21"/>
              </w:rPr>
            </w:pPr>
          </w:p>
        </w:tc>
        <w:tc>
          <w:tcPr>
            <w:tcW w:w="2596" w:type="dxa"/>
            <w:vMerge w:val="continue"/>
            <w:vAlign w:val="center"/>
          </w:tcPr>
          <w:p>
            <w:pPr>
              <w:pStyle w:val="4"/>
              <w:adjustRightInd w:val="0"/>
              <w:spacing w:line="240" w:lineRule="auto"/>
              <w:jc w:val="center"/>
              <w:rPr>
                <w:sz w:val="21"/>
                <w:szCs w:val="21"/>
              </w:rPr>
            </w:pPr>
          </w:p>
        </w:tc>
        <w:tc>
          <w:tcPr>
            <w:tcW w:w="1514" w:type="dxa"/>
            <w:vMerge w:val="continue"/>
            <w:vAlign w:val="center"/>
          </w:tcPr>
          <w:p>
            <w:pPr>
              <w:pStyle w:val="4"/>
              <w:adjustRightInd w:val="0"/>
              <w:spacing w:line="240" w:lineRule="auto"/>
              <w:jc w:val="center"/>
              <w:rPr>
                <w:rFonts w:hint="default" w:eastAsia="宋体"/>
                <w:sz w:val="21"/>
                <w:szCs w:val="21"/>
                <w:lang w:val="en-US" w:eastAsia="zh-CN"/>
              </w:rPr>
            </w:pPr>
          </w:p>
        </w:tc>
      </w:tr>
    </w:tbl>
    <w:p>
      <w:pPr>
        <w:pStyle w:val="6"/>
        <w:rPr>
          <w:rFonts w:hint="default" w:ascii="Times New Roman" w:hAnsi="Times New Roman" w:eastAsia="宋体" w:cs="Times New Roman"/>
        </w:rPr>
      </w:pPr>
      <w:bookmarkStart w:id="132" w:name="_Toc1554"/>
      <w:bookmarkStart w:id="133" w:name="_Toc1887"/>
      <w:bookmarkStart w:id="134" w:name="_Toc5108"/>
      <w:bookmarkStart w:id="135" w:name="_Toc24447"/>
      <w:r>
        <w:rPr>
          <w:rFonts w:hint="default" w:ascii="Times New Roman" w:hAnsi="Times New Roman" w:eastAsia="宋体" w:cs="Times New Roman"/>
        </w:rPr>
        <w:t>2.10验收范围及内容</w:t>
      </w:r>
      <w:bookmarkEnd w:id="132"/>
      <w:bookmarkEnd w:id="133"/>
      <w:bookmarkEnd w:id="134"/>
      <w:bookmarkEnd w:id="135"/>
    </w:p>
    <w:p>
      <w:pPr>
        <w:adjustRightInd w:val="0"/>
        <w:snapToGrid w:val="0"/>
        <w:spacing w:line="48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项目位于</w:t>
      </w:r>
      <w:r>
        <w:rPr>
          <w:rFonts w:hint="eastAsia" w:ascii="宋体" w:hAnsi="宋体" w:eastAsia="宋体" w:cs="宋体"/>
          <w:color w:val="auto"/>
          <w:sz w:val="24"/>
          <w:szCs w:val="24"/>
        </w:rPr>
        <w:t>河北省沧州市沧州市</w:t>
      </w:r>
      <w:r>
        <w:rPr>
          <w:rFonts w:hint="eastAsia" w:ascii="宋体" w:hAnsi="宋体" w:cs="宋体"/>
          <w:color w:val="auto"/>
          <w:sz w:val="24"/>
          <w:szCs w:val="24"/>
          <w:lang w:val="en-US" w:eastAsia="zh-CN"/>
        </w:rPr>
        <w:t>盐山县后刘村南</w:t>
      </w:r>
      <w:r>
        <w:rPr>
          <w:rFonts w:hint="eastAsia" w:ascii="宋体" w:hAnsi="宋体" w:eastAsia="宋体" w:cs="宋体"/>
          <w:spacing w:val="0"/>
          <w:kern w:val="0"/>
          <w:sz w:val="24"/>
          <w:szCs w:val="24"/>
          <w:lang w:val="en-US" w:eastAsia="zh-CN"/>
        </w:rPr>
        <w:t>，</w:t>
      </w:r>
      <w:r>
        <w:rPr>
          <w:rFonts w:hint="eastAsia" w:ascii="宋体" w:hAnsi="宋体" w:eastAsia="宋体" w:cs="宋体"/>
          <w:sz w:val="24"/>
          <w:szCs w:val="24"/>
          <w:lang w:eastAsia="zh-CN"/>
        </w:rPr>
        <w:t>总投资</w:t>
      </w:r>
      <w:r>
        <w:rPr>
          <w:rFonts w:hint="eastAsia" w:ascii="宋体" w:hAnsi="宋体" w:cs="宋体"/>
          <w:sz w:val="24"/>
          <w:szCs w:val="24"/>
          <w:lang w:val="en-US" w:eastAsia="zh-CN"/>
        </w:rPr>
        <w:t>155</w:t>
      </w:r>
      <w:r>
        <w:rPr>
          <w:rFonts w:hint="eastAsia" w:ascii="宋体" w:hAnsi="宋体" w:eastAsia="宋体" w:cs="宋体"/>
          <w:sz w:val="24"/>
          <w:szCs w:val="24"/>
          <w:lang w:val="en-US" w:eastAsia="zh-CN"/>
        </w:rPr>
        <w:t>万元，</w:t>
      </w:r>
      <w:r>
        <w:rPr>
          <w:rFonts w:hint="eastAsia" w:ascii="宋体" w:hAnsi="宋体" w:eastAsia="宋体" w:cs="宋体"/>
          <w:color w:val="000000" w:themeColor="text1"/>
          <w:sz w:val="24"/>
          <w:szCs w:val="24"/>
          <w14:textFill>
            <w14:solidFill>
              <w14:schemeClr w14:val="tx1"/>
            </w14:solidFill>
          </w14:textFill>
        </w:rPr>
        <w:t>项目主体工程为建设车间等配套及辅助设施等共</w:t>
      </w:r>
      <w:r>
        <w:rPr>
          <w:rFonts w:hint="eastAsia" w:ascii="宋体" w:hAnsi="宋体" w:cs="宋体"/>
          <w:color w:val="000000" w:themeColor="text1"/>
          <w:sz w:val="24"/>
          <w:szCs w:val="24"/>
          <w:lang w:val="en-US" w:eastAsia="zh-CN"/>
          <w14:textFill>
            <w14:solidFill>
              <w14:schemeClr w14:val="tx1"/>
            </w14:solidFill>
          </w14:textFill>
        </w:rPr>
        <w:t>500</w:t>
      </w:r>
      <w:r>
        <w:rPr>
          <w:rFonts w:hint="eastAsia" w:ascii="宋体" w:hAnsi="宋体" w:eastAsia="宋体" w:cs="宋体"/>
          <w:color w:val="000000" w:themeColor="text1"/>
          <w:sz w:val="24"/>
          <w:szCs w:val="24"/>
          <w14:textFill>
            <w14:solidFill>
              <w14:schemeClr w14:val="tx1"/>
            </w14:solidFill>
          </w14:textFill>
        </w:rPr>
        <w:t>平方米；购置</w:t>
      </w:r>
      <w:r>
        <w:rPr>
          <w:rFonts w:hint="eastAsia" w:ascii="宋体" w:hAnsi="宋体" w:cs="宋体"/>
          <w:color w:val="000000" w:themeColor="text1"/>
          <w:sz w:val="24"/>
          <w:szCs w:val="24"/>
          <w:lang w:val="en-US" w:eastAsia="zh-CN"/>
          <w14:textFill>
            <w14:solidFill>
              <w14:schemeClr w14:val="tx1"/>
            </w14:solidFill>
          </w14:textFill>
        </w:rPr>
        <w:t>推制机</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锯床、车床、截管机</w:t>
      </w:r>
      <w:r>
        <w:rPr>
          <w:rFonts w:hint="eastAsia" w:ascii="宋体" w:hAnsi="宋体" w:eastAsia="宋体" w:cs="宋体"/>
          <w:color w:val="000000" w:themeColor="text1"/>
          <w:sz w:val="24"/>
          <w:szCs w:val="24"/>
          <w14:textFill>
            <w14:solidFill>
              <w14:schemeClr w14:val="tx1"/>
            </w14:solidFill>
          </w14:textFill>
        </w:rPr>
        <w:t>等共</w:t>
      </w:r>
      <w:r>
        <w:rPr>
          <w:rFonts w:hint="eastAsia" w:ascii="宋体" w:hAnsi="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台</w:t>
      </w:r>
      <w:r>
        <w:rPr>
          <w:rFonts w:hint="eastAsia" w:ascii="宋体" w:hAnsi="宋体" w:eastAsia="宋体" w:cs="宋体"/>
          <w:sz w:val="24"/>
          <w:szCs w:val="24"/>
          <w:lang w:val="en-US" w:eastAsia="zh-CN"/>
        </w:rPr>
        <w:t>，年产</w:t>
      </w:r>
      <w:r>
        <w:rPr>
          <w:rFonts w:hint="eastAsia" w:ascii="宋体" w:hAnsi="宋体" w:cs="宋体"/>
          <w:sz w:val="24"/>
          <w:szCs w:val="24"/>
          <w:lang w:val="en-US" w:eastAsia="zh-CN"/>
        </w:rPr>
        <w:t>弯头400</w:t>
      </w:r>
      <w:r>
        <w:rPr>
          <w:rFonts w:hint="eastAsia" w:ascii="宋体" w:hAnsi="宋体" w:eastAsia="宋体" w:cs="宋体"/>
          <w:sz w:val="24"/>
          <w:szCs w:val="24"/>
          <w:lang w:val="en-US" w:eastAsia="zh-CN"/>
        </w:rPr>
        <w:t>吨。建设单位按照环评要求落实各项污染防治措施。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本项目</w:t>
      </w:r>
      <w:r>
        <w:rPr>
          <w:rFonts w:hint="eastAsia" w:ascii="Times New Roman" w:hAnsi="Times New Roman"/>
          <w:color w:val="auto"/>
          <w:spacing w:val="-6"/>
          <w:sz w:val="24"/>
          <w:szCs w:val="24"/>
          <w:lang w:val="en-US" w:eastAsia="zh-CN"/>
        </w:rPr>
        <w:t>无废气产生</w:t>
      </w:r>
      <w:r>
        <w:rPr>
          <w:rFonts w:hint="default" w:ascii="Times New Roman" w:hAnsi="Times New Roman" w:eastAsia="宋体" w:cs="Times New Roman"/>
          <w:color w:val="auto"/>
          <w:sz w:val="24"/>
          <w:szCs w:val="24"/>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cs="Times New Roman"/>
          <w:color w:val="auto"/>
          <w:sz w:val="24"/>
          <w:szCs w:val="24"/>
          <w:lang w:val="en-US" w:eastAsia="zh-CN"/>
        </w:rPr>
        <w:t>本项目锯床和推制机均使用冷却水，循环使用无外排。生活污水用于厂区泼洒抑尘，无外排</w:t>
      </w:r>
      <w:r>
        <w:rPr>
          <w:rFonts w:hint="eastAsia" w:ascii="Times New Roman" w:hAnsi="Times New Roman" w:eastAsia="宋体" w:cs="Times New Roman"/>
          <w:color w:val="auto"/>
          <w:sz w:val="24"/>
          <w:szCs w:val="24"/>
          <w:lang w:val="zh-CN" w:eastAsia="zh-CN"/>
        </w:rPr>
        <w:t>。</w:t>
      </w:r>
      <w:r>
        <w:rPr>
          <w:rFonts w:hint="default" w:ascii="Times New Roman" w:hAnsi="Times New Roman" w:eastAsia="宋体" w:cs="Times New Roman"/>
          <w:sz w:val="24"/>
          <w:szCs w:val="24"/>
          <w:lang w:eastAsia="zh-CN"/>
        </w:rPr>
        <w:t>为检查内容。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cs="Times New Roman"/>
          <w:sz w:val="24"/>
          <w:szCs w:val="24"/>
          <w:lang w:val="en-US" w:eastAsia="zh-CN"/>
        </w:rPr>
        <w:t>项目噪声主要为截管机、车床等生产设备运转时产生的噪声，采取车间内布设、建筑隔声、距离衰减等降噪。</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eastAsia" w:ascii="Times New Roman" w:hAnsi="Times New Roman" w:cs="Times New Roman"/>
          <w:sz w:val="24"/>
          <w:szCs w:val="24"/>
          <w:lang w:val="en-US" w:eastAsia="zh-CN"/>
        </w:rPr>
        <w:t>项目生产过程产生的下脚料手机后外售；含油抹布和生活垃圾收集后由环卫部门定期清运处理</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5"/>
        <w:rPr>
          <w:rFonts w:hint="default" w:ascii="Times New Roman" w:hAnsi="Times New Roman" w:eastAsia="宋体" w:cs="Times New Roman"/>
        </w:rPr>
      </w:pPr>
      <w:bookmarkStart w:id="136" w:name="_Toc21809"/>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137" w:name="_Toc8056"/>
      <w:bookmarkStart w:id="138" w:name="_Toc12475"/>
      <w:bookmarkStart w:id="139" w:name="_Toc2185"/>
      <w:r>
        <w:rPr>
          <w:rFonts w:hint="default" w:ascii="Times New Roman" w:hAnsi="Times New Roman" w:eastAsia="宋体" w:cs="Times New Roman"/>
        </w:rPr>
        <w:t>3主要污染源及治理措施</w:t>
      </w:r>
      <w:bookmarkEnd w:id="136"/>
      <w:bookmarkEnd w:id="137"/>
      <w:bookmarkEnd w:id="138"/>
      <w:bookmarkEnd w:id="139"/>
    </w:p>
    <w:p>
      <w:pPr>
        <w:pStyle w:val="6"/>
        <w:rPr>
          <w:rFonts w:hint="default" w:ascii="Times New Roman" w:hAnsi="Times New Roman" w:eastAsia="宋体" w:cs="Times New Roman"/>
          <w:color w:val="FF0000"/>
        </w:rPr>
      </w:pPr>
      <w:bookmarkStart w:id="140" w:name="_Toc381"/>
      <w:bookmarkStart w:id="141" w:name="_Toc31233"/>
      <w:bookmarkStart w:id="142" w:name="_Toc10538"/>
      <w:bookmarkStart w:id="143" w:name="_Toc12186"/>
      <w:r>
        <w:rPr>
          <w:rFonts w:hint="default" w:ascii="Times New Roman" w:hAnsi="Times New Roman" w:eastAsia="宋体" w:cs="Times New Roman"/>
          <w:color w:val="FF0000"/>
        </w:rPr>
        <w:t>3.1施工期主要污染源及治理措施</w:t>
      </w:r>
      <w:bookmarkEnd w:id="140"/>
      <w:bookmarkEnd w:id="141"/>
      <w:bookmarkEnd w:id="142"/>
      <w:bookmarkEnd w:id="143"/>
    </w:p>
    <w:p>
      <w:pPr>
        <w:adjustRightInd w:val="0"/>
        <w:snapToGrid w:val="0"/>
        <w:spacing w:line="360" w:lineRule="auto"/>
        <w:ind w:firstLine="480" w:firstLineChars="200"/>
        <w:jc w:val="left"/>
        <w:rPr>
          <w:sz w:val="24"/>
          <w:szCs w:val="24"/>
        </w:rPr>
      </w:pPr>
      <w:r>
        <w:rPr>
          <w:sz w:val="24"/>
          <w:szCs w:val="24"/>
        </w:rPr>
        <w:t>项目施工过程中对区域大气环境的影响主要是地面扬尘污染，污染因子为TSP，污染源主要来自以下几个方面：土地平整等施工过程产生的施工垃圾随意堆放，如遇大风天气，会造成扬尘污染；物料运输车辆在施工便道运行过程中将产生尘土；原料堆存、装卸过程产生尘土。工程施工期间扬尘会对周围居民产生影响，本评价要求建设及施工单位严格执行《关于印发河北省&lt;施工场地扬尘排放标准&gt;的通知》(DB 13/ 2934</w:t>
      </w:r>
      <w:r>
        <w:rPr>
          <w:rFonts w:hint="eastAsia"/>
          <w:sz w:val="24"/>
          <w:szCs w:val="24"/>
          <w:lang w:val="en-US" w:eastAsia="zh-CN"/>
        </w:rPr>
        <w:t>-</w:t>
      </w:r>
      <w:r>
        <w:rPr>
          <w:sz w:val="24"/>
          <w:szCs w:val="24"/>
        </w:rPr>
        <w:t>2019)、《防治城市扬尘污染技术规范》(HJ/T 393-2007)、《河北省大气污染防治实施行动计划》 (冀发[2013]23号)、《河北省大气污染防治条例》(2016年1月13日)、《关于印发&lt;关于进一步加强建筑工程施工扬尘治理的若干规定&gt;的通知》(冀建法[2013]28号)、《沧州市重污染天气应急预案》及同类施工场地采取的抑尘措施，</w:t>
      </w:r>
    </w:p>
    <w:p>
      <w:pPr>
        <w:adjustRightInd w:val="0"/>
        <w:snapToGrid w:val="0"/>
        <w:spacing w:line="360" w:lineRule="auto"/>
        <w:ind w:firstLine="480" w:firstLineChars="200"/>
        <w:jc w:val="left"/>
        <w:rPr>
          <w:sz w:val="24"/>
          <w:szCs w:val="24"/>
        </w:rPr>
      </w:pPr>
      <w:r>
        <w:rPr>
          <w:sz w:val="24"/>
          <w:szCs w:val="24"/>
        </w:rPr>
        <w:t>建设单位施工过程中采取以下措施：</w:t>
      </w:r>
    </w:p>
    <w:p>
      <w:pPr>
        <w:pStyle w:val="17"/>
        <w:widowControl w:val="0"/>
        <w:spacing w:line="360" w:lineRule="auto"/>
        <w:ind w:firstLine="480" w:firstLineChars="200"/>
        <w:textAlignment w:val="auto"/>
        <w:rPr>
          <w:kern w:val="2"/>
          <w:szCs w:val="24"/>
        </w:rPr>
      </w:pPr>
      <w:r>
        <w:rPr>
          <w:kern w:val="2"/>
          <w:szCs w:val="24"/>
        </w:rPr>
        <w:t>（1）加强管理，文明施工，轻装轻卸，并避免大风天气作业</w:t>
      </w:r>
    </w:p>
    <w:p>
      <w:pPr>
        <w:pStyle w:val="17"/>
        <w:widowControl w:val="0"/>
        <w:spacing w:line="360" w:lineRule="auto"/>
        <w:ind w:firstLine="480" w:firstLineChars="200"/>
        <w:textAlignment w:val="auto"/>
        <w:rPr>
          <w:kern w:val="2"/>
          <w:szCs w:val="24"/>
        </w:rPr>
      </w:pPr>
      <w:r>
        <w:rPr>
          <w:kern w:val="2"/>
          <w:szCs w:val="24"/>
        </w:rPr>
        <w:t>（2）施工现场出入口、主要道路、加工区等采取硬化处理措施；</w:t>
      </w:r>
    </w:p>
    <w:p>
      <w:pPr>
        <w:pStyle w:val="17"/>
        <w:widowControl w:val="0"/>
        <w:spacing w:line="360" w:lineRule="auto"/>
        <w:ind w:firstLine="480" w:firstLineChars="200"/>
        <w:textAlignment w:val="auto"/>
        <w:rPr>
          <w:kern w:val="2"/>
          <w:szCs w:val="24"/>
        </w:rPr>
      </w:pPr>
      <w:r>
        <w:rPr>
          <w:kern w:val="2"/>
          <w:szCs w:val="24"/>
        </w:rPr>
        <w:t>（3）施工场地内堆放水泥、砂石等易产生扬尘污染的物料，以及工地堆存的建筑垃圾、工程渣土等应采取遮盖、密闭或其它抑尘措施；</w:t>
      </w:r>
    </w:p>
    <w:p>
      <w:pPr>
        <w:pStyle w:val="17"/>
        <w:widowControl w:val="0"/>
        <w:spacing w:line="360" w:lineRule="auto"/>
        <w:ind w:firstLine="480" w:firstLineChars="200"/>
        <w:textAlignment w:val="auto"/>
        <w:rPr>
          <w:kern w:val="2"/>
          <w:szCs w:val="24"/>
        </w:rPr>
      </w:pPr>
      <w:r>
        <w:rPr>
          <w:kern w:val="2"/>
          <w:szCs w:val="24"/>
        </w:rPr>
        <w:t>（4）装卸和运输渣土、砂石、建筑垃圾等物料的，应当采取完全密闭措施；</w:t>
      </w:r>
    </w:p>
    <w:p>
      <w:pPr>
        <w:pStyle w:val="6"/>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44" w:name="_Toc23781"/>
      <w:bookmarkStart w:id="145" w:name="_Toc28537"/>
      <w:bookmarkStart w:id="146" w:name="_Toc22056"/>
      <w:bookmarkStart w:id="147" w:name="_Toc25292"/>
      <w:r>
        <w:rPr>
          <w:rFonts w:hint="default" w:ascii="Times New Roman" w:hAnsi="Times New Roman" w:eastAsia="宋体" w:cs="Times New Roman"/>
        </w:rPr>
        <w:t>3.2运行期主要污染源及治理措施</w:t>
      </w:r>
      <w:bookmarkEnd w:id="144"/>
      <w:bookmarkEnd w:id="145"/>
      <w:bookmarkEnd w:id="146"/>
      <w:bookmarkEnd w:id="14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8" w:name="_Toc497001461"/>
      <w:bookmarkStart w:id="149" w:name="_Toc496979024"/>
      <w:bookmarkStart w:id="150" w:name="_Toc3932"/>
      <w:bookmarkStart w:id="151" w:name="_Toc3760"/>
      <w:bookmarkStart w:id="152" w:name="_Toc8094"/>
      <w:bookmarkStart w:id="153" w:name="_Toc8524"/>
      <w:r>
        <w:rPr>
          <w:rFonts w:hint="default" w:ascii="Times New Roman" w:hAnsi="Times New Roman" w:eastAsia="宋体" w:cs="Times New Roman"/>
        </w:rPr>
        <w:t>3.2.1废</w:t>
      </w:r>
      <w:bookmarkEnd w:id="148"/>
      <w:bookmarkEnd w:id="149"/>
      <w:r>
        <w:rPr>
          <w:rFonts w:hint="default" w:ascii="Times New Roman" w:hAnsi="Times New Roman" w:eastAsia="宋体" w:cs="Times New Roman"/>
        </w:rPr>
        <w:t>气</w:t>
      </w:r>
      <w:bookmarkEnd w:id="150"/>
      <w:bookmarkEnd w:id="151"/>
      <w:bookmarkEnd w:id="152"/>
      <w:bookmarkEnd w:id="153"/>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rPr>
      </w:pPr>
      <w:r>
        <w:rPr>
          <w:rFonts w:hint="eastAsia" w:ascii="Times New Roman" w:hAnsi="Times New Roman" w:eastAsia="宋体"/>
          <w:color w:val="auto"/>
          <w:spacing w:val="-6"/>
          <w:sz w:val="24"/>
          <w:szCs w:val="24"/>
          <w:lang w:val="zh-CN" w:eastAsia="zh-CN"/>
        </w:rPr>
        <w:t>本项目</w:t>
      </w:r>
      <w:r>
        <w:rPr>
          <w:rFonts w:hint="eastAsia" w:ascii="Times New Roman" w:hAnsi="Times New Roman"/>
          <w:color w:val="auto"/>
          <w:spacing w:val="-6"/>
          <w:sz w:val="24"/>
          <w:szCs w:val="24"/>
          <w:lang w:val="en-US" w:eastAsia="zh-CN"/>
        </w:rPr>
        <w:t>无废气产生</w:t>
      </w:r>
      <w:r>
        <w:rPr>
          <w:rFonts w:hint="eastAsia" w:ascii="Times New Roman" w:hAnsi="Times New Roman" w:eastAsia="宋体"/>
          <w:color w:val="auto"/>
          <w:spacing w:val="-6"/>
          <w:sz w:val="24"/>
          <w:szCs w:val="24"/>
          <w:lang w:val="zh-CN" w:eastAsia="zh-CN"/>
        </w:rPr>
        <w:t>。</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4" w:name="_Toc6473"/>
      <w:bookmarkStart w:id="155" w:name="_Toc18379"/>
      <w:bookmarkStart w:id="156" w:name="_Toc22928"/>
      <w:bookmarkStart w:id="157" w:name="_Toc6853"/>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4"/>
      <w:bookmarkEnd w:id="155"/>
      <w:bookmarkEnd w:id="156"/>
      <w:bookmarkEnd w:id="157"/>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58" w:name="_Toc20585"/>
      <w:bookmarkStart w:id="159" w:name="_Toc27955"/>
      <w:bookmarkStart w:id="160" w:name="_Toc496979025"/>
      <w:bookmarkStart w:id="161" w:name="_Toc497001462"/>
      <w:r>
        <w:rPr>
          <w:rFonts w:hint="eastAsia" w:ascii="Times New Roman" w:hAnsi="Times New Roman" w:cs="Times New Roman"/>
          <w:color w:val="auto"/>
          <w:sz w:val="24"/>
          <w:szCs w:val="24"/>
          <w:lang w:val="en-US" w:eastAsia="zh-CN"/>
        </w:rPr>
        <w:t>本项目锯床和推制机均使用冷却水，循环使用无外排。生活污水用于厂区泼洒抑尘，无外排</w:t>
      </w:r>
      <w:r>
        <w:rPr>
          <w:rFonts w:hint="eastAsia" w:ascii="Times New Roman" w:hAnsi="Times New Roman" w:eastAsia="宋体" w:cs="Times New Roman"/>
          <w:color w:val="auto"/>
          <w:sz w:val="24"/>
          <w:szCs w:val="24"/>
          <w:lang w:eastAsia="zh-CN"/>
        </w:rPr>
        <w:t>。</w:t>
      </w:r>
    </w:p>
    <w:bookmarkEnd w:id="158"/>
    <w:bookmarkEnd w:id="159"/>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62" w:name="_Toc32691"/>
      <w:bookmarkStart w:id="163" w:name="_Toc30198"/>
      <w:bookmarkStart w:id="164" w:name="_Toc571"/>
      <w:bookmarkStart w:id="165" w:name="_Toc18436"/>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62"/>
      <w:bookmarkEnd w:id="163"/>
      <w:bookmarkEnd w:id="164"/>
      <w:bookmarkEnd w:id="165"/>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cs="Times New Roman"/>
          <w:sz w:val="24"/>
          <w:szCs w:val="24"/>
          <w:lang w:val="en-US" w:eastAsia="zh-CN"/>
        </w:rPr>
        <w:t>项目噪声主要为截管机、车床等生产设备运转时产生的噪声，采取车间内布设、建筑隔声、距离衰减等降噪</w:t>
      </w:r>
      <w:r>
        <w:rPr>
          <w:rFonts w:hint="eastAsia" w:ascii="Times New Roman" w:hAnsi="Times New Roman" w:eastAsia="宋体" w:cstheme="minorEastAsia"/>
          <w:kern w:val="2"/>
          <w:sz w:val="24"/>
          <w:szCs w:val="24"/>
          <w:lang w:val="en-US" w:eastAsia="zh-CN" w:bidi="ar-SA"/>
        </w:rPr>
        <w:t>。</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6" w:name="_Toc5318"/>
      <w:bookmarkStart w:id="167" w:name="_Toc1473"/>
      <w:bookmarkStart w:id="168" w:name="_Toc16750"/>
      <w:bookmarkStart w:id="169" w:name="_Toc2397"/>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6"/>
      <w:bookmarkEnd w:id="167"/>
      <w:bookmarkEnd w:id="168"/>
      <w:bookmarkEnd w:id="169"/>
    </w:p>
    <w:p>
      <w:pPr>
        <w:pStyle w:val="11"/>
        <w:adjustRightInd w:val="0"/>
        <w:snapToGrid w:val="0"/>
        <w:spacing w:line="360" w:lineRule="auto"/>
        <w:ind w:firstLine="480" w:firstLineChars="200"/>
        <w:jc w:val="left"/>
        <w:rPr>
          <w:rFonts w:hint="default" w:ascii="Times New Roman" w:hAnsi="Times New Roman" w:eastAsia="宋体" w:cs="Times New Roman"/>
          <w:sz w:val="24"/>
          <w:szCs w:val="24"/>
        </w:rPr>
      </w:pPr>
      <w:bookmarkStart w:id="170" w:name="_Toc3310"/>
      <w:bookmarkStart w:id="171" w:name="_Toc9823"/>
      <w:bookmarkStart w:id="172" w:name="_Toc4008"/>
      <w:r>
        <w:rPr>
          <w:rFonts w:hint="eastAsia" w:ascii="Times New Roman" w:hAnsi="Times New Roman" w:cs="Times New Roman"/>
          <w:sz w:val="24"/>
          <w:szCs w:val="24"/>
          <w:lang w:val="en-US" w:eastAsia="zh-CN"/>
        </w:rPr>
        <w:t>项目生产过程产生的下脚料手机后外售；含油抹布和生活垃圾收集后由环卫部门定期清运处理</w:t>
      </w:r>
      <w:r>
        <w:rPr>
          <w:rFonts w:hint="eastAsia" w:ascii="Times New Roman" w:hAnsi="Times New Roman" w:eastAsia="宋体" w:cs="Times New Roman"/>
          <w:kern w:val="2"/>
          <w:sz w:val="24"/>
          <w:szCs w:val="24"/>
          <w:lang w:val="en-US" w:eastAsia="zh-CN" w:bidi="ar-SA"/>
        </w:rPr>
        <w:t>。</w:t>
      </w:r>
      <w:bookmarkEnd w:id="170"/>
    </w:p>
    <w:bookmarkEnd w:id="160"/>
    <w:bookmarkEnd w:id="161"/>
    <w:bookmarkEnd w:id="171"/>
    <w:bookmarkEnd w:id="172"/>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3" w:name="_Toc19788"/>
      <w:bookmarkStart w:id="174" w:name="_Toc14411"/>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5" w:name="_Toc32061"/>
      <w:bookmarkStart w:id="176" w:name="_Toc25824"/>
      <w:r>
        <w:rPr>
          <w:rFonts w:hint="default" w:ascii="Times New Roman" w:hAnsi="Times New Roman" w:eastAsia="宋体" w:cs="Times New Roman"/>
        </w:rPr>
        <w:t>4环评主要结论及环评批复要求</w:t>
      </w:r>
      <w:bookmarkEnd w:id="173"/>
      <w:bookmarkEnd w:id="174"/>
      <w:bookmarkEnd w:id="175"/>
      <w:bookmarkEnd w:id="176"/>
    </w:p>
    <w:p>
      <w:pPr>
        <w:pStyle w:val="6"/>
        <w:rPr>
          <w:rFonts w:hint="default" w:ascii="Times New Roman" w:hAnsi="Times New Roman" w:eastAsia="宋体" w:cs="Times New Roman"/>
          <w:sz w:val="24"/>
          <w:szCs w:val="24"/>
        </w:rPr>
      </w:pPr>
      <w:bookmarkStart w:id="177" w:name="_Toc17594"/>
      <w:bookmarkStart w:id="178" w:name="_Toc25915"/>
      <w:bookmarkStart w:id="179" w:name="_Toc21108"/>
      <w:bookmarkStart w:id="180" w:name="_Toc19580"/>
      <w:r>
        <w:rPr>
          <w:rFonts w:hint="default" w:ascii="Times New Roman" w:hAnsi="Times New Roman" w:eastAsia="宋体" w:cs="Times New Roman"/>
          <w:sz w:val="24"/>
          <w:szCs w:val="24"/>
        </w:rPr>
        <w:t>4.1建设项目环评报告表的主要结论与建议</w:t>
      </w:r>
      <w:bookmarkEnd w:id="177"/>
      <w:bookmarkEnd w:id="178"/>
      <w:bookmarkEnd w:id="179"/>
      <w:bookmarkEnd w:id="180"/>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81" w:name="_Toc497001467"/>
      <w:bookmarkStart w:id="182" w:name="_Toc17583"/>
      <w:bookmarkStart w:id="183" w:name="_Toc22609"/>
      <w:bookmarkStart w:id="184" w:name="_Toc26870"/>
      <w:bookmarkStart w:id="185" w:name="_Toc29423"/>
      <w:bookmarkStart w:id="186" w:name="_Toc496979030"/>
      <w:r>
        <w:rPr>
          <w:rFonts w:hint="default" w:ascii="Times New Roman" w:hAnsi="Times New Roman" w:eastAsia="宋体" w:cs="Times New Roman"/>
          <w:b/>
          <w:bCs/>
        </w:rPr>
        <w:t>4.1.1主要结论</w:t>
      </w:r>
      <w:bookmarkEnd w:id="181"/>
      <w:bookmarkEnd w:id="182"/>
      <w:bookmarkEnd w:id="183"/>
      <w:bookmarkEnd w:id="184"/>
      <w:bookmarkEnd w:id="185"/>
      <w:bookmarkEnd w:id="186"/>
    </w:p>
    <w:p>
      <w:pPr>
        <w:adjustRightInd w:val="0"/>
        <w:snapToGrid w:val="0"/>
        <w:spacing w:line="360" w:lineRule="auto"/>
        <w:ind w:firstLine="480" w:firstLineChars="200"/>
        <w:jc w:val="left"/>
        <w:rPr>
          <w:b w:val="0"/>
          <w:bCs/>
          <w:sz w:val="24"/>
        </w:rPr>
      </w:pPr>
      <w:bookmarkStart w:id="187" w:name="_Toc25204"/>
      <w:r>
        <w:rPr>
          <w:b w:val="0"/>
          <w:bCs/>
          <w:sz w:val="24"/>
        </w:rPr>
        <w:t>1、建设项目概况</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1.1项目概述</w:t>
      </w:r>
    </w:p>
    <w:p>
      <w:pPr>
        <w:adjustRightInd w:val="0"/>
        <w:snapToGrid w:val="0"/>
        <w:spacing w:line="360" w:lineRule="auto"/>
        <w:ind w:firstLine="480" w:firstLineChars="200"/>
        <w:jc w:val="left"/>
        <w:rPr>
          <w:b w:val="0"/>
          <w:bCs/>
          <w:color w:val="auto"/>
          <w:sz w:val="24"/>
        </w:rPr>
      </w:pPr>
      <w:r>
        <w:rPr>
          <w:b w:val="0"/>
          <w:bCs/>
          <w:sz w:val="24"/>
        </w:rPr>
        <w:t>项目名称：</w:t>
      </w:r>
      <w:r>
        <w:rPr>
          <w:rFonts w:hint="eastAsia"/>
          <w:color w:val="000000" w:themeColor="text1"/>
          <w:sz w:val="24"/>
          <w:lang w:eastAsia="zh-CN"/>
          <w14:textFill>
            <w14:solidFill>
              <w14:schemeClr w14:val="tx1"/>
            </w14:solidFill>
          </w14:textFill>
        </w:rPr>
        <w:t>盐山美辰管件制造厂弯头生产项目</w:t>
      </w:r>
    </w:p>
    <w:p>
      <w:pPr>
        <w:pStyle w:val="11"/>
        <w:adjustRightInd w:val="0"/>
        <w:snapToGrid w:val="0"/>
        <w:spacing w:line="360" w:lineRule="auto"/>
        <w:ind w:firstLine="480" w:firstLineChars="200"/>
        <w:jc w:val="left"/>
        <w:rPr>
          <w:rFonts w:ascii="Times New Roman" w:hAnsi="Times New Roman"/>
          <w:b w:val="0"/>
          <w:bCs/>
          <w:color w:val="auto"/>
          <w:sz w:val="24"/>
          <w:szCs w:val="24"/>
        </w:rPr>
      </w:pPr>
      <w:r>
        <w:rPr>
          <w:rFonts w:ascii="Times New Roman" w:hAnsi="Times New Roman"/>
          <w:b w:val="0"/>
          <w:bCs/>
          <w:sz w:val="24"/>
        </w:rPr>
        <w:t>建设单位：</w:t>
      </w:r>
      <w:r>
        <w:rPr>
          <w:rFonts w:hint="eastAsia"/>
          <w:color w:val="000000" w:themeColor="text1"/>
          <w:sz w:val="24"/>
          <w:lang w:eastAsia="zh-CN"/>
          <w14:textFill>
            <w14:solidFill>
              <w14:schemeClr w14:val="tx1"/>
            </w14:solidFill>
          </w14:textFill>
        </w:rPr>
        <w:t>盐山美辰管件制造厂</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建设性质：新建</w:t>
      </w:r>
    </w:p>
    <w:p>
      <w:pPr>
        <w:pStyle w:val="11"/>
        <w:adjustRightInd w:val="0"/>
        <w:snapToGrid w:val="0"/>
        <w:spacing w:line="360" w:lineRule="auto"/>
        <w:ind w:firstLine="480" w:firstLineChars="200"/>
        <w:jc w:val="left"/>
        <w:rPr>
          <w:rFonts w:ascii="Times New Roman" w:hAnsi="Times New Roman"/>
          <w:b w:val="0"/>
          <w:bCs/>
          <w:color w:val="auto"/>
          <w:sz w:val="24"/>
        </w:rPr>
      </w:pPr>
      <w:r>
        <w:rPr>
          <w:rFonts w:ascii="Times New Roman" w:hAnsi="Times New Roman"/>
          <w:b w:val="0"/>
          <w:bCs/>
          <w:color w:val="auto"/>
          <w:sz w:val="24"/>
        </w:rPr>
        <w:t>建设规模：项目建筑面积</w:t>
      </w:r>
      <w:r>
        <w:rPr>
          <w:rFonts w:hint="eastAsia" w:ascii="Times New Roman" w:hAnsi="Times New Roman"/>
          <w:b w:val="0"/>
          <w:bCs/>
          <w:color w:val="auto"/>
          <w:sz w:val="24"/>
          <w:lang w:val="en-US" w:eastAsia="zh-CN"/>
        </w:rPr>
        <w:t>500</w:t>
      </w:r>
      <w:r>
        <w:rPr>
          <w:rFonts w:ascii="Times New Roman" w:hAnsi="Times New Roman"/>
          <w:b w:val="0"/>
          <w:bCs/>
          <w:color w:val="auto"/>
          <w:sz w:val="24"/>
        </w:rPr>
        <w:t>m</w:t>
      </w:r>
      <w:r>
        <w:rPr>
          <w:rFonts w:ascii="Times New Roman" w:hAnsi="Times New Roman"/>
          <w:b w:val="0"/>
          <w:bCs/>
          <w:color w:val="auto"/>
          <w:sz w:val="24"/>
          <w:vertAlign w:val="superscript"/>
        </w:rPr>
        <w:t>2</w:t>
      </w:r>
      <w:r>
        <w:rPr>
          <w:rFonts w:ascii="Times New Roman" w:hAnsi="Times New Roman"/>
          <w:b w:val="0"/>
          <w:bCs/>
          <w:color w:val="auto"/>
          <w:sz w:val="24"/>
        </w:rPr>
        <w:t>，</w:t>
      </w:r>
      <w:r>
        <w:rPr>
          <w:rFonts w:hint="default"/>
          <w:color w:val="000000" w:themeColor="text1"/>
          <w:sz w:val="24"/>
          <w14:textFill>
            <w14:solidFill>
              <w14:schemeClr w14:val="tx1"/>
            </w14:solidFill>
          </w14:textFill>
        </w:rPr>
        <w:t>年产</w:t>
      </w:r>
      <w:r>
        <w:rPr>
          <w:rFonts w:hint="eastAsia"/>
          <w:color w:val="000000" w:themeColor="text1"/>
          <w:sz w:val="24"/>
          <w:lang w:eastAsia="zh-CN"/>
          <w14:textFill>
            <w14:solidFill>
              <w14:schemeClr w14:val="tx1"/>
            </w14:solidFill>
          </w14:textFill>
        </w:rPr>
        <w:t>弯头</w:t>
      </w:r>
      <w:r>
        <w:rPr>
          <w:rFonts w:hint="eastAsia"/>
          <w:color w:val="000000" w:themeColor="text1"/>
          <w:sz w:val="24"/>
          <w:lang w:val="en-US" w:eastAsia="zh-CN"/>
          <w14:textFill>
            <w14:solidFill>
              <w14:schemeClr w14:val="tx1"/>
            </w14:solidFill>
          </w14:textFill>
        </w:rPr>
        <w:t>4</w:t>
      </w:r>
      <w:r>
        <w:rPr>
          <w:rFonts w:hint="default"/>
          <w:color w:val="000000" w:themeColor="text1"/>
          <w:sz w:val="24"/>
          <w14:textFill>
            <w14:solidFill>
              <w14:schemeClr w14:val="tx1"/>
            </w14:solidFill>
          </w14:textFill>
        </w:rPr>
        <w:t>00吨</w:t>
      </w:r>
      <w:r>
        <w:rPr>
          <w:rFonts w:ascii="Times New Roman" w:hAnsi="Times New Roman"/>
          <w:b w:val="0"/>
          <w:bCs/>
          <w:color w:val="000000" w:themeColor="text1"/>
          <w:sz w:val="24"/>
          <w14:textFill>
            <w14:solidFill>
              <w14:schemeClr w14:val="tx1"/>
            </w14:solidFill>
          </w14:textFill>
        </w:rPr>
        <w:t>。</w:t>
      </w:r>
    </w:p>
    <w:p>
      <w:pPr>
        <w:pStyle w:val="11"/>
        <w:adjustRightInd w:val="0"/>
        <w:snapToGrid w:val="0"/>
        <w:spacing w:line="360" w:lineRule="auto"/>
        <w:ind w:firstLine="480" w:firstLineChars="200"/>
        <w:jc w:val="left"/>
        <w:rPr>
          <w:rFonts w:ascii="Times New Roman" w:hAnsi="Times New Roman"/>
          <w:b w:val="0"/>
          <w:bCs/>
          <w:color w:val="auto"/>
          <w:sz w:val="24"/>
        </w:rPr>
      </w:pPr>
      <w:r>
        <w:rPr>
          <w:rFonts w:ascii="Times New Roman" w:hAnsi="Times New Roman"/>
          <w:b w:val="0"/>
          <w:bCs/>
          <w:sz w:val="24"/>
        </w:rPr>
        <w:t>工程投资：项目总投资</w:t>
      </w:r>
      <w:r>
        <w:rPr>
          <w:rFonts w:hint="eastAsia" w:ascii="Times New Roman" w:hAnsi="Times New Roman"/>
          <w:b w:val="0"/>
          <w:bCs/>
          <w:sz w:val="24"/>
          <w:lang w:val="en-US" w:eastAsia="zh-CN"/>
        </w:rPr>
        <w:t>155</w:t>
      </w:r>
      <w:r>
        <w:rPr>
          <w:rFonts w:ascii="Times New Roman" w:hAnsi="Times New Roman"/>
          <w:b w:val="0"/>
          <w:bCs/>
          <w:sz w:val="24"/>
        </w:rPr>
        <w:t>万元，其中环保投资</w:t>
      </w:r>
      <w:r>
        <w:rPr>
          <w:rFonts w:hint="eastAsia" w:ascii="Times New Roman" w:hAnsi="Times New Roman"/>
          <w:b w:val="0"/>
          <w:bCs/>
          <w:sz w:val="24"/>
          <w:lang w:val="en-US" w:eastAsia="zh-CN"/>
        </w:rPr>
        <w:t>10</w:t>
      </w:r>
      <w:r>
        <w:rPr>
          <w:rFonts w:ascii="Times New Roman" w:hAnsi="Times New Roman"/>
          <w:b w:val="0"/>
          <w:bCs/>
          <w:sz w:val="24"/>
        </w:rPr>
        <w:t>万元，占总投资的</w:t>
      </w:r>
      <w:r>
        <w:rPr>
          <w:rFonts w:hint="eastAsia" w:ascii="Times New Roman" w:hAnsi="Times New Roman"/>
          <w:b w:val="0"/>
          <w:bCs/>
          <w:sz w:val="24"/>
          <w:lang w:val="en-US" w:eastAsia="zh-CN"/>
        </w:rPr>
        <w:t>6.45</w:t>
      </w:r>
      <w:r>
        <w:rPr>
          <w:rFonts w:ascii="Times New Roman" w:hAnsi="Times New Roman"/>
          <w:b w:val="0"/>
          <w:bCs/>
          <w:sz w:val="24"/>
        </w:rPr>
        <w:t>%。</w:t>
      </w:r>
    </w:p>
    <w:p>
      <w:pPr>
        <w:adjustRightInd w:val="0"/>
        <w:snapToGrid w:val="0"/>
        <w:spacing w:line="360" w:lineRule="auto"/>
        <w:ind w:firstLine="482"/>
        <w:rPr>
          <w:b w:val="0"/>
          <w:bCs/>
          <w:color w:val="auto"/>
          <w:sz w:val="24"/>
        </w:rPr>
      </w:pPr>
      <w:r>
        <w:rPr>
          <w:b w:val="0"/>
          <w:bCs/>
          <w:color w:val="auto"/>
          <w:sz w:val="24"/>
          <w:szCs w:val="24"/>
        </w:rPr>
        <w:t>劳动定员及工作时制：</w:t>
      </w:r>
      <w:r>
        <w:rPr>
          <w:b w:val="0"/>
          <w:bCs/>
          <w:color w:val="auto"/>
          <w:sz w:val="24"/>
        </w:rPr>
        <w:t>项目劳动定员</w:t>
      </w:r>
      <w:r>
        <w:rPr>
          <w:rFonts w:hint="eastAsia"/>
          <w:b w:val="0"/>
          <w:bCs/>
          <w:color w:val="auto"/>
          <w:sz w:val="24"/>
          <w:lang w:val="en-US" w:eastAsia="zh-CN"/>
        </w:rPr>
        <w:t>5</w:t>
      </w:r>
      <w:r>
        <w:rPr>
          <w:b w:val="0"/>
          <w:bCs/>
          <w:color w:val="auto"/>
          <w:sz w:val="24"/>
        </w:rPr>
        <w:t>人，年工作时间300天，每日一班，每班工作8小时。</w:t>
      </w:r>
    </w:p>
    <w:p>
      <w:pPr>
        <w:pStyle w:val="11"/>
        <w:adjustRightInd w:val="0"/>
        <w:snapToGrid w:val="0"/>
        <w:spacing w:line="360" w:lineRule="auto"/>
        <w:ind w:firstLine="482"/>
        <w:rPr>
          <w:rFonts w:ascii="Times New Roman" w:hAnsi="Times New Roman"/>
          <w:b w:val="0"/>
          <w:bCs/>
          <w:sz w:val="24"/>
        </w:rPr>
      </w:pPr>
      <w:r>
        <w:rPr>
          <w:rFonts w:ascii="Times New Roman" w:hAnsi="Times New Roman"/>
          <w:b w:val="0"/>
          <w:bCs/>
          <w:sz w:val="24"/>
        </w:rPr>
        <w:t>1.2项目选址</w:t>
      </w:r>
    </w:p>
    <w:p>
      <w:pPr>
        <w:adjustRightInd w:val="0"/>
        <w:snapToGrid w:val="0"/>
        <w:spacing w:line="360" w:lineRule="auto"/>
        <w:ind w:firstLine="480" w:firstLineChars="200"/>
        <w:rPr>
          <w:b w:val="0"/>
          <w:bCs/>
          <w:color w:val="auto"/>
          <w:sz w:val="24"/>
        </w:rPr>
      </w:pPr>
      <w:r>
        <w:rPr>
          <w:b w:val="0"/>
          <w:bCs/>
          <w:color w:val="auto"/>
          <w:sz w:val="24"/>
        </w:rPr>
        <w:t>项目位于</w:t>
      </w:r>
      <w:r>
        <w:rPr>
          <w:b w:val="0"/>
          <w:bCs/>
          <w:color w:val="auto"/>
          <w:sz w:val="24"/>
          <w:szCs w:val="24"/>
        </w:rPr>
        <w:t>河北省沧州市</w:t>
      </w:r>
      <w:r>
        <w:rPr>
          <w:rFonts w:hint="eastAsia"/>
          <w:b w:val="0"/>
          <w:bCs/>
          <w:color w:val="auto"/>
          <w:sz w:val="24"/>
          <w:szCs w:val="24"/>
          <w:lang w:val="en-US" w:eastAsia="zh-CN"/>
        </w:rPr>
        <w:t>盐山县盐山镇后刘村南</w:t>
      </w:r>
      <w:r>
        <w:rPr>
          <w:b w:val="0"/>
          <w:bCs/>
          <w:color w:val="auto"/>
          <w:sz w:val="24"/>
        </w:rPr>
        <w:t>，根据</w:t>
      </w:r>
      <w:r>
        <w:rPr>
          <w:rFonts w:hint="eastAsia"/>
          <w:b w:val="0"/>
          <w:bCs/>
          <w:color w:val="auto"/>
          <w:sz w:val="24"/>
          <w:lang w:val="en-US" w:eastAsia="zh-CN"/>
        </w:rPr>
        <w:t>盐山县盐山镇</w:t>
      </w:r>
      <w:r>
        <w:rPr>
          <w:b w:val="0"/>
          <w:bCs/>
          <w:color w:val="auto"/>
          <w:sz w:val="24"/>
        </w:rPr>
        <w:t>人民政府出具的</w:t>
      </w:r>
      <w:r>
        <w:rPr>
          <w:rFonts w:hint="eastAsia"/>
          <w:b w:val="0"/>
          <w:bCs/>
          <w:color w:val="auto"/>
          <w:sz w:val="24"/>
          <w:lang w:val="en-US" w:eastAsia="zh-CN"/>
        </w:rPr>
        <w:t>盐山美辰管件制造厂</w:t>
      </w:r>
      <w:r>
        <w:rPr>
          <w:b w:val="0"/>
          <w:bCs/>
          <w:color w:val="auto"/>
          <w:sz w:val="24"/>
        </w:rPr>
        <w:t>项目的规划选址意见：</w:t>
      </w:r>
      <w:r>
        <w:rPr>
          <w:rFonts w:hint="eastAsia"/>
          <w:b w:val="0"/>
          <w:bCs/>
          <w:color w:val="auto"/>
          <w:sz w:val="24"/>
          <w:lang w:val="en-US" w:eastAsia="zh-CN"/>
        </w:rPr>
        <w:t>年产弯头400吨</w:t>
      </w:r>
      <w:r>
        <w:rPr>
          <w:b w:val="0"/>
          <w:bCs/>
          <w:color w:val="auto"/>
          <w:sz w:val="24"/>
        </w:rPr>
        <w:t>项目符合</w:t>
      </w:r>
      <w:r>
        <w:rPr>
          <w:rFonts w:hint="eastAsia"/>
          <w:b w:val="0"/>
          <w:bCs/>
          <w:color w:val="auto"/>
          <w:sz w:val="24"/>
          <w:lang w:val="en-US" w:eastAsia="zh-CN"/>
        </w:rPr>
        <w:t>盐山镇</w:t>
      </w:r>
      <w:r>
        <w:rPr>
          <w:b w:val="0"/>
          <w:bCs/>
          <w:color w:val="auto"/>
          <w:sz w:val="24"/>
        </w:rPr>
        <w:t>的规划，同意本项目在此选址建设生产。项目评价范围内无自然保护区、风景名胜区、文物保护单位、饮用水水源保护区等环境敏感区。本项目在正常生产条件下各种污染物能够达标排放，满足防护距离要求，从环境保护角度，项目选址可行。</w:t>
      </w:r>
    </w:p>
    <w:p>
      <w:pPr>
        <w:pStyle w:val="11"/>
        <w:adjustRightInd w:val="0"/>
        <w:snapToGrid w:val="0"/>
        <w:spacing w:line="360" w:lineRule="auto"/>
        <w:ind w:firstLine="482"/>
        <w:rPr>
          <w:rFonts w:ascii="Times New Roman" w:hAnsi="Times New Roman"/>
          <w:b w:val="0"/>
          <w:bCs/>
          <w:sz w:val="24"/>
        </w:rPr>
      </w:pPr>
      <w:r>
        <w:rPr>
          <w:rFonts w:ascii="Times New Roman" w:hAnsi="Times New Roman"/>
          <w:b w:val="0"/>
          <w:bCs/>
          <w:sz w:val="24"/>
        </w:rPr>
        <w:t>1.3建设内容</w:t>
      </w:r>
    </w:p>
    <w:p>
      <w:pPr>
        <w:pStyle w:val="35"/>
        <w:adjustRightInd w:val="0"/>
        <w:snapToGrid w:val="0"/>
        <w:ind w:firstLine="482" w:firstLineChars="0"/>
        <w:rPr>
          <w:b w:val="0"/>
          <w:bCs/>
        </w:rPr>
      </w:pPr>
      <w:r>
        <w:rPr>
          <w:b w:val="0"/>
          <w:bCs/>
          <w:color w:val="000000" w:themeColor="text1"/>
          <w14:textFill>
            <w14:solidFill>
              <w14:schemeClr w14:val="tx1"/>
            </w14:solidFill>
          </w14:textFill>
        </w:rPr>
        <w:t>项目主体工程为建设车间等配套及辅助设施等共</w:t>
      </w:r>
      <w:r>
        <w:rPr>
          <w:rFonts w:hint="eastAsia"/>
          <w:b w:val="0"/>
          <w:bCs/>
          <w:color w:val="000000" w:themeColor="text1"/>
          <w:lang w:val="en-US" w:eastAsia="zh-CN"/>
          <w14:textFill>
            <w14:solidFill>
              <w14:schemeClr w14:val="tx1"/>
            </w14:solidFill>
          </w14:textFill>
        </w:rPr>
        <w:t>500</w:t>
      </w:r>
      <w:r>
        <w:rPr>
          <w:b w:val="0"/>
          <w:bCs/>
          <w:color w:val="000000" w:themeColor="text1"/>
          <w14:textFill>
            <w14:solidFill>
              <w14:schemeClr w14:val="tx1"/>
            </w14:solidFill>
          </w14:textFill>
        </w:rPr>
        <w:t>m</w:t>
      </w:r>
      <w:r>
        <w:rPr>
          <w:b w:val="0"/>
          <w:bCs/>
          <w:color w:val="000000" w:themeColor="text1"/>
          <w:vertAlign w:val="superscript"/>
          <w14:textFill>
            <w14:solidFill>
              <w14:schemeClr w14:val="tx1"/>
            </w14:solidFill>
          </w14:textFill>
        </w:rPr>
        <w:t>2</w:t>
      </w:r>
      <w:r>
        <w:rPr>
          <w:b w:val="0"/>
          <w:bCs/>
          <w:color w:val="000000" w:themeColor="text1"/>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购置</w:t>
      </w:r>
      <w:r>
        <w:rPr>
          <w:rFonts w:hint="eastAsia" w:ascii="宋体" w:hAnsi="宋体" w:cs="宋体"/>
          <w:color w:val="000000" w:themeColor="text1"/>
          <w:sz w:val="24"/>
          <w:szCs w:val="24"/>
          <w:lang w:val="en-US" w:eastAsia="zh-CN"/>
          <w14:textFill>
            <w14:solidFill>
              <w14:schemeClr w14:val="tx1"/>
            </w14:solidFill>
          </w14:textFill>
        </w:rPr>
        <w:t>推制机</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锯床、车床、截管机</w:t>
      </w:r>
      <w:r>
        <w:rPr>
          <w:rFonts w:hint="eastAsia" w:ascii="宋体" w:hAnsi="宋体" w:eastAsia="宋体" w:cs="宋体"/>
          <w:color w:val="000000" w:themeColor="text1"/>
          <w:sz w:val="24"/>
          <w:szCs w:val="24"/>
          <w14:textFill>
            <w14:solidFill>
              <w14:schemeClr w14:val="tx1"/>
            </w14:solidFill>
          </w14:textFill>
        </w:rPr>
        <w:t>等共</w:t>
      </w:r>
      <w:r>
        <w:rPr>
          <w:rFonts w:hint="eastAsia" w:ascii="宋体" w:hAnsi="宋体" w:cs="宋体"/>
          <w:color w:val="000000" w:themeColor="text1"/>
          <w:sz w:val="24"/>
          <w:szCs w:val="24"/>
          <w:lang w:val="en-US" w:eastAsia="zh-CN"/>
          <w14:textFill>
            <w14:solidFill>
              <w14:schemeClr w14:val="tx1"/>
            </w14:solidFill>
          </w14:textFill>
        </w:rPr>
        <w:t>9</w:t>
      </w:r>
      <w:r>
        <w:rPr>
          <w:rFonts w:hint="eastAsia" w:ascii="宋体" w:hAnsi="宋体" w:eastAsia="宋体" w:cs="宋体"/>
          <w:color w:val="000000" w:themeColor="text1"/>
          <w:sz w:val="24"/>
          <w:szCs w:val="24"/>
          <w14:textFill>
            <w14:solidFill>
              <w14:schemeClr w14:val="tx1"/>
            </w14:solidFill>
          </w14:textFill>
        </w:rPr>
        <w:t>台</w:t>
      </w:r>
      <w:r>
        <w:rPr>
          <w:b w:val="0"/>
          <w:bCs/>
          <w:color w:val="000000" w:themeColor="text1"/>
          <w14:textFill>
            <w14:solidFill>
              <w14:schemeClr w14:val="tx1"/>
            </w14:solidFill>
          </w14:textFill>
        </w:rPr>
        <w:t>；公用工程为供电、供水、供热等设施；环保工程为降噪、固废措施等。项目产品、工艺、设备均未列入《产业结构调整指导目录（2019年本）》淘汰类及限制类，也未列入《河北省环境敏感区支持、限制及禁止建设项目名录（2015年修订）》禁止类与限制类之列，该项目已在</w:t>
      </w:r>
      <w:r>
        <w:rPr>
          <w:rFonts w:hint="eastAsia"/>
          <w:b w:val="0"/>
          <w:bCs/>
          <w:color w:val="000000" w:themeColor="text1"/>
          <w:lang w:val="en-US" w:eastAsia="zh-CN"/>
          <w14:textFill>
            <w14:solidFill>
              <w14:schemeClr w14:val="tx1"/>
            </w14:solidFill>
          </w14:textFill>
        </w:rPr>
        <w:t>盐山县发展和改革局</w:t>
      </w:r>
      <w:r>
        <w:rPr>
          <w:b w:val="0"/>
          <w:bCs/>
          <w:color w:val="000000" w:themeColor="text1"/>
          <w14:textFill>
            <w14:solidFill>
              <w14:schemeClr w14:val="tx1"/>
            </w14:solidFill>
          </w14:textFill>
        </w:rPr>
        <w:t>备案，备案编号为</w:t>
      </w:r>
      <w:r>
        <w:rPr>
          <w:rFonts w:hint="eastAsia"/>
          <w:b w:val="0"/>
          <w:bCs/>
          <w:color w:val="000000" w:themeColor="text1"/>
          <w:lang w:val="en-US" w:eastAsia="zh-CN"/>
          <w14:textFill>
            <w14:solidFill>
              <w14:schemeClr w14:val="tx1"/>
            </w14:solidFill>
          </w14:textFill>
        </w:rPr>
        <w:t>盐发改工</w:t>
      </w:r>
      <w:r>
        <w:rPr>
          <w:b w:val="0"/>
          <w:bCs/>
          <w:color w:val="000000" w:themeColor="text1"/>
          <w14:textFill>
            <w14:solidFill>
              <w14:schemeClr w14:val="tx1"/>
            </w14:solidFill>
          </w14:textFill>
        </w:rPr>
        <w:t>备字[2019]</w:t>
      </w:r>
      <w:r>
        <w:rPr>
          <w:rFonts w:hint="eastAsia"/>
          <w:b w:val="0"/>
          <w:bCs/>
          <w:color w:val="000000" w:themeColor="text1"/>
          <w:lang w:val="en-US" w:eastAsia="zh-CN"/>
          <w14:textFill>
            <w14:solidFill>
              <w14:schemeClr w14:val="tx1"/>
            </w14:solidFill>
          </w14:textFill>
        </w:rPr>
        <w:t>145</w:t>
      </w:r>
      <w:r>
        <w:rPr>
          <w:b w:val="0"/>
          <w:bCs/>
          <w:color w:val="000000" w:themeColor="text1"/>
          <w14:textFill>
            <w14:solidFill>
              <w14:schemeClr w14:val="tx1"/>
            </w14:solidFill>
          </w14:textFill>
        </w:rPr>
        <w:t>号，（项目代码：2019-13092</w:t>
      </w:r>
      <w:r>
        <w:rPr>
          <w:rFonts w:hint="eastAsia"/>
          <w:b w:val="0"/>
          <w:bCs/>
          <w:color w:val="000000" w:themeColor="text1"/>
          <w:lang w:val="en-US" w:eastAsia="zh-CN"/>
          <w14:textFill>
            <w14:solidFill>
              <w14:schemeClr w14:val="tx1"/>
            </w14:solidFill>
          </w14:textFill>
        </w:rPr>
        <w:t>5</w:t>
      </w:r>
      <w:r>
        <w:rPr>
          <w:b w:val="0"/>
          <w:bCs/>
          <w:color w:val="000000" w:themeColor="text1"/>
          <w14:textFill>
            <w14:solidFill>
              <w14:schemeClr w14:val="tx1"/>
            </w14:solidFill>
          </w14:textFill>
        </w:rPr>
        <w:t>-</w:t>
      </w:r>
      <w:r>
        <w:rPr>
          <w:rFonts w:hint="eastAsia"/>
          <w:b w:val="0"/>
          <w:bCs/>
          <w:color w:val="000000" w:themeColor="text1"/>
          <w:lang w:val="en-US" w:eastAsia="zh-CN"/>
          <w14:textFill>
            <w14:solidFill>
              <w14:schemeClr w14:val="tx1"/>
            </w14:solidFill>
          </w14:textFill>
        </w:rPr>
        <w:t>41</w:t>
      </w:r>
      <w:r>
        <w:rPr>
          <w:b w:val="0"/>
          <w:bCs/>
          <w:color w:val="000000" w:themeColor="text1"/>
          <w14:textFill>
            <w14:solidFill>
              <w14:schemeClr w14:val="tx1"/>
            </w14:solidFill>
          </w14:textFill>
        </w:rPr>
        <w:t>-03-</w:t>
      </w:r>
      <w:r>
        <w:rPr>
          <w:rFonts w:hint="eastAsia"/>
          <w:b w:val="0"/>
          <w:bCs/>
          <w:color w:val="000000" w:themeColor="text1"/>
          <w:lang w:val="en-US" w:eastAsia="zh-CN"/>
          <w14:textFill>
            <w14:solidFill>
              <w14:schemeClr w14:val="tx1"/>
            </w14:solidFill>
          </w14:textFill>
        </w:rPr>
        <w:t>000201</w:t>
      </w:r>
      <w:r>
        <w:rPr>
          <w:b w:val="0"/>
          <w:bCs/>
          <w:color w:val="000000" w:themeColor="text1"/>
          <w14:textFill>
            <w14:solidFill>
              <w14:schemeClr w14:val="tx1"/>
            </w14:solidFill>
          </w14:textFill>
        </w:rPr>
        <w:t>）</w:t>
      </w:r>
      <w:r>
        <w:rPr>
          <w:b w:val="0"/>
          <w:bCs/>
        </w:rPr>
        <w:t>符合国家产业政策。</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1.4项目衔接</w:t>
      </w:r>
    </w:p>
    <w:p>
      <w:pPr>
        <w:adjustRightInd w:val="0"/>
        <w:snapToGrid w:val="0"/>
        <w:spacing w:line="360" w:lineRule="auto"/>
        <w:ind w:firstLine="480" w:firstLineChars="200"/>
        <w:rPr>
          <w:b w:val="0"/>
          <w:bCs/>
          <w:color w:val="auto"/>
          <w:sz w:val="24"/>
        </w:rPr>
      </w:pPr>
      <w:r>
        <w:rPr>
          <w:b w:val="0"/>
          <w:bCs/>
          <w:sz w:val="24"/>
          <w:szCs w:val="24"/>
        </w:rPr>
        <w:t>项目</w:t>
      </w:r>
      <w:r>
        <w:rPr>
          <w:b w:val="0"/>
          <w:bCs/>
          <w:kern w:val="2"/>
          <w:sz w:val="24"/>
        </w:rPr>
        <w:t>电源引</w:t>
      </w:r>
      <w:r>
        <w:rPr>
          <w:b w:val="0"/>
          <w:bCs/>
          <w:sz w:val="24"/>
          <w:szCs w:val="24"/>
        </w:rPr>
        <w:t>自</w:t>
      </w:r>
      <w:r>
        <w:rPr>
          <w:rFonts w:hint="eastAsia"/>
          <w:b w:val="0"/>
          <w:bCs/>
          <w:sz w:val="24"/>
          <w:szCs w:val="24"/>
          <w:lang w:val="en-US" w:eastAsia="zh-CN"/>
        </w:rPr>
        <w:t>当地</w:t>
      </w:r>
      <w:r>
        <w:rPr>
          <w:b w:val="0"/>
          <w:bCs/>
          <w:sz w:val="24"/>
          <w:szCs w:val="24"/>
        </w:rPr>
        <w:t>供电系统</w:t>
      </w:r>
      <w:r>
        <w:rPr>
          <w:b w:val="0"/>
          <w:bCs/>
          <w:kern w:val="2"/>
          <w:sz w:val="24"/>
          <w:szCs w:val="24"/>
        </w:rPr>
        <w:t>，可满足项目供电需</w:t>
      </w:r>
      <w:r>
        <w:rPr>
          <w:b w:val="0"/>
          <w:bCs/>
          <w:kern w:val="2"/>
          <w:sz w:val="24"/>
        </w:rPr>
        <w:t>求。</w:t>
      </w:r>
      <w:r>
        <w:rPr>
          <w:rFonts w:hint="default"/>
          <w:color w:val="000000" w:themeColor="text1"/>
          <w:sz w:val="24"/>
          <w14:textFill>
            <w14:solidFill>
              <w14:schemeClr w14:val="tx1"/>
            </w14:solidFill>
          </w14:textFill>
        </w:rPr>
        <w:t>项目用水由当地供水管网提供</w:t>
      </w:r>
      <w:r>
        <w:rPr>
          <w:b w:val="0"/>
          <w:bCs/>
          <w:kern w:val="2"/>
          <w:sz w:val="24"/>
        </w:rPr>
        <w:t>；生活污水</w:t>
      </w:r>
      <w:r>
        <w:rPr>
          <w:rFonts w:hint="eastAsia"/>
          <w:b w:val="0"/>
          <w:bCs/>
          <w:kern w:val="2"/>
          <w:sz w:val="24"/>
          <w:lang w:val="en-US" w:eastAsia="zh-CN"/>
        </w:rPr>
        <w:t>用于厂区泼洒抑尘</w:t>
      </w:r>
      <w:r>
        <w:rPr>
          <w:b w:val="0"/>
          <w:bCs/>
          <w:kern w:val="2"/>
          <w:sz w:val="24"/>
        </w:rPr>
        <w:t>，</w:t>
      </w:r>
      <w:r>
        <w:rPr>
          <w:b w:val="0"/>
          <w:bCs/>
          <w:color w:val="auto"/>
          <w:sz w:val="24"/>
        </w:rPr>
        <w:t>冷却水循环使用不外排。项目生产过程中生产用热由电源提供，办公室冬季利用空调供暖。</w:t>
      </w:r>
    </w:p>
    <w:p>
      <w:pPr>
        <w:numPr>
          <w:ilvl w:val="0"/>
          <w:numId w:val="1"/>
        </w:numPr>
        <w:adjustRightInd w:val="0"/>
        <w:snapToGrid w:val="0"/>
        <w:spacing w:line="360" w:lineRule="auto"/>
        <w:ind w:firstLine="480" w:firstLineChars="200"/>
        <w:rPr>
          <w:b w:val="0"/>
          <w:bCs/>
          <w:sz w:val="24"/>
        </w:rPr>
      </w:pPr>
      <w:r>
        <w:rPr>
          <w:b w:val="0"/>
          <w:bCs/>
          <w:sz w:val="24"/>
        </w:rPr>
        <w:t>环境质量现状</w:t>
      </w:r>
    </w:p>
    <w:p>
      <w:pPr>
        <w:adjustRightInd w:val="0"/>
        <w:snapToGrid w:val="0"/>
        <w:spacing w:line="360" w:lineRule="auto"/>
        <w:ind w:firstLine="480" w:firstLineChars="200"/>
        <w:rPr>
          <w:rFonts w:hint="default"/>
          <w:b w:val="0"/>
          <w:bCs/>
          <w:color w:val="auto"/>
          <w:sz w:val="24"/>
          <w:lang w:val="en-US" w:eastAsia="zh-CN"/>
        </w:rPr>
      </w:pPr>
      <w:r>
        <w:rPr>
          <w:rFonts w:hint="eastAsia"/>
          <w:b w:val="0"/>
          <w:bCs/>
          <w:color w:val="auto"/>
          <w:sz w:val="24"/>
          <w:lang w:val="en-US" w:eastAsia="zh-CN"/>
        </w:rPr>
        <w:t>项目无废气产生</w:t>
      </w:r>
    </w:p>
    <w:p>
      <w:pPr>
        <w:adjustRightInd w:val="0"/>
        <w:snapToGrid w:val="0"/>
        <w:spacing w:line="360" w:lineRule="auto"/>
        <w:ind w:firstLine="480" w:firstLineChars="200"/>
        <w:rPr>
          <w:rFonts w:hint="eastAsia" w:eastAsia="宋体"/>
          <w:b w:val="0"/>
          <w:bCs/>
          <w:color w:val="auto"/>
          <w:spacing w:val="-4"/>
          <w:sz w:val="24"/>
          <w:szCs w:val="24"/>
          <w:lang w:eastAsia="zh-CN"/>
        </w:rPr>
      </w:pPr>
      <w:r>
        <w:rPr>
          <w:b w:val="0"/>
          <w:bCs/>
          <w:color w:val="auto"/>
          <w:sz w:val="24"/>
        </w:rPr>
        <w:t>项目所在区域大气环境满足《环境空气质量标准》（GB3095-2012）及修改单</w:t>
      </w:r>
      <w:r>
        <w:rPr>
          <w:b w:val="0"/>
          <w:bCs/>
          <w:sz w:val="24"/>
        </w:rPr>
        <w:t>中二级标准</w:t>
      </w:r>
      <w:r>
        <w:rPr>
          <w:rFonts w:hint="eastAsia"/>
          <w:b w:val="0"/>
          <w:bCs/>
          <w:sz w:val="24"/>
          <w:lang w:eastAsia="zh-CN"/>
        </w:rPr>
        <w:t>。</w:t>
      </w:r>
    </w:p>
    <w:p>
      <w:pPr>
        <w:adjustRightInd w:val="0"/>
        <w:snapToGrid w:val="0"/>
        <w:spacing w:line="360" w:lineRule="auto"/>
        <w:ind w:firstLine="480" w:firstLineChars="200"/>
        <w:jc w:val="left"/>
        <w:rPr>
          <w:b w:val="0"/>
          <w:bCs/>
          <w:color w:val="auto"/>
          <w:kern w:val="24"/>
          <w:sz w:val="24"/>
        </w:rPr>
      </w:pPr>
      <w:r>
        <w:rPr>
          <w:b w:val="0"/>
          <w:bCs/>
          <w:color w:val="auto"/>
          <w:kern w:val="24"/>
          <w:sz w:val="24"/>
        </w:rPr>
        <w:t>项目所在区域声环境质量满足《声环境质量标准》（GB3096-2008）表1中2类标准要求。</w:t>
      </w:r>
    </w:p>
    <w:p>
      <w:pPr>
        <w:adjustRightInd w:val="0"/>
        <w:snapToGrid w:val="0"/>
        <w:spacing w:line="360" w:lineRule="auto"/>
        <w:ind w:firstLine="480" w:firstLineChars="200"/>
        <w:jc w:val="left"/>
        <w:rPr>
          <w:b w:val="0"/>
          <w:bCs/>
          <w:color w:val="auto"/>
          <w:sz w:val="24"/>
        </w:rPr>
      </w:pPr>
      <w:r>
        <w:rPr>
          <w:b w:val="0"/>
          <w:bCs/>
          <w:color w:val="auto"/>
          <w:sz w:val="24"/>
        </w:rPr>
        <w:t>项目所在区域地下水环境满足《地下水环境质量标准</w:t>
      </w:r>
      <w:r>
        <w:rPr>
          <w:b w:val="0"/>
          <w:bCs/>
          <w:sz w:val="24"/>
        </w:rPr>
        <w:t>》（GB/T14848-2017）III</w:t>
      </w:r>
      <w:r>
        <w:rPr>
          <w:b w:val="0"/>
          <w:bCs/>
          <w:color w:val="auto"/>
          <w:sz w:val="24"/>
        </w:rPr>
        <w:t>类标准。</w:t>
      </w:r>
    </w:p>
    <w:p>
      <w:pPr>
        <w:adjustRightInd w:val="0"/>
        <w:snapToGrid w:val="0"/>
        <w:spacing w:line="360" w:lineRule="auto"/>
        <w:ind w:firstLine="480" w:firstLineChars="200"/>
        <w:jc w:val="left"/>
        <w:rPr>
          <w:b w:val="0"/>
          <w:bCs/>
          <w:sz w:val="24"/>
        </w:rPr>
      </w:pPr>
      <w:r>
        <w:rPr>
          <w:b w:val="0"/>
          <w:bCs/>
          <w:sz w:val="24"/>
        </w:rPr>
        <w:t>3、污染防治措施可行性分析结论</w:t>
      </w:r>
    </w:p>
    <w:p>
      <w:pPr>
        <w:adjustRightInd w:val="0"/>
        <w:snapToGrid w:val="0"/>
        <w:spacing w:line="360" w:lineRule="auto"/>
        <w:ind w:firstLine="480" w:firstLineChars="200"/>
        <w:jc w:val="left"/>
        <w:rPr>
          <w:b w:val="0"/>
          <w:bCs/>
          <w:kern w:val="24"/>
          <w:sz w:val="24"/>
        </w:rPr>
      </w:pPr>
      <w:r>
        <w:rPr>
          <w:b w:val="0"/>
          <w:bCs/>
          <w:kern w:val="24"/>
          <w:sz w:val="24"/>
        </w:rPr>
        <w:t>3.1施工期环境影响分析结论</w:t>
      </w:r>
    </w:p>
    <w:p>
      <w:pPr>
        <w:adjustRightInd w:val="0"/>
        <w:snapToGrid w:val="0"/>
        <w:spacing w:line="360" w:lineRule="auto"/>
        <w:ind w:firstLine="480" w:firstLineChars="200"/>
        <w:jc w:val="left"/>
        <w:rPr>
          <w:b w:val="0"/>
          <w:bCs/>
          <w:sz w:val="24"/>
          <w:szCs w:val="24"/>
        </w:rPr>
      </w:pPr>
      <w:r>
        <w:rPr>
          <w:rFonts w:hint="eastAsia"/>
          <w:b w:val="0"/>
          <w:bCs/>
          <w:sz w:val="24"/>
          <w:szCs w:val="24"/>
          <w:lang w:val="en-US" w:eastAsia="zh-CN"/>
        </w:rPr>
        <w:t>盐山美辰管件制造厂弯头生产</w:t>
      </w:r>
      <w:r>
        <w:rPr>
          <w:b w:val="0"/>
          <w:bCs/>
          <w:sz w:val="24"/>
          <w:szCs w:val="24"/>
        </w:rPr>
        <w:t>项目施工过程中对区域大气环境的影响主要是地面扬尘污染，污染因子为TSP，污染源主要来自以下几个方面：土地平整等施工过程产生的施工垃圾随意堆放，如遇大风天气，会造成扬尘污染；物料运输车辆在施工便道运行过程中将产生尘土；原料堆存、装卸过程产生尘土。工程施工期间扬尘会对周围居民产生影响，本评价要求建设及施工单位严格执行《关于印发河北省&lt;施工场地扬尘排放标准&gt;的通知》(DB 13/ 2934—2019)、《防治城市扬尘污染技术规范》(HJ/T 393-2007)、《河北省大气污染防治实施行动计划》 (冀发[2013]23号)、《河北省大气污染防治条例》(2016年1月13日)、《关于印发&lt;关于进一步加强建筑工程施工扬尘治理的若干规定&gt;的通知》(冀建法[2013]28号)、《沧州市重污染天气应急预案》及同类施工场地采取的抑尘措施，建设单位施工过程中采取以下措施：</w:t>
      </w:r>
    </w:p>
    <w:p>
      <w:pPr>
        <w:pStyle w:val="17"/>
        <w:widowControl w:val="0"/>
        <w:spacing w:line="360" w:lineRule="auto"/>
        <w:ind w:firstLine="480" w:firstLineChars="200"/>
        <w:textAlignment w:val="auto"/>
        <w:rPr>
          <w:b w:val="0"/>
          <w:bCs/>
          <w:kern w:val="2"/>
          <w:szCs w:val="24"/>
        </w:rPr>
      </w:pPr>
      <w:r>
        <w:rPr>
          <w:b w:val="0"/>
          <w:bCs/>
          <w:kern w:val="2"/>
          <w:szCs w:val="24"/>
        </w:rPr>
        <w:t>（1）加强管理，文明施工，轻装轻卸，并避免大风天气作业</w:t>
      </w:r>
    </w:p>
    <w:p>
      <w:pPr>
        <w:pStyle w:val="17"/>
        <w:widowControl w:val="0"/>
        <w:spacing w:line="360" w:lineRule="auto"/>
        <w:ind w:firstLine="480" w:firstLineChars="200"/>
        <w:textAlignment w:val="auto"/>
        <w:rPr>
          <w:b w:val="0"/>
          <w:bCs/>
          <w:kern w:val="2"/>
          <w:szCs w:val="24"/>
        </w:rPr>
      </w:pPr>
      <w:r>
        <w:rPr>
          <w:b w:val="0"/>
          <w:bCs/>
          <w:kern w:val="2"/>
          <w:szCs w:val="24"/>
        </w:rPr>
        <w:t>（2）施工现场出入口、主要道路、加工区等采取硬化处理措施；</w:t>
      </w:r>
    </w:p>
    <w:p>
      <w:pPr>
        <w:pStyle w:val="17"/>
        <w:widowControl w:val="0"/>
        <w:spacing w:line="360" w:lineRule="auto"/>
        <w:ind w:firstLine="480" w:firstLineChars="200"/>
        <w:textAlignment w:val="auto"/>
        <w:rPr>
          <w:b w:val="0"/>
          <w:bCs/>
          <w:kern w:val="2"/>
          <w:szCs w:val="24"/>
        </w:rPr>
      </w:pPr>
      <w:r>
        <w:rPr>
          <w:b w:val="0"/>
          <w:bCs/>
          <w:kern w:val="2"/>
          <w:szCs w:val="24"/>
        </w:rPr>
        <w:t>（3）施工场地内堆放水泥、砂石等易产生扬尘污染的物料，以及工地堆存的建筑垃圾、工程渣土等应采取遮盖、密闭或其它抑尘措施；</w:t>
      </w:r>
    </w:p>
    <w:p>
      <w:pPr>
        <w:pStyle w:val="17"/>
        <w:widowControl w:val="0"/>
        <w:spacing w:line="360" w:lineRule="auto"/>
        <w:ind w:firstLine="480" w:firstLineChars="200"/>
        <w:textAlignment w:val="auto"/>
        <w:rPr>
          <w:b w:val="0"/>
          <w:bCs/>
          <w:kern w:val="2"/>
          <w:szCs w:val="24"/>
        </w:rPr>
      </w:pPr>
      <w:r>
        <w:rPr>
          <w:b w:val="0"/>
          <w:bCs/>
          <w:kern w:val="2"/>
          <w:szCs w:val="24"/>
        </w:rPr>
        <w:t>（4）装卸和运输渣土、砂石、建筑垃圾等物料的，应当采取完全密闭措施；</w:t>
      </w:r>
    </w:p>
    <w:p>
      <w:pPr>
        <w:pStyle w:val="17"/>
        <w:widowControl w:val="0"/>
        <w:spacing w:line="360" w:lineRule="auto"/>
        <w:ind w:firstLine="480" w:firstLineChars="200"/>
        <w:textAlignment w:val="auto"/>
        <w:rPr>
          <w:b w:val="0"/>
          <w:bCs/>
          <w:kern w:val="2"/>
          <w:szCs w:val="24"/>
        </w:rPr>
      </w:pPr>
      <w:r>
        <w:rPr>
          <w:b w:val="0"/>
          <w:bCs/>
          <w:kern w:val="2"/>
          <w:szCs w:val="24"/>
        </w:rPr>
        <w:t>（5）施工场地扬尘排放应符合下表规定的浓度限值</w:t>
      </w:r>
    </w:p>
    <w:p>
      <w:pPr>
        <w:pStyle w:val="17"/>
        <w:widowControl w:val="0"/>
        <w:spacing w:line="360" w:lineRule="auto"/>
        <w:ind w:firstLine="480" w:firstLineChars="200"/>
        <w:jc w:val="center"/>
        <w:textAlignment w:val="auto"/>
        <w:rPr>
          <w:b w:val="0"/>
          <w:bCs/>
          <w:kern w:val="2"/>
          <w:szCs w:val="24"/>
        </w:rPr>
      </w:pPr>
      <w:r>
        <w:rPr>
          <w:b w:val="0"/>
          <w:bCs/>
          <w:color w:val="auto"/>
          <w:szCs w:val="24"/>
        </w:rPr>
        <w:t>表24 扬尘排放浓度限值</w:t>
      </w:r>
    </w:p>
    <w:tbl>
      <w:tblPr>
        <w:tblStyle w:val="20"/>
        <w:tblW w:w="8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8"/>
        <w:gridCol w:w="2785"/>
        <w:gridCol w:w="2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888" w:type="dxa"/>
            <w:tcBorders>
              <w:top w:val="single" w:color="auto" w:sz="4" w:space="0"/>
              <w:left w:val="single" w:color="auto" w:sz="4" w:space="0"/>
              <w:bottom w:val="single" w:color="auto" w:sz="4" w:space="0"/>
              <w:right w:val="single" w:color="auto" w:sz="4" w:space="0"/>
            </w:tcBorders>
            <w:shd w:val="clear" w:color="auto" w:fill="auto"/>
          </w:tcPr>
          <w:p>
            <w:pPr>
              <w:pStyle w:val="17"/>
              <w:widowControl w:val="0"/>
              <w:spacing w:line="0" w:lineRule="atLeast"/>
              <w:jc w:val="center"/>
              <w:textAlignment w:val="auto"/>
              <w:rPr>
                <w:b w:val="0"/>
                <w:bCs/>
                <w:kern w:val="2"/>
                <w:sz w:val="21"/>
                <w:szCs w:val="21"/>
              </w:rPr>
            </w:pPr>
            <w:r>
              <w:rPr>
                <w:b w:val="0"/>
                <w:bCs/>
                <w:kern w:val="2"/>
                <w:sz w:val="21"/>
                <w:szCs w:val="21"/>
              </w:rPr>
              <w:t>控制项目</w:t>
            </w:r>
          </w:p>
        </w:tc>
        <w:tc>
          <w:tcPr>
            <w:tcW w:w="2785" w:type="dxa"/>
            <w:tcBorders>
              <w:top w:val="single" w:color="auto" w:sz="4" w:space="0"/>
              <w:left w:val="nil"/>
              <w:bottom w:val="single" w:color="auto" w:sz="4" w:space="0"/>
              <w:right w:val="single" w:color="auto" w:sz="4" w:space="0"/>
            </w:tcBorders>
            <w:shd w:val="clear" w:color="auto" w:fill="auto"/>
          </w:tcPr>
          <w:p>
            <w:pPr>
              <w:pStyle w:val="17"/>
              <w:widowControl w:val="0"/>
              <w:spacing w:line="0" w:lineRule="atLeast"/>
              <w:textAlignment w:val="auto"/>
              <w:rPr>
                <w:b w:val="0"/>
                <w:bCs/>
                <w:kern w:val="2"/>
                <w:sz w:val="21"/>
                <w:szCs w:val="21"/>
              </w:rPr>
            </w:pPr>
            <w:r>
              <w:rPr>
                <w:b w:val="0"/>
                <w:bCs/>
                <w:kern w:val="2"/>
                <w:sz w:val="21"/>
                <w:szCs w:val="21"/>
              </w:rPr>
              <w:t>监测点浓度限值（µg/m</w:t>
            </w:r>
            <w:r>
              <w:rPr>
                <w:b w:val="0"/>
                <w:bCs/>
                <w:kern w:val="2"/>
                <w:sz w:val="21"/>
                <w:szCs w:val="21"/>
                <w:vertAlign w:val="superscript"/>
              </w:rPr>
              <w:t>3</w:t>
            </w:r>
            <w:r>
              <w:rPr>
                <w:b w:val="0"/>
                <w:bCs/>
                <w:kern w:val="2"/>
                <w:sz w:val="21"/>
                <w:szCs w:val="21"/>
              </w:rPr>
              <w:t>）</w:t>
            </w:r>
          </w:p>
        </w:tc>
        <w:tc>
          <w:tcPr>
            <w:tcW w:w="2786" w:type="dxa"/>
            <w:tcBorders>
              <w:top w:val="single" w:color="auto" w:sz="4" w:space="0"/>
              <w:left w:val="nil"/>
              <w:bottom w:val="single" w:color="auto" w:sz="4" w:space="0"/>
              <w:right w:val="single" w:color="auto" w:sz="4" w:space="0"/>
            </w:tcBorders>
            <w:shd w:val="clear" w:color="auto" w:fill="auto"/>
          </w:tcPr>
          <w:p>
            <w:pPr>
              <w:pStyle w:val="17"/>
              <w:widowControl w:val="0"/>
              <w:spacing w:line="0" w:lineRule="atLeast"/>
              <w:jc w:val="center"/>
              <w:textAlignment w:val="auto"/>
              <w:rPr>
                <w:b w:val="0"/>
                <w:bCs/>
                <w:kern w:val="2"/>
                <w:sz w:val="21"/>
                <w:szCs w:val="21"/>
              </w:rPr>
            </w:pPr>
            <w:r>
              <w:rPr>
                <w:b w:val="0"/>
                <w:bCs/>
                <w:kern w:val="2"/>
                <w:sz w:val="21"/>
                <w:szCs w:val="21"/>
              </w:rPr>
              <w:t>达标判定依据（次/天）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888" w:type="dxa"/>
            <w:tcBorders>
              <w:top w:val="single" w:color="auto" w:sz="4" w:space="0"/>
              <w:left w:val="single" w:color="auto" w:sz="4" w:space="0"/>
              <w:bottom w:val="single" w:color="auto" w:sz="4" w:space="0"/>
              <w:right w:val="single" w:color="auto" w:sz="4" w:space="0"/>
            </w:tcBorders>
            <w:shd w:val="clear" w:color="auto" w:fill="auto"/>
          </w:tcPr>
          <w:p>
            <w:pPr>
              <w:pStyle w:val="17"/>
              <w:widowControl w:val="0"/>
              <w:spacing w:line="240" w:lineRule="auto"/>
              <w:jc w:val="center"/>
              <w:textAlignment w:val="auto"/>
              <w:rPr>
                <w:b w:val="0"/>
                <w:bCs/>
                <w:kern w:val="2"/>
                <w:sz w:val="21"/>
                <w:szCs w:val="21"/>
              </w:rPr>
            </w:pPr>
            <w:r>
              <w:rPr>
                <w:b w:val="0"/>
                <w:bCs/>
                <w:kern w:val="2"/>
                <w:sz w:val="21"/>
                <w:szCs w:val="21"/>
              </w:rPr>
              <w:t>PM</w:t>
            </w:r>
            <w:r>
              <w:rPr>
                <w:b w:val="0"/>
                <w:bCs/>
                <w:kern w:val="2"/>
                <w:sz w:val="21"/>
                <w:szCs w:val="21"/>
                <w:vertAlign w:val="subscript"/>
              </w:rPr>
              <w:t>10</w:t>
            </w:r>
          </w:p>
        </w:tc>
        <w:tc>
          <w:tcPr>
            <w:tcW w:w="2785" w:type="dxa"/>
            <w:tcBorders>
              <w:top w:val="single" w:color="auto" w:sz="4" w:space="0"/>
              <w:left w:val="nil"/>
              <w:bottom w:val="single" w:color="auto" w:sz="4" w:space="0"/>
              <w:right w:val="single" w:color="auto" w:sz="4" w:space="0"/>
            </w:tcBorders>
            <w:shd w:val="clear" w:color="auto" w:fill="auto"/>
          </w:tcPr>
          <w:p>
            <w:pPr>
              <w:pStyle w:val="17"/>
              <w:widowControl w:val="0"/>
              <w:spacing w:line="240" w:lineRule="auto"/>
              <w:jc w:val="center"/>
              <w:textAlignment w:val="auto"/>
              <w:rPr>
                <w:b w:val="0"/>
                <w:bCs/>
                <w:kern w:val="2"/>
                <w:sz w:val="21"/>
                <w:szCs w:val="21"/>
              </w:rPr>
            </w:pPr>
            <w:r>
              <w:rPr>
                <w:b w:val="0"/>
                <w:bCs/>
                <w:kern w:val="2"/>
                <w:sz w:val="21"/>
                <w:szCs w:val="21"/>
              </w:rPr>
              <w:t>80</w:t>
            </w:r>
          </w:p>
        </w:tc>
        <w:tc>
          <w:tcPr>
            <w:tcW w:w="2786" w:type="dxa"/>
            <w:tcBorders>
              <w:top w:val="single" w:color="auto" w:sz="4" w:space="0"/>
              <w:left w:val="nil"/>
              <w:bottom w:val="single" w:color="auto" w:sz="4" w:space="0"/>
              <w:right w:val="single" w:color="auto" w:sz="4" w:space="0"/>
            </w:tcBorders>
            <w:shd w:val="clear" w:color="auto" w:fill="auto"/>
          </w:tcPr>
          <w:p>
            <w:pPr>
              <w:pStyle w:val="17"/>
              <w:widowControl w:val="0"/>
              <w:spacing w:line="240" w:lineRule="auto"/>
              <w:ind w:firstLine="420" w:firstLineChars="200"/>
              <w:jc w:val="center"/>
              <w:textAlignment w:val="auto"/>
              <w:rPr>
                <w:b w:val="0"/>
                <w:bCs/>
                <w:kern w:val="2"/>
                <w:sz w:val="21"/>
                <w:szCs w:val="21"/>
              </w:rPr>
            </w:pPr>
            <w:r>
              <w:rPr>
                <w:b w:val="0"/>
                <w:bCs/>
                <w:kern w:val="2"/>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8459" w:type="dxa"/>
            <w:gridSpan w:val="3"/>
            <w:tcBorders>
              <w:top w:val="single" w:color="auto" w:sz="4" w:space="0"/>
              <w:left w:val="single" w:color="auto" w:sz="4" w:space="0"/>
              <w:bottom w:val="single" w:color="auto" w:sz="4" w:space="0"/>
              <w:right w:val="single" w:color="auto" w:sz="4" w:space="0"/>
            </w:tcBorders>
            <w:shd w:val="clear" w:color="auto" w:fill="auto"/>
          </w:tcPr>
          <w:p>
            <w:pPr>
              <w:pStyle w:val="17"/>
              <w:widowControl w:val="0"/>
              <w:spacing w:line="240" w:lineRule="auto"/>
              <w:ind w:firstLine="420" w:firstLineChars="200"/>
              <w:textAlignment w:val="auto"/>
              <w:rPr>
                <w:b w:val="0"/>
                <w:bCs/>
                <w:kern w:val="2"/>
                <w:sz w:val="21"/>
                <w:szCs w:val="21"/>
              </w:rPr>
            </w:pPr>
            <w:r>
              <w:rPr>
                <w:b w:val="0"/>
                <w:bCs/>
                <w:kern w:val="2"/>
                <w:sz w:val="21"/>
                <w:szCs w:val="21"/>
              </w:rPr>
              <w:t>指监测点PM</w:t>
            </w:r>
            <w:r>
              <w:rPr>
                <w:b w:val="0"/>
                <w:bCs/>
                <w:kern w:val="2"/>
                <w:sz w:val="21"/>
                <w:szCs w:val="21"/>
                <w:vertAlign w:val="subscript"/>
              </w:rPr>
              <w:t>10</w:t>
            </w:r>
            <w:r>
              <w:rPr>
                <w:b w:val="0"/>
                <w:bCs/>
                <w:kern w:val="2"/>
                <w:sz w:val="21"/>
                <w:szCs w:val="21"/>
              </w:rPr>
              <w:t>小时平均浓度实测值与同时段所属县（市、区）PM</w:t>
            </w:r>
            <w:r>
              <w:rPr>
                <w:b w:val="0"/>
                <w:bCs/>
                <w:kern w:val="2"/>
                <w:sz w:val="21"/>
                <w:szCs w:val="21"/>
                <w:vertAlign w:val="subscript"/>
              </w:rPr>
              <w:t>10</w:t>
            </w:r>
            <w:r>
              <w:rPr>
                <w:b w:val="0"/>
                <w:bCs/>
                <w:kern w:val="2"/>
                <w:sz w:val="21"/>
                <w:szCs w:val="21"/>
              </w:rPr>
              <w:t>小时平均浓度的差值。当县（市、区）PM</w:t>
            </w:r>
            <w:r>
              <w:rPr>
                <w:b w:val="0"/>
                <w:bCs/>
                <w:kern w:val="2"/>
                <w:sz w:val="21"/>
                <w:szCs w:val="21"/>
                <w:vertAlign w:val="subscript"/>
              </w:rPr>
              <w:t>10</w:t>
            </w:r>
            <w:r>
              <w:rPr>
                <w:b w:val="0"/>
                <w:bCs/>
                <w:kern w:val="2"/>
                <w:sz w:val="21"/>
                <w:szCs w:val="21"/>
              </w:rPr>
              <w:t>小时平均浓度值大于150µg/m</w:t>
            </w:r>
            <w:r>
              <w:rPr>
                <w:b w:val="0"/>
                <w:bCs/>
                <w:kern w:val="2"/>
                <w:sz w:val="21"/>
                <w:szCs w:val="21"/>
                <w:vertAlign w:val="superscript"/>
              </w:rPr>
              <w:t>3</w:t>
            </w:r>
            <w:r>
              <w:rPr>
                <w:b w:val="0"/>
                <w:bCs/>
                <w:kern w:val="2"/>
                <w:sz w:val="21"/>
                <w:szCs w:val="21"/>
              </w:rPr>
              <w:t>时，以150µg/m</w:t>
            </w:r>
            <w:r>
              <w:rPr>
                <w:b w:val="0"/>
                <w:bCs/>
                <w:kern w:val="2"/>
                <w:sz w:val="21"/>
                <w:szCs w:val="21"/>
                <w:vertAlign w:val="superscript"/>
              </w:rPr>
              <w:t>3</w:t>
            </w:r>
            <w:r>
              <w:rPr>
                <w:b w:val="0"/>
                <w:bCs/>
                <w:kern w:val="2"/>
                <w:sz w:val="21"/>
                <w:szCs w:val="21"/>
              </w:rPr>
              <w:t>计</w:t>
            </w:r>
          </w:p>
        </w:tc>
      </w:tr>
    </w:tbl>
    <w:p>
      <w:pPr>
        <w:adjustRightInd w:val="0"/>
        <w:snapToGrid w:val="0"/>
        <w:spacing w:line="360" w:lineRule="auto"/>
        <w:ind w:firstLine="480" w:firstLineChars="200"/>
        <w:jc w:val="left"/>
        <w:rPr>
          <w:b w:val="0"/>
          <w:bCs/>
          <w:sz w:val="24"/>
          <w:szCs w:val="24"/>
        </w:rPr>
      </w:pPr>
      <w:r>
        <w:rPr>
          <w:b w:val="0"/>
          <w:bCs/>
          <w:sz w:val="24"/>
          <w:szCs w:val="24"/>
        </w:rPr>
        <w:t>在采取上述措施后，扬尘及粉尘污染程度会明显减轻，又因施工期只是短期的、暂时的，随着施工期的结束，以上污染也会随之结束，所以对周围环境影响不大。</w:t>
      </w:r>
    </w:p>
    <w:p>
      <w:pPr>
        <w:adjustRightInd w:val="0"/>
        <w:snapToGrid w:val="0"/>
        <w:spacing w:line="360" w:lineRule="auto"/>
        <w:ind w:firstLine="480" w:firstLineChars="200"/>
        <w:jc w:val="left"/>
        <w:rPr>
          <w:b w:val="0"/>
          <w:bCs/>
          <w:sz w:val="24"/>
          <w:szCs w:val="24"/>
        </w:rPr>
      </w:pPr>
      <w:r>
        <w:rPr>
          <w:b w:val="0"/>
          <w:bCs/>
          <w:sz w:val="24"/>
          <w:szCs w:val="24"/>
        </w:rPr>
        <w:t>各类燃油动力机械在土地平整、物料运输等施工作业时，会排出各类燃油废气，排放的主要污染物为CO、NO</w:t>
      </w:r>
      <w:r>
        <w:rPr>
          <w:b w:val="0"/>
          <w:bCs/>
          <w:sz w:val="24"/>
          <w:szCs w:val="24"/>
          <w:vertAlign w:val="subscript"/>
        </w:rPr>
        <w:t>X</w:t>
      </w:r>
      <w:r>
        <w:rPr>
          <w:b w:val="0"/>
          <w:bCs/>
          <w:sz w:val="24"/>
          <w:szCs w:val="24"/>
        </w:rPr>
        <w:t>、SO</w:t>
      </w:r>
      <w:r>
        <w:rPr>
          <w:b w:val="0"/>
          <w:bCs/>
          <w:sz w:val="24"/>
          <w:szCs w:val="24"/>
          <w:vertAlign w:val="subscript"/>
        </w:rPr>
        <w:t>2</w:t>
      </w:r>
      <w:r>
        <w:rPr>
          <w:b w:val="0"/>
          <w:bCs/>
          <w:sz w:val="24"/>
          <w:szCs w:val="24"/>
        </w:rPr>
        <w:t>，项目开工后要选用性能好的先进设备及使用清洁燃料，可以减少污染物的排放，对周围环境影响较小。</w:t>
      </w:r>
    </w:p>
    <w:p>
      <w:pPr>
        <w:adjustRightInd w:val="0"/>
        <w:snapToGrid w:val="0"/>
        <w:spacing w:line="360" w:lineRule="auto"/>
        <w:ind w:firstLine="480" w:firstLineChars="200"/>
        <w:jc w:val="left"/>
        <w:rPr>
          <w:b w:val="0"/>
          <w:bCs/>
          <w:sz w:val="24"/>
          <w:szCs w:val="24"/>
        </w:rPr>
      </w:pPr>
      <w:r>
        <w:rPr>
          <w:b w:val="0"/>
          <w:bCs/>
          <w:sz w:val="24"/>
          <w:szCs w:val="24"/>
        </w:rPr>
        <w:t>2.施工期废水影响分析</w:t>
      </w:r>
    </w:p>
    <w:p>
      <w:pPr>
        <w:adjustRightInd w:val="0"/>
        <w:snapToGrid w:val="0"/>
        <w:spacing w:line="360" w:lineRule="auto"/>
        <w:ind w:firstLine="480" w:firstLineChars="200"/>
        <w:jc w:val="left"/>
        <w:rPr>
          <w:b w:val="0"/>
          <w:bCs/>
          <w:sz w:val="24"/>
          <w:szCs w:val="24"/>
        </w:rPr>
      </w:pPr>
      <w:r>
        <w:rPr>
          <w:b w:val="0"/>
          <w:bCs/>
          <w:sz w:val="24"/>
          <w:szCs w:val="24"/>
        </w:rPr>
        <w:t>施工机械机修及工作时跑、冒、漏产生的污油及露天机械被雨水冲刷产生的含油污水，工程施工期间采用先进设备以避免跑、冒、漏产生油污，避免机械露天放置，可避免上述含油污水的产生；施工单位不设施工驻地，施工人员产生少量生活污水，泼洒场地不外排。</w:t>
      </w:r>
    </w:p>
    <w:p>
      <w:pPr>
        <w:adjustRightInd w:val="0"/>
        <w:snapToGrid w:val="0"/>
        <w:spacing w:line="360" w:lineRule="auto"/>
        <w:ind w:firstLine="480" w:firstLineChars="200"/>
        <w:jc w:val="left"/>
        <w:rPr>
          <w:b w:val="0"/>
          <w:bCs/>
          <w:sz w:val="24"/>
          <w:szCs w:val="24"/>
        </w:rPr>
      </w:pPr>
      <w:r>
        <w:rPr>
          <w:b w:val="0"/>
          <w:bCs/>
          <w:sz w:val="24"/>
          <w:szCs w:val="24"/>
        </w:rPr>
        <w:t>综上所述，施工期间产生的废水对周围环境影响较小。</w:t>
      </w:r>
    </w:p>
    <w:p>
      <w:pPr>
        <w:adjustRightInd w:val="0"/>
        <w:snapToGrid w:val="0"/>
        <w:spacing w:line="360" w:lineRule="auto"/>
        <w:ind w:firstLine="480" w:firstLineChars="200"/>
        <w:jc w:val="left"/>
        <w:rPr>
          <w:b w:val="0"/>
          <w:bCs/>
          <w:sz w:val="24"/>
          <w:szCs w:val="24"/>
        </w:rPr>
      </w:pPr>
      <w:r>
        <w:rPr>
          <w:b w:val="0"/>
          <w:bCs/>
          <w:sz w:val="24"/>
          <w:szCs w:val="24"/>
        </w:rPr>
        <w:t>3.施工期噪声影响分析</w:t>
      </w:r>
    </w:p>
    <w:p>
      <w:pPr>
        <w:adjustRightInd w:val="0"/>
        <w:snapToGrid w:val="0"/>
        <w:spacing w:line="360" w:lineRule="auto"/>
        <w:ind w:firstLine="480" w:firstLineChars="200"/>
        <w:jc w:val="left"/>
        <w:rPr>
          <w:b w:val="0"/>
          <w:bCs/>
          <w:sz w:val="24"/>
          <w:szCs w:val="24"/>
        </w:rPr>
      </w:pPr>
      <w:r>
        <w:rPr>
          <w:b w:val="0"/>
          <w:bCs/>
          <w:sz w:val="24"/>
          <w:szCs w:val="24"/>
        </w:rPr>
        <w:t>确保高噪声施工工序夜间和午休时间不施工，并在施工工地合理安排施工时间，合理布局施工现场，对高噪声作业采取控制施工时间的方法来使其对敏感点的干扰减小到最低程度；建立临时声障，采用建筑等隔声措施。通过采取以上措施，则可大大减少噪声影响。施工场界噪声可以达到《建筑施工场界环境噪声排放标准》（GB12523-2011）的要求，而且将随着施工的结束而消失。</w:t>
      </w:r>
    </w:p>
    <w:p>
      <w:pPr>
        <w:adjustRightInd w:val="0"/>
        <w:snapToGrid w:val="0"/>
        <w:spacing w:line="360" w:lineRule="auto"/>
        <w:ind w:firstLine="480" w:firstLineChars="200"/>
        <w:jc w:val="left"/>
        <w:rPr>
          <w:b w:val="0"/>
          <w:bCs/>
          <w:sz w:val="24"/>
          <w:szCs w:val="24"/>
        </w:rPr>
      </w:pPr>
      <w:r>
        <w:rPr>
          <w:b w:val="0"/>
          <w:bCs/>
          <w:sz w:val="24"/>
          <w:szCs w:val="24"/>
        </w:rPr>
        <w:t>4.施工期固体废物影响分析</w:t>
      </w:r>
    </w:p>
    <w:p>
      <w:pPr>
        <w:adjustRightInd w:val="0"/>
        <w:snapToGrid w:val="0"/>
        <w:spacing w:line="360" w:lineRule="auto"/>
        <w:ind w:firstLine="480" w:firstLineChars="200"/>
        <w:jc w:val="left"/>
        <w:rPr>
          <w:b w:val="0"/>
          <w:bCs/>
          <w:sz w:val="24"/>
          <w:szCs w:val="24"/>
        </w:rPr>
      </w:pPr>
      <w:r>
        <w:rPr>
          <w:b w:val="0"/>
          <w:bCs/>
          <w:sz w:val="24"/>
          <w:szCs w:val="24"/>
        </w:rPr>
        <w:t>施工期产生的固体废物主要有废建材、撒落的沙石料、废工程土以及少量生活垃圾等。施工中要加强对这些固体废物的管理，工程废弃物应及时清运，要求按规定路线运输，运输车辆必须按有关要求配装密闭装置。施工队的生活垃圾要收集到指定的垃圾箱内，及时清运至垃圾处理场。</w:t>
      </w:r>
    </w:p>
    <w:p>
      <w:pPr>
        <w:spacing w:line="360" w:lineRule="auto"/>
        <w:rPr>
          <w:b w:val="0"/>
          <w:bCs/>
          <w:kern w:val="24"/>
          <w:sz w:val="24"/>
        </w:rPr>
      </w:pPr>
      <w:r>
        <w:rPr>
          <w:b w:val="0"/>
          <w:bCs/>
          <w:sz w:val="24"/>
          <w:szCs w:val="24"/>
        </w:rPr>
        <w:t>施工期对周围环境的影响是局部的，暂时的，随着工程的建成完工而消失。</w:t>
      </w:r>
    </w:p>
    <w:p>
      <w:pPr>
        <w:adjustRightInd w:val="0"/>
        <w:snapToGrid w:val="0"/>
        <w:spacing w:line="360" w:lineRule="auto"/>
        <w:ind w:firstLine="480" w:firstLineChars="200"/>
        <w:jc w:val="left"/>
        <w:rPr>
          <w:b w:val="0"/>
          <w:bCs/>
          <w:kern w:val="24"/>
          <w:sz w:val="24"/>
        </w:rPr>
      </w:pPr>
      <w:r>
        <w:rPr>
          <w:b w:val="0"/>
          <w:bCs/>
          <w:kern w:val="24"/>
          <w:sz w:val="24"/>
        </w:rPr>
        <w:t>3.2运营期环境影响分析结论</w:t>
      </w:r>
    </w:p>
    <w:p>
      <w:pPr>
        <w:pStyle w:val="11"/>
        <w:adjustRightInd w:val="0"/>
        <w:snapToGrid w:val="0"/>
        <w:spacing w:line="360" w:lineRule="auto"/>
        <w:ind w:firstLine="480" w:firstLineChars="200"/>
        <w:jc w:val="left"/>
        <w:rPr>
          <w:rFonts w:ascii="Times New Roman" w:hAnsi="Times New Roman"/>
          <w:b w:val="0"/>
          <w:bCs/>
          <w:kern w:val="0"/>
          <w:sz w:val="24"/>
          <w:szCs w:val="24"/>
        </w:rPr>
      </w:pPr>
      <w:r>
        <w:rPr>
          <w:rFonts w:ascii="Times New Roman" w:hAnsi="Times New Roman"/>
          <w:b w:val="0"/>
          <w:bCs/>
          <w:color w:val="auto"/>
          <w:kern w:val="24"/>
          <w:sz w:val="24"/>
          <w:szCs w:val="24"/>
        </w:rPr>
        <w:t>3.2.1大气环境影响评价结论</w:t>
      </w:r>
    </w:p>
    <w:p>
      <w:pPr>
        <w:spacing w:line="360" w:lineRule="auto"/>
        <w:ind w:firstLine="420" w:firstLineChars="200"/>
        <w:rPr>
          <w:b w:val="0"/>
          <w:bCs/>
          <w:kern w:val="24"/>
          <w:sz w:val="24"/>
          <w:szCs w:val="24"/>
        </w:rPr>
      </w:pPr>
      <w:r>
        <w:rPr>
          <w:b w:val="0"/>
          <w:bCs/>
        </w:rPr>
        <w:t>（1）</w:t>
      </w:r>
      <w:r>
        <w:rPr>
          <w:rFonts w:hint="eastAsia"/>
          <w:b w:val="0"/>
          <w:bCs/>
          <w:sz w:val="24"/>
          <w:szCs w:val="24"/>
          <w:lang w:val="en-US" w:eastAsia="zh-CN"/>
        </w:rPr>
        <w:t>项目无废气产生</w:t>
      </w:r>
      <w:r>
        <w:rPr>
          <w:b w:val="0"/>
          <w:bCs/>
          <w:kern w:val="24"/>
          <w:sz w:val="24"/>
          <w:szCs w:val="24"/>
        </w:rPr>
        <w:t>。</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szCs w:val="24"/>
        </w:rPr>
        <w:t>3.2.2水环境影响评价结论</w:t>
      </w:r>
    </w:p>
    <w:p>
      <w:pPr>
        <w:adjustRightInd w:val="0"/>
        <w:snapToGrid w:val="0"/>
        <w:spacing w:line="360" w:lineRule="auto"/>
        <w:ind w:firstLine="480" w:firstLineChars="200"/>
        <w:jc w:val="left"/>
        <w:rPr>
          <w:b w:val="0"/>
          <w:bCs/>
          <w:sz w:val="24"/>
          <w:szCs w:val="24"/>
        </w:rPr>
      </w:pPr>
      <w:r>
        <w:rPr>
          <w:b w:val="0"/>
          <w:bCs/>
          <w:color w:val="auto"/>
          <w:kern w:val="2"/>
          <w:sz w:val="24"/>
          <w:szCs w:val="24"/>
        </w:rPr>
        <w:t>（1）地表水环境影响分析</w:t>
      </w:r>
    </w:p>
    <w:p>
      <w:pPr>
        <w:adjustRightInd w:val="0"/>
        <w:snapToGrid w:val="0"/>
        <w:spacing w:line="360" w:lineRule="auto"/>
        <w:ind w:firstLine="468" w:firstLineChars="195"/>
        <w:rPr>
          <w:b w:val="0"/>
          <w:bCs/>
          <w:sz w:val="24"/>
        </w:rPr>
      </w:pPr>
      <w:r>
        <w:rPr>
          <w:b w:val="0"/>
          <w:bCs/>
          <w:sz w:val="24"/>
          <w:szCs w:val="24"/>
        </w:rPr>
        <w:t>根据工程分析，项目建成后，全厂无生产废水产生，冷却水循环使用，定期补充，不外排，产生的废水主要为职工生活污水，主要污染物为COD、SS和氨氮</w:t>
      </w:r>
      <w:r>
        <w:rPr>
          <w:b w:val="0"/>
          <w:bCs/>
          <w:color w:val="auto"/>
          <w:sz w:val="24"/>
          <w:szCs w:val="24"/>
        </w:rPr>
        <w:t>，</w:t>
      </w:r>
      <w:r>
        <w:rPr>
          <w:b w:val="0"/>
          <w:bCs/>
          <w:sz w:val="24"/>
          <w:szCs w:val="24"/>
        </w:rPr>
        <w:t>厂区设防渗旱厕，产生的生活污水</w:t>
      </w:r>
      <w:r>
        <w:rPr>
          <w:rFonts w:hint="eastAsia"/>
          <w:b w:val="0"/>
          <w:bCs/>
          <w:sz w:val="24"/>
          <w:szCs w:val="24"/>
          <w:lang w:val="en-US" w:eastAsia="zh-CN"/>
        </w:rPr>
        <w:t>用于厂区泼洒抑尘</w:t>
      </w:r>
      <w:r>
        <w:rPr>
          <w:b w:val="0"/>
          <w:bCs/>
          <w:sz w:val="24"/>
        </w:rPr>
        <w:t>。综上，项目无废水外排，故无需进行地表水评价。项目建设不会对周围水环境产生影响。</w:t>
      </w:r>
    </w:p>
    <w:p>
      <w:pPr>
        <w:adjustRightInd w:val="0"/>
        <w:snapToGrid w:val="0"/>
        <w:spacing w:line="360" w:lineRule="auto"/>
        <w:ind w:firstLine="480" w:firstLineChars="200"/>
        <w:rPr>
          <w:b w:val="0"/>
          <w:bCs/>
          <w:color w:val="auto"/>
          <w:kern w:val="2"/>
          <w:sz w:val="24"/>
          <w:szCs w:val="24"/>
        </w:rPr>
      </w:pPr>
      <w:r>
        <w:rPr>
          <w:b w:val="0"/>
          <w:bCs/>
          <w:color w:val="auto"/>
          <w:sz w:val="24"/>
        </w:rPr>
        <w:t>（2）地下水环境影响分析</w:t>
      </w:r>
    </w:p>
    <w:p>
      <w:pPr>
        <w:adjustRightInd w:val="0"/>
        <w:snapToGrid w:val="0"/>
        <w:spacing w:line="360" w:lineRule="auto"/>
        <w:ind w:firstLine="480" w:firstLineChars="200"/>
        <w:rPr>
          <w:b w:val="0"/>
          <w:bCs/>
          <w:sz w:val="24"/>
        </w:rPr>
      </w:pPr>
      <w:r>
        <w:rPr>
          <w:b w:val="0"/>
          <w:bCs/>
          <w:sz w:val="24"/>
        </w:rPr>
        <w:t>根据《环境影响评价技术导则-地下水环境》（HJ610-2016）中“附录A 地下水环境影响评价行业分类表”，本项目属于“</w:t>
      </w:r>
      <w:r>
        <w:rPr>
          <w:rFonts w:hint="eastAsia"/>
          <w:color w:val="000000" w:themeColor="text1"/>
          <w:spacing w:val="-10"/>
          <w:sz w:val="24"/>
          <w14:textFill>
            <w14:solidFill>
              <w14:schemeClr w14:val="tx1"/>
            </w14:solidFill>
          </w14:textFill>
        </w:rPr>
        <w:t>52、金属制品加工制造</w:t>
      </w:r>
      <w:r>
        <w:rPr>
          <w:rFonts w:hint="eastAsia" w:hAnsi="宋体"/>
          <w:color w:val="000000" w:themeColor="text1"/>
          <w:kern w:val="24"/>
          <w:sz w:val="24"/>
          <w14:textFill>
            <w14:solidFill>
              <w14:schemeClr w14:val="tx1"/>
            </w14:solidFill>
          </w14:textFill>
        </w:rPr>
        <w:t>-其他类</w:t>
      </w:r>
      <w:r>
        <w:rPr>
          <w:b w:val="0"/>
          <w:bCs/>
          <w:sz w:val="24"/>
        </w:rPr>
        <w:t>”中“报告表”类别，属Ⅳ类建设项目，不需开展地下水环境影响评价。</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rPr>
        <w:t>因此，本项目不会对区域水环境产生明显影响。</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3.2.3 固废环境影响评价结论</w:t>
      </w:r>
    </w:p>
    <w:p>
      <w:pPr>
        <w:pStyle w:val="11"/>
        <w:adjustRightInd w:val="0"/>
        <w:snapToGrid w:val="0"/>
        <w:spacing w:line="360" w:lineRule="auto"/>
        <w:ind w:firstLine="480" w:firstLineChars="200"/>
        <w:jc w:val="left"/>
        <w:rPr>
          <w:rFonts w:ascii="Times New Roman" w:hAnsi="Times New Roman"/>
          <w:b w:val="0"/>
          <w:bCs/>
          <w:sz w:val="24"/>
          <w:szCs w:val="24"/>
        </w:rPr>
      </w:pPr>
      <w:r>
        <w:rPr>
          <w:rFonts w:ascii="Times New Roman" w:hAnsi="Times New Roman"/>
          <w:b w:val="0"/>
          <w:bCs/>
          <w:sz w:val="24"/>
          <w:szCs w:val="24"/>
        </w:rPr>
        <w:t>生产过程中生产工序产生下脚料，收集后</w:t>
      </w:r>
      <w:r>
        <w:rPr>
          <w:rFonts w:hint="eastAsia" w:ascii="Times New Roman" w:hAnsi="Times New Roman"/>
          <w:b w:val="0"/>
          <w:bCs/>
          <w:sz w:val="24"/>
          <w:szCs w:val="24"/>
          <w:lang w:val="en-US" w:eastAsia="zh-CN"/>
        </w:rPr>
        <w:t>外售</w:t>
      </w:r>
      <w:r>
        <w:rPr>
          <w:rFonts w:ascii="Times New Roman" w:hAnsi="Times New Roman"/>
          <w:b w:val="0"/>
          <w:bCs/>
          <w:sz w:val="24"/>
          <w:szCs w:val="24"/>
        </w:rPr>
        <w:t>；</w:t>
      </w:r>
    </w:p>
    <w:p>
      <w:pPr>
        <w:pStyle w:val="11"/>
        <w:adjustRightInd w:val="0"/>
        <w:snapToGrid w:val="0"/>
        <w:spacing w:line="360" w:lineRule="auto"/>
        <w:ind w:firstLine="480" w:firstLineChars="200"/>
        <w:jc w:val="left"/>
        <w:rPr>
          <w:rFonts w:ascii="Times New Roman" w:hAnsi="Times New Roman"/>
          <w:b w:val="0"/>
          <w:bCs/>
          <w:sz w:val="24"/>
          <w:szCs w:val="24"/>
        </w:rPr>
      </w:pPr>
      <w:r>
        <w:rPr>
          <w:rFonts w:hint="eastAsia" w:ascii="Times New Roman" w:hAnsi="Times New Roman"/>
          <w:b w:val="0"/>
          <w:bCs/>
          <w:sz w:val="24"/>
          <w:szCs w:val="24"/>
          <w:lang w:val="en-US" w:eastAsia="zh-CN"/>
        </w:rPr>
        <w:t>生产过程中产生的含油抹布、</w:t>
      </w:r>
      <w:r>
        <w:rPr>
          <w:rFonts w:ascii="Times New Roman" w:hAnsi="Times New Roman"/>
          <w:b w:val="0"/>
          <w:bCs/>
          <w:sz w:val="24"/>
          <w:szCs w:val="24"/>
        </w:rPr>
        <w:t>厂区职工产生生活垃圾，收集后由环卫人员运至垃圾处理厂处理；</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综上所述，以上固废均得到有效处理与处置，对周围环境影响较小。</w:t>
      </w:r>
    </w:p>
    <w:p>
      <w:pPr>
        <w:pStyle w:val="11"/>
        <w:adjustRightInd w:val="0"/>
        <w:snapToGrid w:val="0"/>
        <w:spacing w:line="360" w:lineRule="auto"/>
        <w:ind w:firstLine="480" w:firstLineChars="200"/>
        <w:jc w:val="left"/>
        <w:rPr>
          <w:rFonts w:ascii="Times New Roman" w:hAnsi="Times New Roman"/>
          <w:b w:val="0"/>
          <w:bCs/>
          <w:sz w:val="24"/>
        </w:rPr>
      </w:pPr>
      <w:r>
        <w:rPr>
          <w:rFonts w:ascii="Times New Roman" w:hAnsi="Times New Roman"/>
          <w:b w:val="0"/>
          <w:bCs/>
          <w:sz w:val="24"/>
        </w:rPr>
        <w:t>3.2.4噪声环境影响评价结论</w:t>
      </w:r>
    </w:p>
    <w:p>
      <w:pPr>
        <w:adjustRightInd w:val="0"/>
        <w:snapToGrid w:val="0"/>
        <w:spacing w:line="360" w:lineRule="auto"/>
        <w:ind w:firstLine="480" w:firstLineChars="200"/>
        <w:rPr>
          <w:b w:val="0"/>
          <w:bCs/>
          <w:color w:val="auto"/>
          <w:sz w:val="24"/>
          <w:szCs w:val="24"/>
        </w:rPr>
      </w:pPr>
      <w:r>
        <w:rPr>
          <w:b w:val="0"/>
          <w:bCs/>
          <w:sz w:val="24"/>
          <w:szCs w:val="24"/>
        </w:rPr>
        <w:t>噪声主要是</w:t>
      </w:r>
      <w:r>
        <w:rPr>
          <w:rFonts w:hint="eastAsia"/>
          <w:b w:val="0"/>
          <w:bCs/>
          <w:sz w:val="24"/>
          <w:szCs w:val="24"/>
          <w:lang w:val="en-US" w:eastAsia="zh-CN"/>
        </w:rPr>
        <w:t>截管机、车床</w:t>
      </w:r>
      <w:r>
        <w:rPr>
          <w:b w:val="0"/>
          <w:bCs/>
          <w:sz w:val="24"/>
          <w:szCs w:val="24"/>
        </w:rPr>
        <w:t>等设备</w:t>
      </w:r>
      <w:r>
        <w:rPr>
          <w:b w:val="0"/>
          <w:bCs/>
          <w:color w:val="auto"/>
          <w:sz w:val="24"/>
          <w:szCs w:val="24"/>
        </w:rPr>
        <w:t>运转时产生的噪声，噪声值在70～90dB(A)。</w:t>
      </w:r>
      <w:r>
        <w:rPr>
          <w:b w:val="0"/>
          <w:bCs/>
          <w:sz w:val="24"/>
        </w:rPr>
        <w:t>采取生产设备合理布局、设置减振垫，厂房隔声等措施并经距离衰减后，项目厂界噪声符合《工业企业厂界环境噪声排放标准》（GB12348-2008）2类标准，项目可行。</w:t>
      </w:r>
    </w:p>
    <w:p>
      <w:pPr>
        <w:pStyle w:val="11"/>
        <w:adjustRightInd w:val="0"/>
        <w:snapToGrid w:val="0"/>
        <w:spacing w:line="360" w:lineRule="auto"/>
        <w:ind w:firstLine="532" w:firstLineChars="222"/>
        <w:jc w:val="left"/>
        <w:rPr>
          <w:rFonts w:ascii="Times New Roman" w:hAnsi="Times New Roman"/>
          <w:b w:val="0"/>
          <w:bCs/>
          <w:kern w:val="0"/>
          <w:sz w:val="24"/>
        </w:rPr>
      </w:pPr>
      <w:r>
        <w:rPr>
          <w:rFonts w:ascii="Times New Roman" w:hAnsi="Times New Roman"/>
          <w:b w:val="0"/>
          <w:bCs/>
          <w:sz w:val="24"/>
        </w:rPr>
        <w:t>4、</w:t>
      </w:r>
      <w:r>
        <w:rPr>
          <w:rFonts w:ascii="Times New Roman" w:hAnsi="Times New Roman"/>
          <w:b w:val="0"/>
          <w:bCs/>
          <w:kern w:val="0"/>
          <w:sz w:val="24"/>
        </w:rPr>
        <w:t>清洁生产分析结论</w:t>
      </w:r>
    </w:p>
    <w:p>
      <w:pPr>
        <w:adjustRightInd w:val="0"/>
        <w:snapToGrid w:val="0"/>
        <w:spacing w:line="360" w:lineRule="auto"/>
        <w:ind w:firstLine="480" w:firstLineChars="200"/>
        <w:jc w:val="left"/>
        <w:rPr>
          <w:b w:val="0"/>
          <w:bCs/>
          <w:sz w:val="24"/>
        </w:rPr>
      </w:pPr>
      <w:r>
        <w:rPr>
          <w:b w:val="0"/>
          <w:bCs/>
          <w:sz w:val="24"/>
        </w:rPr>
        <w:t>项目采用较为成熟的工艺及生产设备，原料相对环保，加热过程采用清洁的电能，污染物产生少并达标排放，资源得到充分利用，故本项目符合清洁生产要求。</w:t>
      </w:r>
    </w:p>
    <w:p>
      <w:pPr>
        <w:pStyle w:val="11"/>
        <w:adjustRightInd w:val="0"/>
        <w:snapToGrid w:val="0"/>
        <w:spacing w:line="360" w:lineRule="auto"/>
        <w:ind w:firstLine="532" w:firstLineChars="222"/>
        <w:jc w:val="left"/>
        <w:rPr>
          <w:rFonts w:ascii="Times New Roman" w:hAnsi="Times New Roman"/>
          <w:b w:val="0"/>
          <w:bCs/>
          <w:sz w:val="24"/>
        </w:rPr>
      </w:pPr>
      <w:r>
        <w:rPr>
          <w:rFonts w:ascii="Times New Roman" w:hAnsi="Times New Roman"/>
          <w:b w:val="0"/>
          <w:bCs/>
          <w:kern w:val="0"/>
          <w:sz w:val="24"/>
        </w:rPr>
        <w:t>5、污染物</w:t>
      </w:r>
      <w:r>
        <w:rPr>
          <w:rFonts w:ascii="Times New Roman" w:hAnsi="Times New Roman"/>
          <w:b w:val="0"/>
          <w:bCs/>
          <w:sz w:val="24"/>
        </w:rPr>
        <w:t>总量控制指标分析结论</w:t>
      </w:r>
    </w:p>
    <w:p>
      <w:pPr>
        <w:adjustRightInd w:val="0"/>
        <w:snapToGrid w:val="0"/>
        <w:spacing w:line="360" w:lineRule="auto"/>
        <w:ind w:firstLine="532" w:firstLineChars="222"/>
        <w:jc w:val="left"/>
        <w:rPr>
          <w:b w:val="0"/>
          <w:bCs/>
          <w:sz w:val="24"/>
        </w:rPr>
      </w:pPr>
      <w:r>
        <w:rPr>
          <w:b w:val="0"/>
          <w:bCs/>
          <w:sz w:val="24"/>
        </w:rPr>
        <w:t>本评控制指标建议值为：COD：0t/a、NH</w:t>
      </w:r>
      <w:r>
        <w:rPr>
          <w:b w:val="0"/>
          <w:bCs/>
          <w:sz w:val="24"/>
          <w:vertAlign w:val="subscript"/>
        </w:rPr>
        <w:t>3</w:t>
      </w:r>
      <w:r>
        <w:rPr>
          <w:b w:val="0"/>
          <w:bCs/>
          <w:sz w:val="24"/>
        </w:rPr>
        <w:t>-N：0t/a、SO</w:t>
      </w:r>
      <w:r>
        <w:rPr>
          <w:b w:val="0"/>
          <w:bCs/>
          <w:sz w:val="24"/>
          <w:vertAlign w:val="subscript"/>
        </w:rPr>
        <w:t>2</w:t>
      </w:r>
      <w:r>
        <w:rPr>
          <w:b w:val="0"/>
          <w:bCs/>
          <w:sz w:val="24"/>
        </w:rPr>
        <w:t>：0t/a、NOx：0t/a</w:t>
      </w:r>
    </w:p>
    <w:p>
      <w:pPr>
        <w:adjustRightInd w:val="0"/>
        <w:snapToGrid w:val="0"/>
        <w:spacing w:line="360" w:lineRule="auto"/>
        <w:ind w:firstLine="532" w:firstLineChars="222"/>
        <w:jc w:val="left"/>
        <w:rPr>
          <w:b w:val="0"/>
          <w:bCs/>
          <w:sz w:val="24"/>
        </w:rPr>
      </w:pPr>
      <w:r>
        <w:rPr>
          <w:b w:val="0"/>
          <w:bCs/>
          <w:sz w:val="24"/>
        </w:rPr>
        <w:t>6、项目实施前后环境质量变化情况</w:t>
      </w:r>
    </w:p>
    <w:p>
      <w:pPr>
        <w:adjustRightInd w:val="0"/>
        <w:snapToGrid w:val="0"/>
        <w:spacing w:line="360" w:lineRule="auto"/>
        <w:ind w:firstLine="480" w:firstLineChars="200"/>
        <w:jc w:val="left"/>
        <w:rPr>
          <w:b w:val="0"/>
          <w:bCs/>
          <w:sz w:val="24"/>
        </w:rPr>
      </w:pPr>
      <w:r>
        <w:rPr>
          <w:b w:val="0"/>
          <w:bCs/>
          <w:sz w:val="24"/>
        </w:rPr>
        <w:t>项目</w:t>
      </w:r>
      <w:r>
        <w:rPr>
          <w:rFonts w:hint="eastAsia"/>
          <w:b w:val="0"/>
          <w:bCs/>
          <w:sz w:val="24"/>
          <w:lang w:val="en-US" w:eastAsia="zh-CN"/>
        </w:rPr>
        <w:t>无废气产生</w:t>
      </w:r>
      <w:r>
        <w:rPr>
          <w:b w:val="0"/>
          <w:bCs/>
          <w:color w:val="auto"/>
          <w:spacing w:val="-4"/>
          <w:sz w:val="24"/>
          <w:szCs w:val="24"/>
        </w:rPr>
        <w:t>。</w:t>
      </w:r>
    </w:p>
    <w:p>
      <w:pPr>
        <w:adjustRightInd w:val="0"/>
        <w:snapToGrid w:val="0"/>
        <w:spacing w:line="360" w:lineRule="auto"/>
        <w:ind w:firstLine="480" w:firstLineChars="200"/>
        <w:jc w:val="left"/>
        <w:rPr>
          <w:b w:val="0"/>
          <w:bCs/>
          <w:sz w:val="24"/>
        </w:rPr>
      </w:pPr>
      <w:r>
        <w:rPr>
          <w:b w:val="0"/>
          <w:bCs/>
          <w:sz w:val="24"/>
        </w:rPr>
        <w:t>项目采取有效的降噪措施后厂界噪声达标排放，对周围声环境影响较小，区域声环境质量达到《声环境质量标准》（GB3096-2008）中的2类标准。</w:t>
      </w:r>
    </w:p>
    <w:p>
      <w:pPr>
        <w:adjustRightInd w:val="0"/>
        <w:snapToGrid w:val="0"/>
        <w:spacing w:line="360" w:lineRule="auto"/>
        <w:ind w:firstLine="480" w:firstLineChars="200"/>
        <w:jc w:val="left"/>
        <w:rPr>
          <w:b w:val="0"/>
          <w:bCs/>
          <w:sz w:val="24"/>
        </w:rPr>
      </w:pPr>
      <w:r>
        <w:rPr>
          <w:b w:val="0"/>
          <w:bCs/>
          <w:sz w:val="24"/>
          <w:szCs w:val="24"/>
        </w:rPr>
        <w:t>项目冷却水循环使用，不外排；</w:t>
      </w:r>
      <w:r>
        <w:rPr>
          <w:rFonts w:hint="eastAsia"/>
          <w:b w:val="0"/>
          <w:bCs/>
          <w:sz w:val="24"/>
          <w:szCs w:val="24"/>
          <w:lang w:val="en-US" w:eastAsia="zh-CN"/>
        </w:rPr>
        <w:t>生活污水</w:t>
      </w:r>
      <w:r>
        <w:rPr>
          <w:b w:val="0"/>
          <w:bCs/>
          <w:color w:val="auto"/>
          <w:sz w:val="24"/>
          <w:szCs w:val="24"/>
        </w:rPr>
        <w:t>厂区</w:t>
      </w:r>
      <w:r>
        <w:rPr>
          <w:rFonts w:hint="eastAsia"/>
          <w:b w:val="0"/>
          <w:bCs/>
          <w:color w:val="auto"/>
          <w:sz w:val="24"/>
          <w:szCs w:val="24"/>
          <w:lang w:val="en-US" w:eastAsia="zh-CN"/>
        </w:rPr>
        <w:t>用于泼洒抑尘</w:t>
      </w:r>
      <w:r>
        <w:rPr>
          <w:b w:val="0"/>
          <w:bCs/>
          <w:color w:val="auto"/>
          <w:sz w:val="24"/>
          <w:szCs w:val="24"/>
        </w:rPr>
        <w:t>，</w:t>
      </w:r>
      <w:r>
        <w:rPr>
          <w:b w:val="0"/>
          <w:bCs/>
          <w:sz w:val="24"/>
        </w:rPr>
        <w:t>不会对周围水环境造成影响。</w:t>
      </w:r>
    </w:p>
    <w:p>
      <w:pPr>
        <w:adjustRightInd w:val="0"/>
        <w:snapToGrid w:val="0"/>
        <w:spacing w:line="360" w:lineRule="auto"/>
        <w:ind w:firstLine="480" w:firstLineChars="200"/>
        <w:jc w:val="left"/>
        <w:rPr>
          <w:b w:val="0"/>
          <w:bCs/>
          <w:sz w:val="24"/>
          <w:szCs w:val="24"/>
        </w:rPr>
      </w:pPr>
      <w:r>
        <w:rPr>
          <w:b w:val="0"/>
          <w:bCs/>
          <w:sz w:val="24"/>
          <w:szCs w:val="24"/>
        </w:rPr>
        <w:t>项目产生的固体废物得到合理处理处置，不会对周围环境造成影响。</w:t>
      </w:r>
    </w:p>
    <w:p>
      <w:pPr>
        <w:adjustRightInd w:val="0"/>
        <w:snapToGrid w:val="0"/>
        <w:spacing w:line="360" w:lineRule="auto"/>
        <w:ind w:firstLine="480" w:firstLineChars="200"/>
        <w:jc w:val="left"/>
        <w:rPr>
          <w:b w:val="0"/>
          <w:bCs/>
          <w:sz w:val="24"/>
        </w:rPr>
      </w:pPr>
      <w:r>
        <w:rPr>
          <w:b w:val="0"/>
          <w:bCs/>
          <w:sz w:val="24"/>
        </w:rPr>
        <w:t>7、工程可行性结论</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b w:val="0"/>
          <w:bCs/>
          <w:sz w:val="24"/>
          <w:szCs w:val="24"/>
        </w:rPr>
      </w:pPr>
      <w:r>
        <w:rPr>
          <w:b w:val="0"/>
          <w:bCs/>
          <w:sz w:val="24"/>
          <w:szCs w:val="24"/>
        </w:rPr>
        <w:t>综上所述，项目的开发建设符合国家产业政策，符合土地利用规划，符合清洁生产要求。项目落实环评提出的各项环境保护对策和措施，加强环保管理，污染物都能做到达标排放，项目外排污染物对周围环境影响较小，区域环境质量能够维持现状。从环保角度分析，项目建设运营是可行的。</w:t>
      </w:r>
    </w:p>
    <w:p>
      <w:pPr>
        <w:pStyle w:val="7"/>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7"/>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1、认真执行“三同时”制度，确保各项环保措施落到实处。</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2、加强设备管理及日常维护工作，保证环保设施的稳定运行。</w:t>
      </w:r>
    </w:p>
    <w:p>
      <w:pPr>
        <w:pStyle w:val="6"/>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8" w:name="_Toc13890"/>
      <w:bookmarkStart w:id="189" w:name="_Toc3545"/>
      <w:bookmarkStart w:id="190" w:name="_Toc27551"/>
      <w:bookmarkStart w:id="191" w:name="_Toc16482"/>
      <w:r>
        <w:rPr>
          <w:rFonts w:hint="default" w:ascii="Times New Roman" w:hAnsi="Times New Roman" w:eastAsia="宋体" w:cs="Times New Roman"/>
        </w:rPr>
        <w:t>4.2审批部门审批意见</w:t>
      </w:r>
      <w:bookmarkEnd w:id="188"/>
      <w:bookmarkEnd w:id="189"/>
      <w:bookmarkEnd w:id="190"/>
      <w:bookmarkEnd w:id="19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bCs/>
          <w:color w:val="000000" w:themeColor="text1"/>
          <w:sz w:val="24"/>
          <w:lang w:val="en-US" w:eastAsia="zh-CN"/>
          <w14:textFill>
            <w14:solidFill>
              <w14:schemeClr w14:val="tx1"/>
            </w14:solidFill>
          </w14:textFill>
        </w:rPr>
        <w:t>湖北黄环环保科技有限公司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盐山美辰管件制造厂弯头生产项目环境影响报告表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default" w:ascii="Times New Roman" w:hAnsi="Times New Roman" w:eastAsia="宋体" w:cs="Times New Roman"/>
          <w:sz w:val="24"/>
          <w:szCs w:val="24"/>
        </w:rPr>
        <w:t>20</w:t>
      </w:r>
      <w:r>
        <w:rPr>
          <w:rFonts w:hint="eastAsia" w:ascii="Times New Roman" w:hAnsi="Times New Roman" w:eastAsia="宋体" w:cs="Times New Roman"/>
          <w:sz w:val="24"/>
          <w:szCs w:val="24"/>
          <w:lang w:val="en-US" w:eastAsia="zh-CN"/>
        </w:rPr>
        <w:t>1</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沧州市生态环境局盐山县分局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盐山美辰管件制造厂弯头生产项目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z w:val="24"/>
          <w:szCs w:val="24"/>
          <w:lang w:val="en-US" w:eastAsia="zh-CN"/>
        </w:rPr>
        <w:t>盐环表[2019]145号</w:t>
      </w:r>
    </w:p>
    <w:p>
      <w:pPr>
        <w:pStyle w:val="6"/>
        <w:rPr>
          <w:rFonts w:hint="default" w:ascii="Times New Roman" w:hAnsi="Times New Roman" w:eastAsia="宋体" w:cs="Times New Roman"/>
        </w:rPr>
      </w:pPr>
      <w:bookmarkStart w:id="192" w:name="_Toc21874"/>
      <w:bookmarkStart w:id="193" w:name="_Toc17668"/>
      <w:bookmarkStart w:id="194" w:name="_Toc29925"/>
      <w:bookmarkStart w:id="195" w:name="_Toc2514"/>
      <w:r>
        <w:rPr>
          <w:rFonts w:hint="default" w:ascii="Times New Roman" w:hAnsi="Times New Roman" w:eastAsia="宋体" w:cs="Times New Roman"/>
        </w:rPr>
        <w:t>4.3审批意见落实情况</w:t>
      </w:r>
      <w:bookmarkEnd w:id="192"/>
      <w:bookmarkEnd w:id="193"/>
      <w:bookmarkEnd w:id="194"/>
      <w:bookmarkEnd w:id="19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6" w:name="_Toc497001471"/>
      <w:r>
        <w:rPr>
          <w:rFonts w:hint="default" w:ascii="Times New Roman" w:hAnsi="Times New Roman" w:eastAsia="宋体" w:cs="Times New Roman"/>
          <w:sz w:val="24"/>
          <w:szCs w:val="24"/>
        </w:rPr>
        <w:t>审批意见落实情况详见下表4-1。</w:t>
      </w:r>
      <w:bookmarkEnd w:id="196"/>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2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5"/>
              <w:rPr>
                <w:rFonts w:hint="default" w:ascii="Times New Roman" w:hAnsi="Times New Roman" w:eastAsia="宋体" w:cs="Times New Roman"/>
                <w:b/>
                <w:bCs w:val="0"/>
                <w:spacing w:val="-10"/>
                <w:sz w:val="21"/>
                <w:szCs w:val="21"/>
              </w:rPr>
            </w:pPr>
            <w:bookmarkStart w:id="197"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盐山美辰管件制造厂</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eastAsia="zh-CN"/>
              </w:rPr>
              <w:t>建设地点：</w:t>
            </w:r>
            <w:r>
              <w:rPr>
                <w:rFonts w:hint="eastAsia"/>
                <w:color w:val="auto"/>
                <w:sz w:val="21"/>
                <w:szCs w:val="21"/>
                <w:lang w:val="en-US" w:eastAsia="zh-CN"/>
              </w:rPr>
              <w:t>盐山县盐山镇后刘村南</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sz w:val="21"/>
                <w:szCs w:val="21"/>
                <w:lang w:val="en-US" w:eastAsia="zh-CN"/>
              </w:rPr>
              <w:t>155</w:t>
            </w:r>
            <w:r>
              <w:rPr>
                <w:rFonts w:hint="eastAsia" w:ascii="Times New Roman" w:hAnsi="Times New Roman" w:cs="Times New Roman"/>
                <w:sz w:val="21"/>
                <w:szCs w:val="21"/>
                <w:lang w:val="zh-CN" w:eastAsia="zh-CN"/>
              </w:rPr>
              <w:t>万元，其中环保投</w:t>
            </w:r>
            <w:r>
              <w:rPr>
                <w:rFonts w:hint="eastAsia" w:ascii="Times New Roman" w:hAnsi="Times New Roman" w:cs="Times New Roman"/>
                <w:sz w:val="21"/>
                <w:szCs w:val="21"/>
                <w:lang w:val="en-US" w:eastAsia="zh-CN"/>
              </w:rPr>
              <w:t>10</w:t>
            </w:r>
            <w:r>
              <w:rPr>
                <w:rFonts w:hint="eastAsia" w:ascii="Times New Roman" w:hAnsi="Times New Roman" w:cs="Times New Roman"/>
                <w:sz w:val="21"/>
                <w:szCs w:val="21"/>
                <w:lang w:val="zh-CN" w:eastAsia="zh-CN"/>
              </w:rPr>
              <w:t>万元，占地面积</w:t>
            </w:r>
            <w:r>
              <w:rPr>
                <w:rFonts w:hint="eastAsia" w:ascii="Times New Roman" w:hAnsi="Times New Roman" w:cs="Times New Roman"/>
                <w:sz w:val="21"/>
                <w:szCs w:val="21"/>
                <w:lang w:val="en-US" w:eastAsia="zh-CN"/>
              </w:rPr>
              <w:t>800</w:t>
            </w:r>
            <w:r>
              <w:rPr>
                <w:rFonts w:hint="eastAsia" w:ascii="Times New Roman" w:hAnsi="Times New Roman" w:cs="Times New Roman"/>
                <w:sz w:val="21"/>
                <w:szCs w:val="21"/>
                <w:lang w:val="zh-CN" w:eastAsia="zh-CN"/>
              </w:rPr>
              <w:t>平方米</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项目无废气产生。</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color w:val="auto"/>
                <w:sz w:val="21"/>
                <w:szCs w:val="21"/>
                <w:lang w:val="en-US" w:eastAsia="zh-CN"/>
              </w:rPr>
              <w:t>无生产废水、废气产生，生活污水厂区泼洒抑尘，不得外排</w:t>
            </w:r>
            <w:r>
              <w:rPr>
                <w:rFonts w:hint="eastAsia" w:ascii="Times New Roman" w:hAnsi="Times New Roman" w:cs="Times New Roman"/>
                <w:sz w:val="21"/>
                <w:szCs w:val="21"/>
                <w:lang w:val="zh-CN" w:eastAsia="zh-CN"/>
              </w:rPr>
              <w:t>。</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对噪声源采取有效措施，确保噪声达到《工业企业厂界环境噪声排放标准》（GB12348—2008）2 类标准要求。</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2"/>
              <w:ind w:left="0" w:leftChars="0" w:firstLine="0" w:firstLineChars="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固废执行《一般工业固体废物贮存、处置场污染控制标准》（GB18599-2001）及其修改单中的相关规定，固废按照报告表提出的措施全部综合利用或妥善处置。</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8" w:name="_Toc5137"/>
      <w:bookmarkStart w:id="199" w:name="_Toc26718"/>
      <w:bookmarkStart w:id="200" w:name="_Toc21101"/>
      <w:r>
        <w:rPr>
          <w:rFonts w:hint="default" w:ascii="Times New Roman" w:hAnsi="Times New Roman" w:eastAsia="宋体" w:cs="Times New Roman"/>
        </w:rPr>
        <w:br w:type="page"/>
      </w:r>
    </w:p>
    <w:p>
      <w:pPr>
        <w:pStyle w:val="5"/>
        <w:rPr>
          <w:rFonts w:hint="default" w:ascii="Times New Roman" w:hAnsi="Times New Roman" w:eastAsia="宋体" w:cs="Times New Roman"/>
        </w:rPr>
      </w:pPr>
      <w:r>
        <w:rPr>
          <w:rFonts w:hint="default" w:ascii="Times New Roman" w:hAnsi="Times New Roman" w:eastAsia="宋体" w:cs="Times New Roman"/>
        </w:rPr>
        <w:t>5验收评价标准</w:t>
      </w:r>
      <w:bookmarkEnd w:id="197"/>
      <w:bookmarkEnd w:id="198"/>
      <w:bookmarkEnd w:id="199"/>
      <w:bookmarkEnd w:id="200"/>
    </w:p>
    <w:p>
      <w:pPr>
        <w:pStyle w:val="6"/>
        <w:rPr>
          <w:rFonts w:hint="default" w:ascii="Times New Roman" w:hAnsi="Times New Roman" w:eastAsia="宋体" w:cs="Times New Roman"/>
        </w:rPr>
      </w:pPr>
      <w:bookmarkStart w:id="201" w:name="_Toc21113"/>
      <w:bookmarkStart w:id="202" w:name="_Toc14578"/>
      <w:bookmarkStart w:id="203" w:name="_Toc26520"/>
      <w:bookmarkStart w:id="204" w:name="_Toc24574"/>
      <w:r>
        <w:rPr>
          <w:rFonts w:hint="default" w:ascii="Times New Roman" w:hAnsi="Times New Roman" w:eastAsia="宋体" w:cs="Times New Roman"/>
        </w:rPr>
        <w:t>5.1污染物排放标准</w:t>
      </w:r>
      <w:bookmarkEnd w:id="201"/>
      <w:bookmarkEnd w:id="202"/>
      <w:bookmarkEnd w:id="203"/>
      <w:bookmarkEnd w:id="204"/>
    </w:p>
    <w:p>
      <w:pPr>
        <w:pStyle w:val="7"/>
        <w:rPr>
          <w:rFonts w:hint="default" w:ascii="Times New Roman" w:hAnsi="Times New Roman" w:eastAsia="宋体" w:cs="Times New Roman"/>
        </w:rPr>
      </w:pPr>
      <w:bookmarkStart w:id="205" w:name="_Toc496979035"/>
      <w:bookmarkStart w:id="206" w:name="_Toc497001474"/>
      <w:bookmarkStart w:id="207" w:name="_Toc23230"/>
      <w:bookmarkStart w:id="208" w:name="_Toc14938"/>
      <w:bookmarkStart w:id="209" w:name="_Toc8485"/>
      <w:bookmarkStart w:id="210" w:name="_Toc11116"/>
      <w:r>
        <w:rPr>
          <w:rFonts w:hint="default" w:ascii="Times New Roman" w:hAnsi="Times New Roman" w:eastAsia="宋体" w:cs="Times New Roman"/>
        </w:rPr>
        <w:t>5.1.1</w:t>
      </w:r>
      <w:bookmarkEnd w:id="205"/>
      <w:bookmarkEnd w:id="206"/>
      <w:r>
        <w:rPr>
          <w:rFonts w:hint="default" w:ascii="Times New Roman" w:hAnsi="Times New Roman" w:eastAsia="宋体" w:cs="Times New Roman"/>
        </w:rPr>
        <w:t>废气</w:t>
      </w:r>
      <w:bookmarkEnd w:id="207"/>
      <w:bookmarkEnd w:id="208"/>
      <w:bookmarkEnd w:id="209"/>
      <w:bookmarkEnd w:id="210"/>
    </w:p>
    <w:p>
      <w:pPr>
        <w:pStyle w:val="7"/>
        <w:ind w:leftChars="20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项目无废气产生</w:t>
      </w:r>
    </w:p>
    <w:p>
      <w:pPr>
        <w:pStyle w:val="7"/>
        <w:rPr>
          <w:rFonts w:hint="default" w:ascii="Times New Roman" w:hAnsi="Times New Roman" w:eastAsia="宋体" w:cs="Times New Roman"/>
        </w:rPr>
      </w:pPr>
      <w:bookmarkStart w:id="211" w:name="_Toc5747"/>
      <w:bookmarkStart w:id="212" w:name="_Toc496979037"/>
      <w:bookmarkStart w:id="213" w:name="_Toc12396"/>
      <w:bookmarkStart w:id="214" w:name="_Toc497001476"/>
      <w:bookmarkStart w:id="215" w:name="_Toc20210"/>
      <w:bookmarkStart w:id="216" w:name="_Toc27196"/>
      <w:r>
        <w:rPr>
          <w:rFonts w:hint="default" w:ascii="Times New Roman" w:hAnsi="Times New Roman" w:eastAsia="宋体" w:cs="Times New Roman"/>
        </w:rPr>
        <w:t>5.1.2噪声</w:t>
      </w:r>
      <w:bookmarkEnd w:id="211"/>
      <w:bookmarkEnd w:id="212"/>
      <w:bookmarkEnd w:id="213"/>
      <w:bookmarkEnd w:id="214"/>
      <w:bookmarkEnd w:id="215"/>
      <w:bookmarkEnd w:id="216"/>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w:t>
      </w:r>
      <w:r>
        <w:rPr>
          <w:rFonts w:hint="default" w:ascii="Times New Roman" w:hAnsi="Times New Roman" w:eastAsia="宋体" w:cs="Times New Roman"/>
          <w:sz w:val="24"/>
          <w:szCs w:val="24"/>
        </w:rPr>
        <w:t>标准要求。标准值见表5-</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w:t>
      </w:r>
      <w:r>
        <w:rPr>
          <w:rFonts w:hint="eastAsia" w:ascii="Times New Roman" w:hAnsi="Times New Roman" w:cs="Times New Roman"/>
          <w:b/>
          <w:sz w:val="24"/>
          <w:szCs w:val="24"/>
          <w:lang w:val="en-US" w:eastAsia="zh-CN"/>
        </w:rPr>
        <w:t>1</w:t>
      </w:r>
      <w:r>
        <w:rPr>
          <w:rFonts w:hint="default" w:ascii="Times New Roman" w:hAnsi="Times New Roman" w:eastAsia="宋体" w:cs="Times New Roman"/>
          <w:b/>
          <w:sz w:val="24"/>
          <w:szCs w:val="24"/>
        </w:rPr>
        <w:t>厂界噪声排放标准</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5"/>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6"/>
        <w:rPr>
          <w:rFonts w:ascii="Times New Roman" w:hAnsi="Times New Roman" w:eastAsia="宋体"/>
        </w:rPr>
      </w:pPr>
      <w:bookmarkStart w:id="217" w:name="_Toc497001478"/>
      <w:bookmarkStart w:id="218" w:name="_Toc14398"/>
      <w:bookmarkStart w:id="219" w:name="_Toc18932"/>
      <w:bookmarkStart w:id="220" w:name="_Toc16968"/>
      <w:bookmarkStart w:id="221" w:name="_Toc26833"/>
      <w:r>
        <w:rPr>
          <w:rFonts w:hint="default" w:ascii="Times New Roman" w:hAnsi="Times New Roman" w:eastAsia="宋体" w:cs="Times New Roman"/>
        </w:rPr>
        <w:t>5.2</w:t>
      </w:r>
      <w:r>
        <w:rPr>
          <w:rFonts w:hint="eastAsia" w:ascii="Times New Roman" w:hAnsi="Times New Roman" w:eastAsia="宋体"/>
        </w:rPr>
        <w:t>总量控制指标</w:t>
      </w:r>
      <w:bookmarkEnd w:id="217"/>
      <w:bookmarkEnd w:id="218"/>
      <w:bookmarkEnd w:id="219"/>
      <w:bookmarkEnd w:id="220"/>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22" w:name="_Toc23350"/>
      <w:bookmarkStart w:id="223" w:name="_Toc15883"/>
      <w:bookmarkStart w:id="224" w:name="_Toc12999"/>
      <w:r>
        <w:rPr>
          <w:rFonts w:hint="default" w:ascii="Times New Roman" w:hAnsi="Times New Roman" w:eastAsia="宋体" w:cs="Times New Roman"/>
        </w:rPr>
        <w:t>6质量保障措施和检测分析方法</w:t>
      </w:r>
      <w:bookmarkEnd w:id="221"/>
      <w:bookmarkEnd w:id="222"/>
      <w:bookmarkEnd w:id="223"/>
      <w:bookmarkEnd w:id="224"/>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河北德盛检测技术有限公司2020</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5</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8</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5月9日</w:t>
      </w:r>
      <w:r>
        <w:rPr>
          <w:rFonts w:hint="default" w:ascii="Times New Roman" w:hAnsi="Times New Roman" w:eastAsia="宋体" w:cs="Times New Roman"/>
          <w:sz w:val="24"/>
          <w:szCs w:val="24"/>
          <w:highlight w:val="none"/>
        </w:rPr>
        <w:t>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5" w:name="_Toc11783"/>
      <w:bookmarkStart w:id="226" w:name="_Toc18061"/>
      <w:bookmarkStart w:id="227" w:name="_Toc3129"/>
      <w:bookmarkStart w:id="228" w:name="_Toc28206"/>
      <w:r>
        <w:rPr>
          <w:rFonts w:hint="default" w:ascii="Times New Roman" w:hAnsi="Times New Roman" w:eastAsia="宋体" w:cs="Times New Roman"/>
        </w:rPr>
        <w:t>6.1质量保障体系</w:t>
      </w:r>
      <w:bookmarkEnd w:id="225"/>
      <w:bookmarkEnd w:id="226"/>
      <w:bookmarkEnd w:id="227"/>
      <w:bookmarkEnd w:id="228"/>
    </w:p>
    <w:p>
      <w:pPr>
        <w:spacing w:line="440" w:lineRule="atLeast"/>
        <w:ind w:firstLine="480" w:firstLineChars="200"/>
        <w:rPr>
          <w:rFonts w:hint="default" w:ascii="Times New Roman" w:hAnsi="Times New Roman" w:eastAsia="宋体" w:cs="Times New Roman"/>
          <w:sz w:val="24"/>
        </w:rPr>
      </w:pPr>
      <w:bookmarkStart w:id="229"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cs="Times New Roman"/>
          <w:sz w:val="24"/>
          <w:lang w:val="en-US" w:eastAsia="zh-CN"/>
        </w:rPr>
        <w:t>3</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cs="Times New Roman"/>
          <w:sz w:val="24"/>
          <w:lang w:val="en-US" w:eastAsia="zh-CN"/>
        </w:rPr>
        <w:t>4</w:t>
      </w:r>
      <w:r>
        <w:rPr>
          <w:rFonts w:hint="default" w:ascii="Times New Roman" w:hAnsi="Times New Roman" w:eastAsia="宋体" w:cs="Times New Roman"/>
          <w:sz w:val="24"/>
        </w:rPr>
        <w:t>）检测数据严格执行三级审核制度。</w:t>
      </w:r>
      <w:bookmarkEnd w:id="229"/>
    </w:p>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30" w:name="_Toc3676"/>
      <w:bookmarkStart w:id="231" w:name="_Toc32733"/>
      <w:bookmarkStart w:id="232" w:name="_Toc1077"/>
      <w:bookmarkStart w:id="233" w:name="_Toc8128"/>
      <w:r>
        <w:rPr>
          <w:rFonts w:hint="default" w:ascii="Times New Roman" w:hAnsi="Times New Roman" w:eastAsia="宋体" w:cs="Times New Roman"/>
        </w:rPr>
        <w:t>6.2检测分析方法</w:t>
      </w:r>
      <w:bookmarkEnd w:id="230"/>
      <w:bookmarkEnd w:id="231"/>
      <w:bookmarkEnd w:id="232"/>
      <w:bookmarkEnd w:id="233"/>
    </w:p>
    <w:p>
      <w:pPr>
        <w:pStyle w:val="7"/>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4" w:name="_Toc6111"/>
      <w:bookmarkStart w:id="235" w:name="_Toc32561"/>
      <w:bookmarkStart w:id="236" w:name="_Toc4984"/>
      <w:bookmarkStart w:id="237" w:name="_Toc25471"/>
      <w:bookmarkStart w:id="238" w:name="_Toc497001482"/>
      <w:r>
        <w:rPr>
          <w:rFonts w:hint="default" w:ascii="Times New Roman" w:hAnsi="Times New Roman" w:eastAsia="宋体" w:cs="Times New Roman"/>
        </w:rPr>
        <w:t>6.2.1检测点位、项目及频次</w:t>
      </w:r>
      <w:bookmarkEnd w:id="234"/>
      <w:bookmarkEnd w:id="235"/>
      <w:bookmarkEnd w:id="236"/>
      <w:bookmarkEnd w:id="237"/>
      <w:bookmarkEnd w:id="238"/>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①噪声检测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eastAsia="宋体" w:cs="Times New Roman"/>
          <w:b/>
          <w:sz w:val="24"/>
          <w:lang w:val="en-US" w:eastAsia="zh-CN"/>
        </w:rPr>
        <w:t>3</w:t>
      </w:r>
      <w:r>
        <w:rPr>
          <w:rFonts w:hint="default" w:ascii="Times New Roman" w:hAnsi="Times New Roman" w:eastAsia="宋体" w:cs="Times New Roman"/>
          <w:b/>
          <w:sz w:val="24"/>
        </w:rPr>
        <w:t>噪声检测点位、项目及频次</w:t>
      </w:r>
    </w:p>
    <w:tbl>
      <w:tblPr>
        <w:tblStyle w:val="20"/>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厂界四周4个点位</w:t>
            </w:r>
          </w:p>
        </w:tc>
        <w:tc>
          <w:tcPr>
            <w:tcW w:w="2328" w:type="dxa"/>
            <w:vAlign w:val="center"/>
          </w:tcPr>
          <w:p>
            <w:pPr>
              <w:ind w:right="139" w:rightChars="66"/>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厂界噪声</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昼、夜间各监测1次，监测2天</w:t>
            </w:r>
          </w:p>
        </w:tc>
      </w:tr>
    </w:tbl>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default" w:ascii="Times New Roman" w:hAnsi="Times New Roman" w:eastAsia="宋体" w:cs="Times New Roman"/>
          <w:b/>
          <w:sz w:val="24"/>
          <w:lang w:val="en-US" w:eastAsia="zh-CN"/>
        </w:rPr>
        <w:t>5</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default" w:ascii="Times New Roman" w:hAnsi="Times New Roman" w:eastAsia="宋体" w:cs="Times New Roman"/>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default" w:ascii="Times New Roman" w:hAnsi="Times New Roman" w:eastAsia="宋体" w:cs="Times New Roman"/>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lang w:val="en-US" w:eastAsia="zh-CN"/>
              </w:rPr>
            </w:pPr>
            <w:r>
              <w:rPr>
                <w:rFonts w:hint="default"/>
                <w:lang w:val="en-US" w:eastAsia="zh-CN"/>
              </w:rPr>
              <w:t>AWA5688多功能声级计</w:t>
            </w:r>
            <w:r>
              <w:rPr>
                <w:rFonts w:hint="eastAsia"/>
                <w:lang w:val="en-US" w:eastAsia="zh-CN"/>
              </w:rPr>
              <w:t>（YQ060-2）</w:t>
            </w:r>
          </w:p>
          <w:p>
            <w:pPr>
              <w:pStyle w:val="2"/>
              <w:rPr>
                <w:rFonts w:hint="default"/>
                <w:lang w:val="en-US" w:eastAsia="zh-CN"/>
              </w:rPr>
            </w:pPr>
            <w:r>
              <w:rPr>
                <w:rFonts w:hint="eastAsia" w:ascii="Times New Roman" w:hAnsi="Times New Roman" w:cs="Times New Roman"/>
                <w:sz w:val="21"/>
                <w:szCs w:val="21"/>
                <w:lang w:val="en-US" w:eastAsia="zh-CN"/>
              </w:rPr>
              <w:t>AWA6221B声校准器（YQ058-2）</w:t>
            </w:r>
          </w:p>
        </w:tc>
      </w:tr>
    </w:tbl>
    <w:p>
      <w:pPr>
        <w:pStyle w:val="7"/>
        <w:spacing w:beforeLines="50" w:afterLines="50"/>
        <w:rPr>
          <w:rFonts w:hint="default" w:ascii="Times New Roman" w:hAnsi="Times New Roman" w:eastAsia="宋体" w:cs="Times New Roman"/>
        </w:rPr>
      </w:pPr>
      <w:bookmarkStart w:id="239" w:name="_Toc19386"/>
      <w:bookmarkStart w:id="240" w:name="_Toc12330"/>
      <w:bookmarkStart w:id="241" w:name="_Toc28512"/>
      <w:bookmarkStart w:id="242" w:name="_Toc29080"/>
    </w:p>
    <w:p>
      <w:pPr>
        <w:pStyle w:val="7"/>
        <w:spacing w:beforeLines="50" w:afterLines="50"/>
        <w:rPr>
          <w:rFonts w:hint="default" w:ascii="Times New Roman" w:hAnsi="Times New Roman" w:eastAsia="宋体" w:cs="Times New Roman"/>
        </w:rPr>
      </w:pPr>
    </w:p>
    <w:p>
      <w:pPr>
        <w:pStyle w:val="7"/>
        <w:spacing w:beforeLines="50" w:afterLines="50"/>
        <w:rPr>
          <w:rFonts w:hint="default" w:ascii="Times New Roman" w:hAnsi="Times New Roman" w:eastAsia="宋体" w:cs="Times New Roman"/>
        </w:rPr>
      </w:pPr>
      <w:r>
        <w:rPr>
          <w:rFonts w:hint="default" w:ascii="Times New Roman" w:hAnsi="Times New Roman" w:eastAsia="宋体" w:cs="Times New Roman"/>
        </w:rPr>
        <w:t>6.2.</w:t>
      </w:r>
      <w:r>
        <w:rPr>
          <w:rFonts w:hint="eastAsia" w:ascii="Times New Roman" w:hAnsi="Times New Roman" w:cs="Times New Roman"/>
          <w:lang w:val="en-US" w:eastAsia="zh-CN"/>
        </w:rPr>
        <w:t>2</w:t>
      </w:r>
      <w:r>
        <w:rPr>
          <w:rFonts w:hint="default" w:ascii="Times New Roman" w:hAnsi="Times New Roman" w:eastAsia="宋体" w:cs="Times New Roman"/>
        </w:rPr>
        <w:t>检测点位示意图</w:t>
      </w:r>
      <w:bookmarkEnd w:id="239"/>
      <w:bookmarkEnd w:id="240"/>
      <w:bookmarkEnd w:id="241"/>
      <w:bookmarkEnd w:id="242"/>
    </w:p>
    <w:p>
      <w:pPr>
        <w:pStyle w:val="5"/>
        <w:spacing w:line="440" w:lineRule="atLeast"/>
        <w:rPr>
          <w:rFonts w:hint="default" w:ascii="Times New Roman" w:hAnsi="Times New Roman" w:eastAsia="宋体" w:cs="Times New Roman"/>
        </w:rPr>
      </w:pPr>
      <w:bookmarkStart w:id="243" w:name="_Toc4189"/>
      <w:r>
        <w:drawing>
          <wp:inline distT="0" distB="0" distL="114300" distR="114300">
            <wp:extent cx="5273040" cy="4628515"/>
            <wp:effectExtent l="0" t="0" r="3810" b="63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3"/>
                    <a:stretch>
                      <a:fillRect/>
                    </a:stretch>
                  </pic:blipFill>
                  <pic:spPr>
                    <a:xfrm>
                      <a:off x="0" y="0"/>
                      <a:ext cx="5273040" cy="4628515"/>
                    </a:xfrm>
                    <a:prstGeom prst="rect">
                      <a:avLst/>
                    </a:prstGeom>
                    <a:noFill/>
                    <a:ln>
                      <a:noFill/>
                    </a:ln>
                  </pic:spPr>
                </pic:pic>
              </a:graphicData>
            </a:graphic>
          </wp:inline>
        </w:drawing>
      </w:r>
      <w:r>
        <w:rPr>
          <w:rFonts w:hint="default" w:ascii="Times New Roman" w:hAnsi="Times New Roman" w:eastAsia="宋体" w:cs="Times New Roman"/>
        </w:rPr>
        <w:br w:type="page"/>
      </w:r>
    </w:p>
    <w:p>
      <w:pPr>
        <w:pStyle w:val="5"/>
        <w:spacing w:line="440" w:lineRule="atLeast"/>
        <w:rPr>
          <w:rFonts w:hint="default" w:ascii="Times New Roman" w:hAnsi="Times New Roman" w:eastAsia="宋体" w:cs="Times New Roman"/>
        </w:rPr>
      </w:pPr>
      <w:bookmarkStart w:id="244" w:name="_Toc2862"/>
      <w:bookmarkStart w:id="245" w:name="_Toc22345"/>
      <w:bookmarkStart w:id="246" w:name="_Toc19136"/>
      <w:r>
        <w:rPr>
          <w:rFonts w:hint="default" w:ascii="Times New Roman" w:hAnsi="Times New Roman" w:eastAsia="宋体" w:cs="Times New Roman"/>
        </w:rPr>
        <w:t>7验收检测结果及分析</w:t>
      </w:r>
      <w:bookmarkEnd w:id="243"/>
      <w:bookmarkEnd w:id="244"/>
      <w:bookmarkEnd w:id="245"/>
      <w:bookmarkEnd w:id="246"/>
    </w:p>
    <w:p>
      <w:pPr>
        <w:pStyle w:val="6"/>
        <w:spacing w:line="440" w:lineRule="atLeast"/>
        <w:rPr>
          <w:rFonts w:hint="default" w:ascii="Times New Roman" w:hAnsi="Times New Roman" w:eastAsia="宋体" w:cs="Times New Roman"/>
        </w:rPr>
      </w:pPr>
      <w:bookmarkStart w:id="247" w:name="_Toc32720"/>
      <w:bookmarkStart w:id="248" w:name="_Toc11364"/>
      <w:bookmarkStart w:id="249" w:name="_Toc10665"/>
      <w:bookmarkStart w:id="250" w:name="_Toc20500"/>
      <w:r>
        <w:rPr>
          <w:rFonts w:hint="default" w:ascii="Times New Roman" w:hAnsi="Times New Roman" w:eastAsia="宋体" w:cs="Times New Roman"/>
        </w:rPr>
        <w:t>7.1检测结果</w:t>
      </w:r>
      <w:bookmarkEnd w:id="247"/>
      <w:bookmarkEnd w:id="248"/>
      <w:bookmarkEnd w:id="249"/>
      <w:bookmarkEnd w:id="250"/>
    </w:p>
    <w:p>
      <w:pPr>
        <w:pStyle w:val="7"/>
        <w:rPr>
          <w:rFonts w:hint="default" w:ascii="Times New Roman" w:hAnsi="Times New Roman" w:eastAsia="宋体" w:cs="Times New Roman"/>
          <w:b/>
          <w:bCs/>
        </w:rPr>
      </w:pPr>
      <w:bookmarkStart w:id="251" w:name="_Toc7541"/>
      <w:bookmarkStart w:id="252" w:name="_Toc8796"/>
      <w:bookmarkStart w:id="253" w:name="_Toc497001489"/>
      <w:bookmarkStart w:id="254" w:name="_Toc3240"/>
      <w:bookmarkStart w:id="255" w:name="_Toc6567"/>
      <w:r>
        <w:rPr>
          <w:rFonts w:hint="default" w:ascii="Times New Roman" w:hAnsi="Times New Roman" w:eastAsia="宋体" w:cs="Times New Roman"/>
          <w:b/>
          <w:bCs/>
        </w:rPr>
        <w:t>7.1.</w:t>
      </w:r>
      <w:r>
        <w:rPr>
          <w:rFonts w:hint="eastAsia" w:ascii="Times New Roman" w:hAnsi="Times New Roman" w:cs="Times New Roman"/>
          <w:b/>
          <w:bCs/>
          <w:lang w:val="en-US" w:eastAsia="zh-CN"/>
        </w:rPr>
        <w:t>1</w:t>
      </w:r>
      <w:r>
        <w:rPr>
          <w:rFonts w:hint="default" w:ascii="Times New Roman" w:hAnsi="Times New Roman" w:eastAsia="宋体" w:cs="Times New Roman"/>
          <w:b/>
          <w:bCs/>
        </w:rPr>
        <w:t>噪声检测结果</w:t>
      </w:r>
      <w:bookmarkEnd w:id="251"/>
      <w:bookmarkEnd w:id="252"/>
      <w:bookmarkEnd w:id="253"/>
      <w:bookmarkEnd w:id="254"/>
      <w:bookmarkEnd w:id="255"/>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3</w:t>
      </w:r>
      <w:r>
        <w:rPr>
          <w:rFonts w:hint="default" w:ascii="Times New Roman" w:hAnsi="Times New Roman" w:eastAsia="宋体" w:cs="Times New Roman"/>
          <w:b/>
          <w:sz w:val="24"/>
          <w:szCs w:val="24"/>
        </w:rPr>
        <w:t>厂界噪声检测结果</w:t>
      </w:r>
      <w:bookmarkStart w:id="256" w:name="_Toc21685"/>
      <w:bookmarkStart w:id="257" w:name="_Toc5375"/>
      <w:bookmarkStart w:id="258" w:name="_Toc5560"/>
      <w:bookmarkStart w:id="259" w:name="_Toc26119"/>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ascii="Times New Roman" w:hAnsi="Times New Roman" w:eastAsia="宋体" w:cs="Times New Roman"/>
          <w:b/>
          <w:sz w:val="24"/>
          <w:szCs w:val="24"/>
        </w:rPr>
      </w:pPr>
      <w:r>
        <w:drawing>
          <wp:inline distT="0" distB="0" distL="114300" distR="114300">
            <wp:extent cx="5268595" cy="2353310"/>
            <wp:effectExtent l="0" t="0" r="8255" b="889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4"/>
                    <a:stretch>
                      <a:fillRect/>
                    </a:stretch>
                  </pic:blipFill>
                  <pic:spPr>
                    <a:xfrm>
                      <a:off x="0" y="0"/>
                      <a:ext cx="5268595" cy="2353310"/>
                    </a:xfrm>
                    <a:prstGeom prst="rect">
                      <a:avLst/>
                    </a:prstGeom>
                    <a:noFill/>
                    <a:ln>
                      <a:noFill/>
                    </a:ln>
                  </pic:spPr>
                </pic:pic>
              </a:graphicData>
            </a:graphic>
          </wp:inline>
        </w:drawing>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3373" w:firstLineChars="1400"/>
        <w:jc w:val="both"/>
        <w:textAlignment w:val="auto"/>
        <w:outlineLvl w:val="1"/>
        <w:rPr>
          <w:rFonts w:hint="default"/>
          <w:lang w:val="en-US" w:eastAsia="zh-CN"/>
        </w:rPr>
      </w:pPr>
      <w:r>
        <w:rPr>
          <w:rFonts w:hint="eastAsia" w:ascii="Times New Roman" w:hAnsi="Times New Roman" w:cs="Times New Roman"/>
          <w:b/>
          <w:sz w:val="24"/>
          <w:szCs w:val="24"/>
          <w:lang w:val="en-US" w:eastAsia="zh-CN"/>
        </w:rPr>
        <w:t>单位：dB（A）</w:t>
      </w:r>
    </w:p>
    <w:p>
      <w:pPr>
        <w:rPr>
          <w:rFonts w:hint="default"/>
        </w:rPr>
      </w:pP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56"/>
      <w:bookmarkEnd w:id="257"/>
      <w:bookmarkEnd w:id="258"/>
      <w:bookmarkEnd w:id="259"/>
    </w:p>
    <w:p>
      <w:pPr>
        <w:pStyle w:val="7"/>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Times New Roman" w:hAnsi="Times New Roman" w:eastAsia="宋体" w:cs="Times New Roman"/>
        </w:rPr>
      </w:pPr>
      <w:bookmarkStart w:id="260" w:name="_Toc31512"/>
      <w:bookmarkStart w:id="261" w:name="_Toc30843"/>
      <w:bookmarkStart w:id="262" w:name="_Toc497001493"/>
      <w:bookmarkStart w:id="263" w:name="_Toc3228"/>
      <w:bookmarkStart w:id="264" w:name="_Toc9795"/>
      <w:r>
        <w:rPr>
          <w:rFonts w:hint="default" w:ascii="Times New Roman" w:hAnsi="Times New Roman" w:eastAsia="宋体" w:cs="Times New Roman"/>
        </w:rPr>
        <w:t>7.2.1废气检测结果</w:t>
      </w:r>
      <w:bookmarkEnd w:id="260"/>
      <w:bookmarkEnd w:id="261"/>
      <w:bookmarkEnd w:id="262"/>
      <w:bookmarkEnd w:id="263"/>
      <w:bookmarkEnd w:id="264"/>
    </w:p>
    <w:p>
      <w:pPr>
        <w:pStyle w:val="7"/>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Times New Roman" w:hAnsi="Times New Roman" w:eastAsia="宋体" w:cs="Times New Roman"/>
        </w:rPr>
      </w:pPr>
      <w:bookmarkStart w:id="265" w:name="_Toc4404"/>
      <w:bookmarkStart w:id="266" w:name="_Toc1065"/>
      <w:bookmarkStart w:id="267" w:name="_Toc497001494"/>
      <w:bookmarkStart w:id="268" w:name="_Toc5876"/>
      <w:bookmarkStart w:id="269" w:name="_Toc23179"/>
      <w:r>
        <w:rPr>
          <w:rFonts w:hint="eastAsia" w:ascii="Times New Roman" w:hAnsi="Times New Roman" w:eastAsia="宋体" w:cs="Times New Roman"/>
          <w:lang w:val="en-US" w:eastAsia="zh-CN"/>
        </w:rPr>
        <w:t>项目无废气产生。</w:t>
      </w:r>
    </w:p>
    <w:p>
      <w:pPr>
        <w:pStyle w:val="7"/>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Times New Roman" w:hAnsi="Times New Roman" w:eastAsia="宋体" w:cs="Times New Roman"/>
        </w:rPr>
      </w:pPr>
      <w:r>
        <w:rPr>
          <w:rFonts w:hint="default" w:ascii="Times New Roman" w:hAnsi="Times New Roman" w:eastAsia="宋体" w:cs="Times New Roman"/>
        </w:rPr>
        <w:t>7.2.2噪声检测结果</w:t>
      </w:r>
      <w:bookmarkEnd w:id="265"/>
      <w:bookmarkEnd w:id="266"/>
      <w:bookmarkEnd w:id="267"/>
      <w:bookmarkEnd w:id="268"/>
      <w:bookmarkEnd w:id="269"/>
    </w:p>
    <w:p>
      <w:pPr>
        <w:pStyle w:val="4"/>
        <w:spacing w:before="2" w:line="360" w:lineRule="auto"/>
        <w:ind w:firstLine="480" w:firstLineChars="200"/>
        <w:rPr>
          <w:rFonts w:hint="default" w:ascii="Times New Roman" w:hAnsi="Times New Roman" w:eastAsia="宋体" w:cs="Times New Roman"/>
          <w:sz w:val="24"/>
          <w:szCs w:val="24"/>
        </w:rPr>
      </w:pPr>
      <w:bookmarkStart w:id="270" w:name="_Toc4679"/>
      <w:bookmarkStart w:id="271" w:name="_Toc503884785"/>
      <w:bookmarkStart w:id="272" w:name="_Toc19340"/>
      <w:bookmarkStart w:id="273" w:name="_Toc3266"/>
      <w:r>
        <w:rPr>
          <w:rFonts w:hint="eastAsia" w:ascii="Times New Roman" w:hAnsi="Times New Roman" w:cs="Times New Roman"/>
          <w:color w:val="auto"/>
          <w:kern w:val="0"/>
          <w:sz w:val="24"/>
          <w:szCs w:val="24"/>
          <w:lang w:val="en-US" w:eastAsia="zh-CN" w:bidi="ar-SA"/>
        </w:rPr>
        <w:t>监测期间，厂界噪声昼间监测范围为（51.4-55.3）dB（A），夜间监测范围为（43.0-45.2）dB（A），监测结果符合《工业企业厂界环境噪声排放标准》（GB12348-2008）表1中2类区标准要求</w:t>
      </w:r>
      <w:r>
        <w:rPr>
          <w:rFonts w:hint="default" w:ascii="Times New Roman" w:hAnsi="Times New Roman" w:eastAsia="宋体" w:cs="Times New Roman"/>
          <w:sz w:val="24"/>
          <w:szCs w:val="24"/>
        </w:rPr>
        <w:t>。</w:t>
      </w:r>
    </w:p>
    <w:p>
      <w:pPr>
        <w:pStyle w:val="6"/>
        <w:rPr>
          <w:rFonts w:hint="default" w:ascii="Times New Roman" w:hAnsi="Times New Roman" w:eastAsia="宋体" w:cs="Times New Roman"/>
        </w:rPr>
      </w:pPr>
      <w:bookmarkStart w:id="274" w:name="_Toc2782"/>
      <w:r>
        <w:rPr>
          <w:rFonts w:hint="default" w:ascii="Times New Roman" w:hAnsi="Times New Roman" w:eastAsia="宋体" w:cs="Times New Roman"/>
        </w:rPr>
        <w:t>7.3总量控制要求</w:t>
      </w:r>
      <w:bookmarkEnd w:id="270"/>
      <w:bookmarkEnd w:id="271"/>
      <w:bookmarkEnd w:id="272"/>
      <w:bookmarkEnd w:id="27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依据企业提供的资料和证明，年工作300天，每天工作8小时，采用1班制。年运行时间2400h，该企业污染物排放量为：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项目无SO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和NO</w:t>
      </w:r>
      <w:r>
        <w:rPr>
          <w:rFonts w:hint="eastAsia" w:ascii="Times New Roman" w:hAnsi="Times New Roman"/>
          <w:color w:val="auto"/>
          <w:kern w:val="0"/>
          <w:sz w:val="24"/>
          <w:szCs w:val="21"/>
          <w:vertAlign w:val="baseline"/>
          <w:lang w:val="en-US" w:eastAsia="zh-CN"/>
        </w:rPr>
        <w:t>x</w:t>
      </w:r>
      <w:r>
        <w:rPr>
          <w:rFonts w:hint="eastAsia" w:ascii="Times New Roman" w:hAnsi="Times New Roman" w:eastAsia="宋体"/>
          <w:color w:val="auto"/>
          <w:kern w:val="0"/>
          <w:sz w:val="24"/>
          <w:szCs w:val="21"/>
          <w:lang w:eastAsia="zh-CN"/>
        </w:rPr>
        <w:t>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本项目无生产废水外排。满足环评中给出的总量控制指标，COD：0t/a；氨氮：0t/a；SO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：0t/a；NOx：0t/a。</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75" w:name="_Toc3191"/>
      <w:bookmarkStart w:id="276" w:name="_Toc5202"/>
      <w:bookmarkStart w:id="277" w:name="_Toc20214"/>
      <w:r>
        <w:rPr>
          <w:rFonts w:hint="default" w:ascii="Times New Roman" w:hAnsi="Times New Roman" w:eastAsia="宋体" w:cs="Times New Roman"/>
        </w:rPr>
        <w:t>8环境管理检查</w:t>
      </w:r>
      <w:bookmarkEnd w:id="273"/>
      <w:bookmarkEnd w:id="275"/>
      <w:bookmarkEnd w:id="276"/>
      <w:bookmarkEnd w:id="277"/>
    </w:p>
    <w:p>
      <w:pPr>
        <w:pStyle w:val="6"/>
        <w:rPr>
          <w:rFonts w:hint="default" w:ascii="Times New Roman" w:hAnsi="Times New Roman" w:eastAsia="宋体" w:cs="Times New Roman"/>
        </w:rPr>
      </w:pPr>
      <w:bookmarkStart w:id="278" w:name="_Toc23769"/>
      <w:bookmarkStart w:id="279" w:name="_Toc5972"/>
      <w:bookmarkStart w:id="280" w:name="_Toc17414"/>
      <w:bookmarkStart w:id="281" w:name="_Toc32093"/>
      <w:r>
        <w:rPr>
          <w:rFonts w:hint="default" w:ascii="Times New Roman" w:hAnsi="Times New Roman" w:eastAsia="宋体" w:cs="Times New Roman"/>
        </w:rPr>
        <w:t>8.1环保管理机构</w:t>
      </w:r>
      <w:bookmarkEnd w:id="278"/>
      <w:bookmarkEnd w:id="279"/>
      <w:bookmarkEnd w:id="280"/>
      <w:bookmarkEnd w:id="281"/>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盐山美辰管件制造厂</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6"/>
        <w:rPr>
          <w:rFonts w:hint="default" w:ascii="Times New Roman" w:hAnsi="Times New Roman" w:eastAsia="宋体" w:cs="Times New Roman"/>
          <w:szCs w:val="22"/>
        </w:rPr>
      </w:pPr>
      <w:bookmarkStart w:id="282" w:name="_Toc18585"/>
      <w:bookmarkStart w:id="283" w:name="_Toc14656"/>
      <w:bookmarkStart w:id="284" w:name="_Toc25742"/>
      <w:bookmarkStart w:id="285" w:name="_Toc412705194"/>
      <w:bookmarkStart w:id="286" w:name="_Toc294178076"/>
      <w:bookmarkStart w:id="287" w:name="_Toc29686"/>
      <w:r>
        <w:rPr>
          <w:rFonts w:hint="default" w:ascii="Times New Roman" w:hAnsi="Times New Roman" w:eastAsia="宋体" w:cs="Times New Roman"/>
          <w:szCs w:val="22"/>
        </w:rPr>
        <w:t>8.2施工期环境管理</w:t>
      </w:r>
      <w:bookmarkEnd w:id="282"/>
      <w:bookmarkEnd w:id="283"/>
      <w:bookmarkEnd w:id="284"/>
      <w:bookmarkEnd w:id="285"/>
      <w:bookmarkEnd w:id="286"/>
      <w:bookmarkEnd w:id="287"/>
    </w:p>
    <w:p>
      <w:pPr>
        <w:spacing w:line="480" w:lineRule="atLeast"/>
        <w:ind w:firstLine="480" w:firstLineChars="200"/>
        <w:rPr>
          <w:rFonts w:hint="default" w:ascii="Times New Roman" w:hAnsi="Times New Roman" w:eastAsia="宋体" w:cs="Times New Roman"/>
          <w:sz w:val="24"/>
          <w:szCs w:val="24"/>
        </w:rPr>
      </w:pPr>
      <w:bookmarkStart w:id="288" w:name="_Toc412705195"/>
      <w:bookmarkStart w:id="289" w:name="_Toc294178077"/>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6"/>
        <w:rPr>
          <w:rFonts w:hint="default" w:ascii="Times New Roman" w:hAnsi="Times New Roman" w:eastAsia="宋体" w:cs="Times New Roman"/>
        </w:rPr>
      </w:pPr>
      <w:bookmarkStart w:id="290" w:name="_Toc20253"/>
      <w:bookmarkStart w:id="291" w:name="_Toc30001"/>
      <w:bookmarkStart w:id="292" w:name="_Toc463"/>
      <w:bookmarkStart w:id="293" w:name="_Toc7664"/>
      <w:r>
        <w:rPr>
          <w:rFonts w:hint="default" w:ascii="Times New Roman" w:hAnsi="Times New Roman" w:eastAsia="宋体" w:cs="Times New Roman"/>
        </w:rPr>
        <w:t>8.3运行期环境管理</w:t>
      </w:r>
      <w:bookmarkEnd w:id="288"/>
      <w:bookmarkEnd w:id="289"/>
      <w:bookmarkEnd w:id="290"/>
      <w:bookmarkEnd w:id="291"/>
      <w:bookmarkEnd w:id="292"/>
      <w:bookmarkEnd w:id="293"/>
    </w:p>
    <w:p>
      <w:pPr>
        <w:spacing w:line="480" w:lineRule="atLeast"/>
        <w:ind w:firstLine="480" w:firstLineChars="200"/>
        <w:rPr>
          <w:rFonts w:hint="default" w:ascii="Times New Roman" w:hAnsi="Times New Roman" w:eastAsia="宋体" w:cs="Times New Roman"/>
          <w:sz w:val="24"/>
          <w:szCs w:val="24"/>
        </w:rPr>
      </w:pPr>
      <w:bookmarkStart w:id="294" w:name="_Toc294178078"/>
      <w:r>
        <w:rPr>
          <w:rFonts w:hint="eastAsia" w:ascii="Times New Roman" w:hAnsi="Times New Roman" w:cs="Times New Roman"/>
          <w:sz w:val="24"/>
          <w:szCs w:val="24"/>
          <w:lang w:val="en-US" w:eastAsia="zh-CN"/>
        </w:rPr>
        <w:t>盐山美辰管件制造厂</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294"/>
      <w:bookmarkStart w:id="295" w:name="_Toc414220604"/>
      <w:bookmarkStart w:id="296" w:name="_Toc412705199"/>
    </w:p>
    <w:p>
      <w:pPr>
        <w:pStyle w:val="6"/>
        <w:spacing w:line="440" w:lineRule="atLeast"/>
        <w:rPr>
          <w:rFonts w:hint="default" w:ascii="Times New Roman" w:hAnsi="Times New Roman" w:eastAsia="宋体" w:cs="Times New Roman"/>
        </w:rPr>
      </w:pPr>
      <w:bookmarkStart w:id="297" w:name="_Toc76"/>
      <w:bookmarkStart w:id="298" w:name="_Toc414220602"/>
      <w:bookmarkStart w:id="299" w:name="_Toc8826"/>
      <w:bookmarkStart w:id="300" w:name="_Toc28702"/>
      <w:bookmarkStart w:id="301" w:name="_Toc5087"/>
      <w:bookmarkStart w:id="302" w:name="_Toc412705196"/>
      <w:r>
        <w:rPr>
          <w:rFonts w:hint="default" w:ascii="Times New Roman" w:hAnsi="Times New Roman" w:eastAsia="宋体" w:cs="Times New Roman"/>
        </w:rPr>
        <w:t>8.4社会环境影响情况调查</w:t>
      </w:r>
      <w:bookmarkEnd w:id="297"/>
      <w:bookmarkEnd w:id="298"/>
      <w:bookmarkEnd w:id="299"/>
      <w:bookmarkEnd w:id="300"/>
      <w:bookmarkEnd w:id="301"/>
      <w:bookmarkEnd w:id="302"/>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6"/>
        <w:rPr>
          <w:rFonts w:hint="default" w:ascii="Times New Roman" w:hAnsi="Times New Roman" w:eastAsia="宋体" w:cs="Times New Roman"/>
        </w:rPr>
      </w:pPr>
      <w:bookmarkStart w:id="303" w:name="_Toc7270"/>
      <w:bookmarkStart w:id="304" w:name="_Toc15866"/>
      <w:bookmarkStart w:id="305" w:name="_Toc26985"/>
      <w:bookmarkStart w:id="306" w:name="_Toc9083"/>
      <w:r>
        <w:rPr>
          <w:rFonts w:hint="default" w:ascii="Times New Roman" w:hAnsi="Times New Roman" w:eastAsia="宋体" w:cs="Times New Roman"/>
        </w:rPr>
        <w:t>8.5环境管理情况分析</w:t>
      </w:r>
      <w:bookmarkEnd w:id="295"/>
      <w:bookmarkEnd w:id="296"/>
      <w:bookmarkEnd w:id="303"/>
      <w:bookmarkEnd w:id="304"/>
      <w:bookmarkEnd w:id="305"/>
      <w:bookmarkEnd w:id="306"/>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5"/>
        <w:rPr>
          <w:rFonts w:hint="default" w:ascii="Times New Roman" w:hAnsi="Times New Roman" w:eastAsia="宋体" w:cs="Times New Roman"/>
        </w:rPr>
      </w:pPr>
      <w:bookmarkStart w:id="307" w:name="_Toc27984"/>
      <w:r>
        <w:rPr>
          <w:rFonts w:hint="default" w:ascii="Times New Roman" w:hAnsi="Times New Roman" w:eastAsia="宋体" w:cs="Times New Roman"/>
        </w:rPr>
        <w:br w:type="page"/>
      </w:r>
    </w:p>
    <w:p>
      <w:pPr>
        <w:pStyle w:val="5"/>
        <w:rPr>
          <w:rFonts w:hint="default" w:ascii="Times New Roman" w:hAnsi="Times New Roman" w:eastAsia="宋体" w:cs="Times New Roman"/>
        </w:rPr>
      </w:pPr>
      <w:bookmarkStart w:id="308" w:name="_Toc18158"/>
      <w:bookmarkStart w:id="309" w:name="_Toc11667"/>
      <w:bookmarkStart w:id="310" w:name="_Toc12811"/>
      <w:r>
        <w:rPr>
          <w:rFonts w:hint="default" w:ascii="Times New Roman" w:hAnsi="Times New Roman" w:eastAsia="宋体" w:cs="Times New Roman"/>
        </w:rPr>
        <w:t>9结论和建议</w:t>
      </w:r>
      <w:bookmarkEnd w:id="307"/>
      <w:bookmarkEnd w:id="308"/>
      <w:bookmarkEnd w:id="309"/>
      <w:bookmarkEnd w:id="310"/>
    </w:p>
    <w:p>
      <w:pPr>
        <w:pStyle w:val="6"/>
        <w:rPr>
          <w:rFonts w:hint="default" w:ascii="Times New Roman" w:hAnsi="Times New Roman" w:eastAsia="宋体" w:cs="Times New Roman"/>
        </w:rPr>
      </w:pPr>
      <w:bookmarkStart w:id="311" w:name="_Toc8760"/>
      <w:bookmarkStart w:id="312" w:name="_Toc25092"/>
      <w:bookmarkStart w:id="313" w:name="_Toc6888"/>
      <w:bookmarkStart w:id="314" w:name="_Toc3234"/>
      <w:r>
        <w:rPr>
          <w:rFonts w:hint="default" w:ascii="Times New Roman" w:hAnsi="Times New Roman" w:eastAsia="宋体" w:cs="Times New Roman"/>
        </w:rPr>
        <w:t>9.1验收主要结论</w:t>
      </w:r>
      <w:bookmarkEnd w:id="311"/>
      <w:bookmarkEnd w:id="312"/>
      <w:bookmarkEnd w:id="313"/>
      <w:bookmarkEnd w:id="314"/>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w:t>
      </w:r>
      <w:r>
        <w:rPr>
          <w:rFonts w:hint="eastAsia" w:ascii="Times New Roman" w:hAnsi="Times New Roman" w:cs="Times New Roman"/>
          <w:sz w:val="24"/>
          <w:szCs w:val="24"/>
          <w:lang w:val="en-US" w:eastAsia="zh-CN"/>
        </w:rPr>
        <w:t>95</w:t>
      </w:r>
      <w:r>
        <w:rPr>
          <w:rFonts w:hint="default" w:ascii="Times New Roman" w:hAnsi="Times New Roman" w:eastAsia="宋体" w:cs="Times New Roman"/>
          <w:sz w:val="24"/>
          <w:szCs w:val="24"/>
        </w:rPr>
        <w:t>%以上，满足验收检测技术规范要求。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15" w:name="_Hlk496998889"/>
      <w:r>
        <w:rPr>
          <w:rFonts w:hint="default" w:ascii="Times New Roman" w:hAnsi="Times New Roman" w:eastAsia="宋体" w:cs="Times New Roman"/>
          <w:sz w:val="24"/>
          <w:szCs w:val="24"/>
        </w:rPr>
        <w:t>（1）废气</w:t>
      </w:r>
    </w:p>
    <w:bookmarkEnd w:id="315"/>
    <w:p>
      <w:pPr>
        <w:pStyle w:val="27"/>
        <w:widowControl/>
        <w:adjustRightInd w:val="0"/>
        <w:snapToGrid w:val="0"/>
        <w:spacing w:line="460" w:lineRule="exact"/>
        <w:ind w:firstLine="480"/>
        <w:rPr>
          <w:rFonts w:hint="default" w:ascii="Times New Roman" w:hAnsi="Times New Roman" w:eastAsia="宋体" w:cs="Times New Roman"/>
          <w:sz w:val="24"/>
          <w:szCs w:val="24"/>
        </w:rPr>
      </w:pPr>
      <w:r>
        <w:rPr>
          <w:rFonts w:hint="eastAsia" w:cs="Times New Roman"/>
          <w:sz w:val="24"/>
          <w:szCs w:val="24"/>
          <w:lang w:val="en-US" w:eastAsia="zh-CN"/>
        </w:rPr>
        <w:t>项目无废气产生</w:t>
      </w:r>
      <w:r>
        <w:rPr>
          <w:rFonts w:hint="eastAsia" w:ascii="Times New Roman" w:hAnsi="Times New Roman" w:eastAsia="宋体" w:cs="Times New Roman"/>
          <w:sz w:val="24"/>
          <w:szCs w:val="24"/>
          <w:lang w:val="en-US" w:eastAsia="zh-CN"/>
        </w:rPr>
        <w:t>。</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outlineLvl w:val="9"/>
        <w:rPr>
          <w:rFonts w:ascii="Times New Roman" w:hAnsi="Times New Roman" w:eastAsia="宋体"/>
          <w:bCs/>
          <w:sz w:val="24"/>
        </w:rPr>
      </w:pPr>
      <w:bookmarkStart w:id="316" w:name="_Hlk496998963"/>
      <w:r>
        <w:rPr>
          <w:rFonts w:hint="eastAsia" w:ascii="Times New Roman" w:hAnsi="Times New Roman" w:cs="Times New Roman"/>
          <w:color w:val="auto"/>
          <w:kern w:val="0"/>
          <w:sz w:val="24"/>
          <w:szCs w:val="24"/>
          <w:lang w:val="en-US" w:eastAsia="zh-CN" w:bidi="ar-SA"/>
        </w:rPr>
        <w:t>监测期间，厂界噪声昼间监测范围为（51.4-55.3）dB（A），夜间监测范围为（43.0-45.2）dB（A），监测结果符合《工业企业厂界环境噪声排放标准》（GB12348-2008）表1中2类区标准要求</w:t>
      </w:r>
      <w:r>
        <w:rPr>
          <w:rFonts w:hint="default" w:ascii="Times New Roman" w:hAnsi="Times New Roman" w:eastAsia="宋体" w:cs="Times New Roman"/>
          <w:color w:val="auto"/>
          <w:kern w:val="0"/>
          <w:sz w:val="24"/>
          <w:szCs w:val="24"/>
          <w:lang w:val="en-US" w:eastAsia="zh-CN" w:bidi="ar-SA"/>
        </w:rPr>
        <w:t>。</w:t>
      </w:r>
    </w:p>
    <w:p>
      <w:pPr>
        <w:numPr>
          <w:ilvl w:val="0"/>
          <w:numId w:val="2"/>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16"/>
    <w:p>
      <w:pPr>
        <w:pStyle w:val="7"/>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auto"/>
          <w:sz w:val="24"/>
          <w:szCs w:val="24"/>
          <w:lang w:eastAsia="zh-CN"/>
        </w:rPr>
      </w:pPr>
      <w:bookmarkStart w:id="317" w:name="_Toc6926"/>
      <w:bookmarkStart w:id="318" w:name="_Toc4537"/>
      <w:r>
        <w:rPr>
          <w:rFonts w:hint="eastAsia"/>
          <w:szCs w:val="21"/>
          <w:lang w:val="en-US" w:eastAsia="zh-CN"/>
        </w:rPr>
        <w:t>本项目无生产废水产生，废水主要为职工生活污水，全部用于厂区泼洒抑尘</w:t>
      </w:r>
      <w:r>
        <w:rPr>
          <w:rFonts w:hint="eastAsia" w:ascii="Times New Roman" w:hAnsi="Times New Roman" w:eastAsia="宋体" w:cs="Times New Roman"/>
          <w:color w:val="auto"/>
          <w:sz w:val="24"/>
          <w:szCs w:val="24"/>
          <w:lang w:val="en-US" w:eastAsia="zh-CN"/>
        </w:rPr>
        <w:t>。</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17"/>
      <w:bookmarkEnd w:id="318"/>
    </w:p>
    <w:p>
      <w:pPr>
        <w:pStyle w:val="7"/>
        <w:ind w:firstLine="480" w:firstLineChars="200"/>
        <w:rPr>
          <w:rFonts w:hint="eastAsia" w:ascii="Times New Roman" w:hAnsi="Times New Roman" w:eastAsia="宋体"/>
          <w:sz w:val="24"/>
          <w:szCs w:val="24"/>
          <w:lang w:val="en-US" w:eastAsia="zh-CN"/>
        </w:rPr>
      </w:pPr>
      <w:bookmarkStart w:id="319" w:name="_Toc24650"/>
      <w:bookmarkStart w:id="320" w:name="_Toc6395"/>
      <w:bookmarkStart w:id="321" w:name="_Hlk496999304"/>
      <w:r>
        <w:rPr>
          <w:rFonts w:hint="eastAsia" w:ascii="Times New Roman" w:hAnsi="Times New Roman"/>
          <w:sz w:val="24"/>
          <w:szCs w:val="24"/>
          <w:lang w:val="en-US" w:eastAsia="zh-CN"/>
        </w:rPr>
        <w:t>本项目主要为生产过程中产生的下脚料、含油抹布以及生活垃圾。下脚料收集后外售综合利用；含油抹布混入生活垃圾经收集后由环卫部门统一处理</w:t>
      </w:r>
      <w:r>
        <w:rPr>
          <w:rFonts w:hint="eastAsia" w:ascii="Times New Roman" w:hAnsi="Times New Roman" w:eastAsia="宋体"/>
          <w:sz w:val="24"/>
          <w:szCs w:val="24"/>
          <w:lang w:val="en-US" w:eastAsia="zh-CN"/>
        </w:rPr>
        <w:t>。</w:t>
      </w:r>
    </w:p>
    <w:p>
      <w:pPr>
        <w:pStyle w:val="7"/>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19"/>
      <w:bookmarkEnd w:id="320"/>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21"/>
    <w:p>
      <w:pPr>
        <w:pStyle w:val="6"/>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22" w:name="_Toc21981"/>
      <w:bookmarkStart w:id="323" w:name="_Toc30691"/>
      <w:bookmarkStart w:id="324" w:name="_Toc18401"/>
      <w:bookmarkStart w:id="325" w:name="_Toc10340"/>
      <w:r>
        <w:rPr>
          <w:rFonts w:hint="default" w:ascii="Times New Roman" w:hAnsi="Times New Roman" w:eastAsia="宋体" w:cs="Times New Roman"/>
        </w:rPr>
        <w:t>9.2建议</w:t>
      </w:r>
      <w:bookmarkEnd w:id="322"/>
      <w:bookmarkEnd w:id="323"/>
      <w:bookmarkEnd w:id="324"/>
      <w:bookmarkEnd w:id="325"/>
    </w:p>
    <w:p>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val="en-US" w:eastAsia="zh-CN"/>
        </w:rPr>
        <w:t>盐山美辰管件制造厂</w:t>
      </w:r>
      <w:bookmarkStart w:id="326" w:name="_GoBack"/>
      <w:bookmarkEnd w:id="326"/>
      <w:r>
        <w:rPr>
          <w:rFonts w:hint="default" w:ascii="Times New Roman" w:hAnsi="Times New Roman" w:eastAsia="宋体" w:cs="Times New Roman"/>
        </w:rPr>
        <w:t>填表人（签字）：项目经办人（签字）：</w:t>
      </w:r>
    </w:p>
    <w:tbl>
      <w:tblPr>
        <w:tblStyle w:val="20"/>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36"/>
        <w:gridCol w:w="1620"/>
        <w:gridCol w:w="1137"/>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cs="Times New Roman"/>
                <w:b w:val="0"/>
                <w:bCs/>
                <w:sz w:val="15"/>
                <w:szCs w:val="15"/>
                <w:lang w:val="en-US" w:eastAsia="zh-CN"/>
              </w:rPr>
              <w:t>盐山美辰管件制造厂弯头生产项目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黑体"/>
                <w:b w:val="0"/>
                <w:bCs/>
                <w:sz w:val="15"/>
                <w:szCs w:val="15"/>
                <w:lang w:val="en-US" w:eastAsia="zh-CN"/>
              </w:rPr>
              <w:t>沧州市盐山县盐山镇后刘村南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default"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C3311 金属结构制造</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3979572224"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31539507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3uITvNUAAAAFAQAA&#10;DwAAAAAAAAABACAAAAAiAAAAZHJzL2Rvd25yZXYueG1sUEsBAhQAFAAAAAgAh07iQOut8FLjAQAA&#10;3AMAAA4AAAAAAAAAAQAgAAAAJAEAAGRycy9lMm9Eb2MueG1sUEsFBgAAAAAGAAYAWQEAAHkFAAAA&#10;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123341824"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2123341824;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GD0sS&#10;1QAAAAcBAAAPAAAAAAAAAAEAIAAAACIAAABkcnMvZG93bnJldi54bWxQSwECFAAUAAAACACHTuJA&#10;bEXFXesBAADcAwAADgAAAAAAAAABACAAAAAkAQAAZHJzL2Uyb0RvYy54bWxQSwUGAAAAAAYABgBZ&#10;AQAAgQ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810442752"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810442752;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D/x63U&#10;AAAACAEAAA8AAAAAAAAAAQAgAAAAIgAAAGRycy9kb3ducmV2LnhtbFBLAQIUABQAAAAIAIdO4kDs&#10;uath6wEAANwDAAAOAAAAAAAAAAEAIAAAACMBAABkcnMvZTJvRG9jLnhtbFBLBQYAAAAABgAGAFkB&#10;AACABQ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新建改扩建技术改造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default"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年产弯头400吨</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556" w:type="dxa"/>
            <w:gridSpan w:val="2"/>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cs="黑体"/>
                <w:b w:val="0"/>
                <w:bCs/>
                <w:sz w:val="15"/>
                <w:szCs w:val="15"/>
                <w:lang w:val="en-US" w:eastAsia="zh-CN"/>
              </w:rPr>
              <w:t>年产弯头400吨</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cs="Times New Roman"/>
                <w:b w:val="0"/>
                <w:bCs/>
                <w:sz w:val="15"/>
                <w:szCs w:val="15"/>
                <w:lang w:val="en-US" w:eastAsia="zh-CN"/>
              </w:rPr>
              <w:t>湖北黄环环保科技有限公司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lang w:val="en-US"/>
              </w:rPr>
            </w:pPr>
            <w:r>
              <w:rPr>
                <w:rFonts w:hint="eastAsia" w:ascii="Times New Roman" w:hAnsi="Times New Roman" w:cs="Times New Roman"/>
                <w:b w:val="0"/>
                <w:bCs/>
                <w:sz w:val="15"/>
                <w:szCs w:val="15"/>
                <w:lang w:val="en-US" w:eastAsia="zh-CN"/>
              </w:rPr>
              <w:t>沧州市生态环境局盐山县分局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556"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cs="Times New Roman"/>
                <w:b w:val="0"/>
                <w:bCs/>
                <w:color w:val="auto"/>
                <w:sz w:val="15"/>
                <w:szCs w:val="15"/>
                <w:lang w:val="en-US" w:eastAsia="zh-CN"/>
              </w:rPr>
              <w:t>盐环表</w:t>
            </w:r>
            <w:r>
              <w:rPr>
                <w:rFonts w:hint="eastAsia" w:ascii="Times New Roman" w:hAnsi="Times New Roman" w:cs="Times New Roman"/>
                <w:b w:val="0"/>
                <w:bCs/>
                <w:color w:val="auto"/>
                <w:sz w:val="15"/>
                <w:szCs w:val="15"/>
                <w:lang w:eastAsia="zh-CN"/>
              </w:rPr>
              <w:t>[2019]</w:t>
            </w:r>
            <w:r>
              <w:rPr>
                <w:rFonts w:hint="eastAsia" w:ascii="Times New Roman" w:hAnsi="Times New Roman" w:cs="Times New Roman"/>
                <w:b w:val="0"/>
                <w:bCs/>
                <w:color w:val="auto"/>
                <w:sz w:val="15"/>
                <w:szCs w:val="15"/>
                <w:lang w:val="en-US" w:eastAsia="zh-CN"/>
              </w:rPr>
              <w:t>145</w:t>
            </w:r>
            <w:r>
              <w:rPr>
                <w:rFonts w:hint="eastAsia" w:ascii="Times New Roman" w:hAnsi="Times New Roman" w:cs="Times New Roman"/>
                <w:b w:val="0"/>
                <w:bCs/>
                <w:color w:val="auto"/>
                <w:sz w:val="15"/>
                <w:szCs w:val="15"/>
                <w:lang w:eastAsia="zh-CN"/>
              </w:rPr>
              <w:t>号</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155</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10</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155</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10</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556"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b w:val="0"/>
                <w:bCs/>
                <w:sz w:val="15"/>
                <w:szCs w:val="15"/>
                <w:lang w:val="en-US" w:eastAsia="zh-CN"/>
              </w:rPr>
              <w:t>盐山美辰管件制造厂</w:t>
            </w:r>
          </w:p>
        </w:tc>
        <w:tc>
          <w:tcPr>
            <w:tcW w:w="329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620"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default" w:ascii="Times New Roman" w:hAnsi="Times New Roman" w:eastAsia="微软雅黑" w:cs="Times New Roman"/>
                <w:i w:val="0"/>
                <w:caps w:val="0"/>
                <w:color w:val="333333"/>
                <w:spacing w:val="0"/>
                <w:sz w:val="15"/>
                <w:szCs w:val="15"/>
                <w:shd w:val="clear" w:fill="FFFFFF"/>
              </w:rPr>
              <w:t>92130925MA0DL1006J</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废水</w:t>
            </w:r>
          </w:p>
        </w:tc>
        <w:tc>
          <w:tcPr>
            <w:tcW w:w="923"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cs="Times New Roman"/>
                <w:b w:val="0"/>
                <w:bCs/>
                <w:sz w:val="15"/>
                <w:szCs w:val="15"/>
              </w:rPr>
              <w:t>化学需氧量</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cs="Times New Roman"/>
                <w:b w:val="0"/>
                <w:bCs/>
                <w:sz w:val="15"/>
                <w:szCs w:val="15"/>
              </w:rPr>
              <w:t>氨氮</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cs="Times New Roman"/>
                <w:b w:val="0"/>
                <w:bCs/>
                <w:sz w:val="15"/>
                <w:szCs w:val="15"/>
              </w:rPr>
              <w:t>废气</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widowControl w:val="0"/>
              <w:spacing w:line="240" w:lineRule="exact"/>
              <w:ind w:left="-107" w:leftChars="-51" w:right="-67" w:rightChars="-32" w:firstLine="0" w:firstLineChars="0"/>
              <w:jc w:val="center"/>
              <w:rPr>
                <w:rFonts w:hint="eastAsia" w:ascii="Times New Roman" w:hAnsi="Times New Roman" w:eastAsia="宋体" w:cs="Times New Roman"/>
                <w:color w:val="auto"/>
                <w:kern w:val="2"/>
                <w:sz w:val="15"/>
                <w:szCs w:val="15"/>
                <w:lang w:val="en-US" w:eastAsia="zh-CN" w:bidi="ar-SA"/>
              </w:rPr>
            </w:pPr>
          </w:p>
        </w:tc>
        <w:tc>
          <w:tcPr>
            <w:tcW w:w="992"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cs="Times New Roman"/>
                <w:b w:val="0"/>
                <w:bCs/>
                <w:sz w:val="15"/>
                <w:szCs w:val="15"/>
              </w:rPr>
              <w:t>二氧化硫</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widowControl w:val="0"/>
              <w:spacing w:line="240" w:lineRule="exact"/>
              <w:ind w:left="-107" w:leftChars="-51" w:right="-67" w:rightChars="-32" w:firstLine="0" w:firstLineChars="0"/>
              <w:jc w:val="center"/>
              <w:rPr>
                <w:rFonts w:hint="eastAsia" w:ascii="Times New Roman" w:hAnsi="Times New Roman" w:eastAsia="宋体" w:cs="Times New Roman"/>
                <w:color w:val="auto"/>
                <w:kern w:val="2"/>
                <w:sz w:val="15"/>
                <w:szCs w:val="15"/>
                <w:lang w:val="en-US" w:eastAsia="zh-CN" w:bidi="ar-SA"/>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烟尘</w:t>
            </w:r>
          </w:p>
        </w:tc>
        <w:tc>
          <w:tcPr>
            <w:tcW w:w="923"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工业粉尘</w:t>
            </w:r>
          </w:p>
        </w:tc>
        <w:tc>
          <w:tcPr>
            <w:tcW w:w="923" w:type="dxa"/>
            <w:gridSpan w:val="2"/>
            <w:tcMar>
              <w:left w:w="6" w:type="dxa"/>
              <w:right w:w="6" w:type="dxa"/>
            </w:tcMar>
            <w:vAlign w:val="center"/>
          </w:tcPr>
          <w:p>
            <w:pPr>
              <w:widowControl w:val="0"/>
              <w:spacing w:line="240" w:lineRule="exact"/>
              <w:ind w:left="-107" w:leftChars="-51" w:right="-101" w:rightChars="-48" w:firstLine="0" w:firstLineChars="0"/>
              <w:jc w:val="center"/>
              <w:rPr>
                <w:rFonts w:hint="default" w:ascii="Times New Roman" w:hAnsi="Times New Roman" w:eastAsia="宋体" w:cs="Times New Roman"/>
                <w:kern w:val="2"/>
                <w:sz w:val="15"/>
                <w:szCs w:val="15"/>
                <w:lang w:val="en-US" w:eastAsia="zh-CN" w:bidi="ar-SA"/>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氮氧化物</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8"/>
                <w:szCs w:val="18"/>
                <w:lang w:val="en-US" w:eastAsia="zh-CN" w:bidi="ar-SA"/>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cs="Times New Roman"/>
                <w:b w:val="0"/>
                <w:bCs/>
                <w:sz w:val="15"/>
                <w:szCs w:val="15"/>
              </w:rPr>
              <w:t>工业固体废物</w:t>
            </w:r>
          </w:p>
        </w:tc>
        <w:tc>
          <w:tcPr>
            <w:tcW w:w="923" w:type="dxa"/>
            <w:gridSpan w:val="2"/>
            <w:tcMar>
              <w:left w:w="6" w:type="dxa"/>
              <w:right w:w="6" w:type="dxa"/>
            </w:tcMar>
            <w:vAlign w:val="center"/>
          </w:tcPr>
          <w:p>
            <w:pPr>
              <w:widowControl w:val="0"/>
              <w:spacing w:line="240" w:lineRule="exact"/>
              <w:ind w:left="-107" w:leftChars="-51" w:right="-67" w:rightChars="-32" w:firstLine="0" w:firstLineChars="0"/>
              <w:jc w:val="center"/>
              <w:rPr>
                <w:rFonts w:hint="default" w:ascii="Times New Roman" w:hAnsi="Times New Roman" w:eastAsia="宋体" w:cs="Times New Roman"/>
                <w:kern w:val="2"/>
                <w:sz w:val="18"/>
                <w:szCs w:val="18"/>
                <w:lang w:val="en-US" w:eastAsia="zh-CN" w:bidi="ar-SA"/>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cs="Times New Roman"/>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lang w:val="en-US"/>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cs="Times New Roman"/>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cs="Times New Roman"/>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p>
      <w:pPr>
        <w:autoSpaceDE w:val="0"/>
        <w:autoSpaceDN w:val="0"/>
        <w:spacing w:before="0" w:after="0" w:line="240" w:lineRule="auto"/>
        <w:ind w:right="0"/>
      </w:pP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AIAUJG+ËÎÌå">
    <w:altName w:val="Verdana"/>
    <w:panose1 w:val="02010600030101010101"/>
    <w:charset w:val="01"/>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val="en-US" w:eastAsia="zh-CN"/>
      </w:rPr>
      <w:t>盐山美辰管件制造厂弯头生产</w:t>
    </w:r>
    <w:r>
      <w:rPr>
        <w:rFonts w:hint="eastAsia" w:asciiTheme="minorEastAsia" w:hAnsiTheme="minorEastAsia" w:eastAsiaTheme="minorEastAsia" w:cstheme="minorEastAsia"/>
        <w:b w:val="0"/>
        <w:bCs w:val="0"/>
        <w:sz w:val="18"/>
        <w:szCs w:val="18"/>
        <w:lang w:eastAsia="zh-CN"/>
      </w:rPr>
      <w:t>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F945"/>
    <w:multiLevelType w:val="singleLevel"/>
    <w:tmpl w:val="0212F945"/>
    <w:lvl w:ilvl="0" w:tentative="0">
      <w:start w:val="2"/>
      <w:numFmt w:val="decimal"/>
      <w:suff w:val="nothing"/>
      <w:lvlText w:val="%1、"/>
      <w:lvlJc w:val="left"/>
    </w:lvl>
  </w:abstractNum>
  <w:abstractNum w:abstractNumId="1">
    <w:nsid w:val="5A5B08E9"/>
    <w:multiLevelType w:val="singleLevel"/>
    <w:tmpl w:val="5A5B08E9"/>
    <w:lvl w:ilvl="0" w:tentative="0">
      <w:start w:val="3"/>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5F81FBB"/>
    <w:rsid w:val="07A36D9B"/>
    <w:rsid w:val="07C1255B"/>
    <w:rsid w:val="09F03240"/>
    <w:rsid w:val="0ABA0647"/>
    <w:rsid w:val="0AE0375C"/>
    <w:rsid w:val="0B6363A9"/>
    <w:rsid w:val="0BAC6F41"/>
    <w:rsid w:val="0BF64888"/>
    <w:rsid w:val="0E0E70D5"/>
    <w:rsid w:val="0ECF421D"/>
    <w:rsid w:val="0F053649"/>
    <w:rsid w:val="0F143ECE"/>
    <w:rsid w:val="0F7E3710"/>
    <w:rsid w:val="0F996560"/>
    <w:rsid w:val="10440ACB"/>
    <w:rsid w:val="104D5118"/>
    <w:rsid w:val="11506FB2"/>
    <w:rsid w:val="12630E7F"/>
    <w:rsid w:val="1342171C"/>
    <w:rsid w:val="139C4038"/>
    <w:rsid w:val="13E52F94"/>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593FED"/>
    <w:rsid w:val="1A7E60A3"/>
    <w:rsid w:val="1BB914C5"/>
    <w:rsid w:val="1C6B70E4"/>
    <w:rsid w:val="1CFD4F4A"/>
    <w:rsid w:val="1D146AB0"/>
    <w:rsid w:val="1DC34DFA"/>
    <w:rsid w:val="1DE97DB3"/>
    <w:rsid w:val="1EFE2753"/>
    <w:rsid w:val="21895209"/>
    <w:rsid w:val="22E826B5"/>
    <w:rsid w:val="23605E8E"/>
    <w:rsid w:val="24123644"/>
    <w:rsid w:val="24461371"/>
    <w:rsid w:val="247F103C"/>
    <w:rsid w:val="24B0718C"/>
    <w:rsid w:val="2542404B"/>
    <w:rsid w:val="2781114D"/>
    <w:rsid w:val="286D3F7B"/>
    <w:rsid w:val="28A66621"/>
    <w:rsid w:val="28BC7A5B"/>
    <w:rsid w:val="29EF18AB"/>
    <w:rsid w:val="2A7F01EB"/>
    <w:rsid w:val="2B9A5A21"/>
    <w:rsid w:val="2BA70AAF"/>
    <w:rsid w:val="2BFD0EEC"/>
    <w:rsid w:val="2C914E3F"/>
    <w:rsid w:val="2CA22636"/>
    <w:rsid w:val="2CE73E1C"/>
    <w:rsid w:val="2DD11D76"/>
    <w:rsid w:val="2DEB55D6"/>
    <w:rsid w:val="2E082A95"/>
    <w:rsid w:val="2EF23990"/>
    <w:rsid w:val="2F2473F1"/>
    <w:rsid w:val="2F3A716E"/>
    <w:rsid w:val="2FD14B32"/>
    <w:rsid w:val="30895A8A"/>
    <w:rsid w:val="30AB7CA3"/>
    <w:rsid w:val="31210606"/>
    <w:rsid w:val="3225051F"/>
    <w:rsid w:val="322B6C9D"/>
    <w:rsid w:val="32793228"/>
    <w:rsid w:val="33032D3C"/>
    <w:rsid w:val="333831BB"/>
    <w:rsid w:val="33642F1E"/>
    <w:rsid w:val="33A46444"/>
    <w:rsid w:val="344F2D38"/>
    <w:rsid w:val="35923813"/>
    <w:rsid w:val="35A534DF"/>
    <w:rsid w:val="35BC1C41"/>
    <w:rsid w:val="35D71A7C"/>
    <w:rsid w:val="36F135D0"/>
    <w:rsid w:val="37954092"/>
    <w:rsid w:val="37A44B25"/>
    <w:rsid w:val="387859EC"/>
    <w:rsid w:val="3884358F"/>
    <w:rsid w:val="38BF20A9"/>
    <w:rsid w:val="39F138C5"/>
    <w:rsid w:val="3A063711"/>
    <w:rsid w:val="3B3A2C6C"/>
    <w:rsid w:val="3B8A1DF8"/>
    <w:rsid w:val="3BB31EF2"/>
    <w:rsid w:val="3BD02128"/>
    <w:rsid w:val="3C7E652C"/>
    <w:rsid w:val="3C8E4E00"/>
    <w:rsid w:val="3DC85DFF"/>
    <w:rsid w:val="3DDB20E2"/>
    <w:rsid w:val="3E0B53AA"/>
    <w:rsid w:val="3E0D7FF2"/>
    <w:rsid w:val="3E827254"/>
    <w:rsid w:val="4111649F"/>
    <w:rsid w:val="415544D3"/>
    <w:rsid w:val="421B5153"/>
    <w:rsid w:val="421E388B"/>
    <w:rsid w:val="422C5F7B"/>
    <w:rsid w:val="4347397F"/>
    <w:rsid w:val="445F75CD"/>
    <w:rsid w:val="447A310C"/>
    <w:rsid w:val="458A0BC7"/>
    <w:rsid w:val="45D31AC8"/>
    <w:rsid w:val="45EE63E9"/>
    <w:rsid w:val="485A65CB"/>
    <w:rsid w:val="4A283569"/>
    <w:rsid w:val="4A585CB9"/>
    <w:rsid w:val="4A8D49E3"/>
    <w:rsid w:val="4AAA6ED1"/>
    <w:rsid w:val="4AAB7C45"/>
    <w:rsid w:val="4B0D2D46"/>
    <w:rsid w:val="4C1E03F9"/>
    <w:rsid w:val="4C72320F"/>
    <w:rsid w:val="4C902FFF"/>
    <w:rsid w:val="4DC537AE"/>
    <w:rsid w:val="4EAC0405"/>
    <w:rsid w:val="4F1713C5"/>
    <w:rsid w:val="4F3C6A41"/>
    <w:rsid w:val="4FE6264D"/>
    <w:rsid w:val="512E7FBA"/>
    <w:rsid w:val="517F54EC"/>
    <w:rsid w:val="51806F8B"/>
    <w:rsid w:val="53365CEE"/>
    <w:rsid w:val="54482B82"/>
    <w:rsid w:val="54511922"/>
    <w:rsid w:val="54626FB4"/>
    <w:rsid w:val="54713309"/>
    <w:rsid w:val="557A527E"/>
    <w:rsid w:val="5702376B"/>
    <w:rsid w:val="57723443"/>
    <w:rsid w:val="59EB0033"/>
    <w:rsid w:val="5B916452"/>
    <w:rsid w:val="5B982079"/>
    <w:rsid w:val="5BA01B74"/>
    <w:rsid w:val="5BA85FF5"/>
    <w:rsid w:val="5DF16C64"/>
    <w:rsid w:val="5DFF2C8C"/>
    <w:rsid w:val="5EFA4D6F"/>
    <w:rsid w:val="5F0C1043"/>
    <w:rsid w:val="5FC943AC"/>
    <w:rsid w:val="60524FFB"/>
    <w:rsid w:val="60D513C5"/>
    <w:rsid w:val="61903CAC"/>
    <w:rsid w:val="619F3903"/>
    <w:rsid w:val="624A05B8"/>
    <w:rsid w:val="62574003"/>
    <w:rsid w:val="648E3223"/>
    <w:rsid w:val="6495713E"/>
    <w:rsid w:val="66144CBE"/>
    <w:rsid w:val="669E4292"/>
    <w:rsid w:val="67BB4024"/>
    <w:rsid w:val="682C719B"/>
    <w:rsid w:val="68A70E51"/>
    <w:rsid w:val="68C314A8"/>
    <w:rsid w:val="68D42B85"/>
    <w:rsid w:val="69030DD9"/>
    <w:rsid w:val="6957122A"/>
    <w:rsid w:val="69FC3B4D"/>
    <w:rsid w:val="6A0B0A00"/>
    <w:rsid w:val="6AF23142"/>
    <w:rsid w:val="6B184FC4"/>
    <w:rsid w:val="6B1B3C01"/>
    <w:rsid w:val="6CE06728"/>
    <w:rsid w:val="6D27087A"/>
    <w:rsid w:val="6DC30E5B"/>
    <w:rsid w:val="6F4B669E"/>
    <w:rsid w:val="6F6C06CA"/>
    <w:rsid w:val="702B2008"/>
    <w:rsid w:val="70FC22C7"/>
    <w:rsid w:val="71C6608B"/>
    <w:rsid w:val="72D179BF"/>
    <w:rsid w:val="73894780"/>
    <w:rsid w:val="74231176"/>
    <w:rsid w:val="75421315"/>
    <w:rsid w:val="756B2CFD"/>
    <w:rsid w:val="75874E09"/>
    <w:rsid w:val="75EB4796"/>
    <w:rsid w:val="76257FFE"/>
    <w:rsid w:val="78610688"/>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5">
    <w:name w:val="heading 1"/>
    <w:basedOn w:val="1"/>
    <w:next w:val="1"/>
    <w:qFormat/>
    <w:uiPriority w:val="0"/>
    <w:pPr>
      <w:spacing w:line="480" w:lineRule="atLeast"/>
      <w:outlineLvl w:val="0"/>
    </w:pPr>
    <w:rPr>
      <w:rFonts w:ascii="宋体" w:hAnsi="宋体"/>
      <w:b/>
      <w:sz w:val="30"/>
      <w:szCs w:val="30"/>
    </w:rPr>
  </w:style>
  <w:style w:type="paragraph" w:styleId="6">
    <w:name w:val="heading 2"/>
    <w:basedOn w:val="5"/>
    <w:next w:val="1"/>
    <w:semiHidden/>
    <w:unhideWhenUsed/>
    <w:qFormat/>
    <w:uiPriority w:val="0"/>
    <w:pPr>
      <w:outlineLvl w:val="1"/>
    </w:pPr>
    <w:rPr>
      <w:sz w:val="28"/>
    </w:rPr>
  </w:style>
  <w:style w:type="paragraph" w:styleId="7">
    <w:name w:val="heading 3"/>
    <w:basedOn w:val="1"/>
    <w:next w:val="1"/>
    <w:unhideWhenUsed/>
    <w:qFormat/>
    <w:uiPriority w:val="0"/>
    <w:pPr>
      <w:spacing w:line="480" w:lineRule="atLeast"/>
      <w:outlineLvl w:val="2"/>
    </w:pPr>
    <w:rPr>
      <w:rFonts w:ascii="宋体" w:hAnsi="宋体"/>
      <w:sz w:val="24"/>
      <w:szCs w:val="24"/>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customStyle="1" w:styleId="3">
    <w:name w:val="样式 正文文本 + 首行缩进:  2 字符"/>
    <w:basedOn w:val="4"/>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styleId="4">
    <w:name w:val="Body Text"/>
    <w:basedOn w:val="1"/>
    <w:qFormat/>
    <w:uiPriority w:val="0"/>
    <w:pPr>
      <w:spacing w:after="120"/>
    </w:pPr>
  </w:style>
  <w:style w:type="paragraph" w:styleId="8">
    <w:name w:val="annotation text"/>
    <w:basedOn w:val="1"/>
    <w:qFormat/>
    <w:uiPriority w:val="0"/>
    <w:pPr>
      <w:jc w:val="left"/>
    </w:pPr>
  </w:style>
  <w:style w:type="paragraph" w:styleId="9">
    <w:name w:val="Body Text Indent"/>
    <w:basedOn w:val="1"/>
    <w:qFormat/>
    <w:uiPriority w:val="0"/>
    <w:pPr>
      <w:spacing w:after="120" w:afterLines="0" w:afterAutospacing="0"/>
      <w:ind w:left="420" w:leftChars="200"/>
    </w:pPr>
  </w:style>
  <w:style w:type="paragraph" w:styleId="10">
    <w:name w:val="toc 3"/>
    <w:basedOn w:val="1"/>
    <w:next w:val="1"/>
    <w:qFormat/>
    <w:uiPriority w:val="0"/>
    <w:pPr>
      <w:widowControl/>
      <w:spacing w:after="100" w:line="259" w:lineRule="auto"/>
      <w:ind w:left="440"/>
      <w:jc w:val="left"/>
    </w:pPr>
    <w:rPr>
      <w:kern w:val="0"/>
      <w:sz w:val="22"/>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5">
    <w:name w:val="List"/>
    <w:basedOn w:val="1"/>
    <w:qFormat/>
    <w:uiPriority w:val="0"/>
    <w:pPr>
      <w:spacing w:line="360" w:lineRule="exact"/>
      <w:ind w:firstLine="38" w:firstLineChars="18"/>
      <w:jc w:val="left"/>
    </w:pPr>
    <w:rPr>
      <w:rFonts w:ascii="宋体" w:hAnsi="Times New Roman"/>
      <w:szCs w:val="21"/>
    </w:rPr>
  </w:style>
  <w:style w:type="paragraph" w:styleId="16">
    <w:name w:val="toc 2"/>
    <w:basedOn w:val="1"/>
    <w:next w:val="1"/>
    <w:qFormat/>
    <w:uiPriority w:val="0"/>
    <w:pPr>
      <w:ind w:left="420" w:leftChars="200"/>
    </w:pPr>
  </w:style>
  <w:style w:type="paragraph" w:styleId="17">
    <w:name w:val="Normal (Web)"/>
    <w:basedOn w:val="1"/>
    <w:qFormat/>
    <w:uiPriority w:val="0"/>
    <w:rPr>
      <w:sz w:val="24"/>
    </w:rPr>
  </w:style>
  <w:style w:type="paragraph" w:styleId="18">
    <w:name w:val="Body Text First Indent"/>
    <w:basedOn w:val="4"/>
    <w:qFormat/>
    <w:uiPriority w:val="0"/>
    <w:pPr>
      <w:ind w:firstLine="420" w:firstLineChars="100"/>
    </w:pPr>
    <w:rPr>
      <w:szCs w:val="24"/>
    </w:rPr>
  </w:style>
  <w:style w:type="paragraph" w:styleId="19">
    <w:name w:val="Body Text First Indent 2"/>
    <w:basedOn w:val="9"/>
    <w:next w:val="1"/>
    <w:qFormat/>
    <w:uiPriority w:val="0"/>
    <w:pPr>
      <w:ind w:firstLine="420" w:firstLineChars="200"/>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
    <w:name w:val="样式 样式 样式 四号 左侧:  1.53 厘米 + 首行缩进:  2 字符 + 居中 左侧:  2 字符 首行缩进:  2..."/>
    <w:basedOn w:val="24"/>
    <w:qFormat/>
    <w:uiPriority w:val="0"/>
    <w:pPr>
      <w:ind w:firstLine="0" w:firstLineChars="0"/>
      <w:jc w:val="center"/>
    </w:pPr>
  </w:style>
  <w:style w:type="paragraph" w:customStyle="1" w:styleId="24">
    <w:name w:val="样式 样式 四号 左侧:  1.53 厘米 + 首行缩进:  2 字符"/>
    <w:basedOn w:val="25"/>
    <w:qFormat/>
    <w:uiPriority w:val="0"/>
    <w:pPr>
      <w:ind w:left="200" w:leftChars="200"/>
    </w:pPr>
    <w:rPr>
      <w:szCs w:val="20"/>
    </w:rPr>
  </w:style>
  <w:style w:type="paragraph" w:customStyle="1" w:styleId="25">
    <w:name w:val="样式 四号 左侧:  1.53 厘米"/>
    <w:basedOn w:val="1"/>
    <w:qFormat/>
    <w:uiPriority w:val="0"/>
    <w:pPr>
      <w:adjustRightInd w:val="0"/>
    </w:pPr>
    <w:rPr>
      <w:w w:val="90"/>
      <w:sz w:val="28"/>
      <w:szCs w:val="28"/>
    </w:rPr>
  </w:style>
  <w:style w:type="paragraph" w:customStyle="1" w:styleId="26">
    <w:name w:val="TOC Heading1"/>
    <w:basedOn w:val="5"/>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7">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8">
    <w:name w:val="列出段落1"/>
    <w:basedOn w:val="1"/>
    <w:qFormat/>
    <w:uiPriority w:val="99"/>
    <w:pPr>
      <w:ind w:firstLine="420" w:firstLineChars="200"/>
    </w:pPr>
  </w:style>
  <w:style w:type="table" w:customStyle="1" w:styleId="29">
    <w:name w:val="TableGrid"/>
    <w:qFormat/>
    <w:uiPriority w:val="0"/>
    <w:tblPr>
      <w:tblCellMar>
        <w:top w:w="0" w:type="dxa"/>
        <w:left w:w="0" w:type="dxa"/>
        <w:bottom w:w="0" w:type="dxa"/>
        <w:right w:w="0" w:type="dxa"/>
      </w:tblCellMar>
    </w:tblPr>
  </w:style>
  <w:style w:type="paragraph" w:customStyle="1" w:styleId="30">
    <w:name w:val="(1)"/>
    <w:basedOn w:val="1"/>
    <w:qFormat/>
    <w:uiPriority w:val="0"/>
    <w:rPr>
      <w:sz w:val="24"/>
    </w:rPr>
  </w:style>
  <w:style w:type="paragraph" w:customStyle="1" w:styleId="31">
    <w:name w:val="1"/>
    <w:basedOn w:val="1"/>
    <w:next w:val="11"/>
    <w:qFormat/>
    <w:uiPriority w:val="0"/>
    <w:rPr>
      <w:rFonts w:ascii="宋体" w:hAnsi="Courier New"/>
      <w:color w:val="000000"/>
      <w:kern w:val="44"/>
      <w:sz w:val="24"/>
      <w:szCs w:val="20"/>
    </w:rPr>
  </w:style>
  <w:style w:type="paragraph" w:customStyle="1" w:styleId="32">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3">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4">
    <w:name w:val="A-表格文字"/>
    <w:basedOn w:val="1"/>
    <w:next w:val="1"/>
    <w:qFormat/>
    <w:uiPriority w:val="0"/>
    <w:pPr>
      <w:autoSpaceDE w:val="0"/>
      <w:autoSpaceDN w:val="0"/>
      <w:adjustRightInd w:val="0"/>
      <w:jc w:val="center"/>
      <w:textAlignment w:val="center"/>
    </w:pPr>
    <w:rPr>
      <w:szCs w:val="21"/>
    </w:rPr>
  </w:style>
  <w:style w:type="paragraph" w:customStyle="1" w:styleId="35">
    <w:name w:val="正文内容"/>
    <w:basedOn w:val="1"/>
    <w:qFormat/>
    <w:uiPriority w:val="0"/>
    <w:pPr>
      <w:widowControl w:val="0"/>
      <w:spacing w:line="360" w:lineRule="auto"/>
      <w:ind w:firstLine="200" w:firstLineChars="200"/>
      <w:textAlignment w:val="auto"/>
    </w:pPr>
    <w:rPr>
      <w:color w:val="auto"/>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Administrator</cp:lastModifiedBy>
  <cp:lastPrinted>2019-07-16T07:21:00Z</cp:lastPrinted>
  <dcterms:modified xsi:type="dcterms:W3CDTF">2020-06-18T00:09:05Z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