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ascii="Times New Roman" w:hAnsi="Times New Roman"/>
        </w:rPr>
      </w:pPr>
    </w:p>
    <w:p>
      <w:pPr>
        <w:jc w:val="center"/>
        <w:rPr>
          <w:rFonts w:ascii="Times New Roman" w:hAnsi="Times New Roman"/>
          <w:sz w:val="36"/>
          <w:szCs w:val="36"/>
        </w:rPr>
      </w:pPr>
      <w:bookmarkStart w:id="0" w:name="_Hlk496949272"/>
      <w:bookmarkEnd w:id="0"/>
    </w:p>
    <w:p>
      <w:pPr>
        <w:jc w:val="center"/>
        <w:rPr>
          <w:rFonts w:ascii="Times New Roman" w:hAnsi="Times New Roman"/>
          <w:sz w:val="36"/>
          <w:szCs w:val="36"/>
        </w:rPr>
      </w:pPr>
    </w:p>
    <w:p>
      <w:pPr>
        <w:jc w:val="center"/>
        <w:rPr>
          <w:rFonts w:hint="eastAsia" w:ascii="Times New Roman" w:hAnsi="Times New Roman" w:eastAsia="宋体"/>
          <w:sz w:val="36"/>
          <w:szCs w:val="36"/>
          <w:lang w:eastAsia="zh-CN"/>
        </w:rPr>
      </w:pPr>
      <w:bookmarkStart w:id="1" w:name="_Hlk496950128"/>
      <w:r>
        <w:rPr>
          <w:rFonts w:hint="eastAsia" w:ascii="Times New Roman" w:hAnsi="Times New Roman"/>
          <w:sz w:val="36"/>
          <w:szCs w:val="36"/>
          <w:lang w:eastAsia="zh-CN"/>
        </w:rPr>
        <w:t>盐山县贵新管件厂三通生产项目</w:t>
      </w:r>
    </w:p>
    <w:p>
      <w:pPr>
        <w:jc w:val="center"/>
        <w:rPr>
          <w:rFonts w:ascii="Times New Roman" w:hAnsi="Times New Roman"/>
          <w:sz w:val="36"/>
          <w:szCs w:val="36"/>
        </w:rPr>
      </w:pPr>
      <w:r>
        <w:rPr>
          <w:rFonts w:ascii="Times New Roman" w:hAnsi="Times New Roman"/>
          <w:sz w:val="36"/>
          <w:szCs w:val="36"/>
        </w:rPr>
        <w:t>竣工环境保护验收报告</w:t>
      </w:r>
      <w:bookmarkEnd w:id="1"/>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6"/>
          <w:szCs w:val="36"/>
        </w:rPr>
      </w:pPr>
    </w:p>
    <w:p>
      <w:pPr>
        <w:jc w:val="center"/>
        <w:rPr>
          <w:rFonts w:hint="eastAsia" w:ascii="Times New Roman" w:hAnsi="Times New Roman" w:eastAsia="宋体"/>
          <w:sz w:val="32"/>
          <w:szCs w:val="32"/>
          <w:lang w:eastAsia="zh-CN"/>
        </w:rPr>
      </w:pPr>
      <w:r>
        <w:rPr>
          <w:rFonts w:ascii="Times New Roman" w:hAnsi="Times New Roman"/>
          <w:sz w:val="32"/>
          <w:szCs w:val="32"/>
        </w:rPr>
        <w:t>建设单位：</w:t>
      </w:r>
      <w:r>
        <w:rPr>
          <w:rFonts w:hint="eastAsia" w:ascii="Times New Roman" w:hAnsi="Times New Roman"/>
          <w:sz w:val="32"/>
          <w:szCs w:val="32"/>
          <w:lang w:eastAsia="zh-CN"/>
        </w:rPr>
        <w:t>盐山县贵新管件厂</w:t>
      </w:r>
    </w:p>
    <w:p>
      <w:pPr>
        <w:jc w:val="center"/>
        <w:rPr>
          <w:rFonts w:hint="eastAsia" w:ascii="Times New Roman" w:hAnsi="Times New Roman" w:eastAsia="宋体"/>
          <w:sz w:val="32"/>
          <w:szCs w:val="32"/>
          <w:lang w:eastAsia="zh-CN"/>
        </w:rPr>
      </w:pPr>
      <w:r>
        <w:rPr>
          <w:rFonts w:ascii="Times New Roman" w:hAnsi="Times New Roman"/>
          <w:sz w:val="32"/>
          <w:szCs w:val="32"/>
        </w:rPr>
        <w:t>编制单位：</w:t>
      </w:r>
      <w:r>
        <w:rPr>
          <w:rFonts w:hint="eastAsia" w:ascii="Times New Roman" w:hAnsi="Times New Roman"/>
          <w:sz w:val="32"/>
          <w:szCs w:val="32"/>
          <w:lang w:eastAsia="zh-CN"/>
        </w:rPr>
        <w:t>盐山县贵新管件厂</w:t>
      </w:r>
    </w:p>
    <w:p>
      <w:pPr>
        <w:jc w:val="center"/>
        <w:rPr>
          <w:rFonts w:ascii="Times New Roman" w:hAnsi="Times New Roman"/>
          <w:sz w:val="36"/>
          <w:szCs w:val="36"/>
        </w:rPr>
      </w:pPr>
    </w:p>
    <w:p>
      <w:pPr>
        <w:jc w:val="center"/>
        <w:rPr>
          <w:rFonts w:ascii="Times New Roman" w:hAnsi="Times New Roman"/>
          <w:sz w:val="36"/>
          <w:szCs w:val="36"/>
        </w:rPr>
      </w:pPr>
    </w:p>
    <w:p>
      <w:pPr>
        <w:jc w:val="center"/>
        <w:rPr>
          <w:rFonts w:ascii="Times New Roman" w:hAnsi="Times New Roman"/>
          <w:sz w:val="32"/>
          <w:szCs w:val="32"/>
        </w:rPr>
        <w:sectPr>
          <w:headerReference r:id="rId3" w:type="default"/>
          <w:pgSz w:w="11906" w:h="16838"/>
          <w:pgMar w:top="1440" w:right="1800" w:bottom="1440" w:left="1800" w:header="851" w:footer="992" w:gutter="0"/>
          <w:cols w:space="425" w:num="1"/>
          <w:titlePg/>
          <w:docGrid w:type="lines" w:linePitch="312" w:charSpace="0"/>
        </w:sectPr>
      </w:pPr>
      <w:r>
        <w:rPr>
          <w:rFonts w:ascii="Times New Roman" w:hAnsi="Times New Roman"/>
          <w:sz w:val="32"/>
          <w:szCs w:val="32"/>
        </w:rPr>
        <w:t>20</w:t>
      </w:r>
      <w:r>
        <w:rPr>
          <w:rFonts w:hint="eastAsia" w:ascii="Times New Roman" w:hAnsi="Times New Roman"/>
          <w:sz w:val="32"/>
          <w:szCs w:val="32"/>
          <w:lang w:val="en-US" w:eastAsia="zh-CN"/>
        </w:rPr>
        <w:t>20</w:t>
      </w:r>
      <w:r>
        <w:rPr>
          <w:rFonts w:ascii="Times New Roman" w:hAnsi="Times New Roman"/>
          <w:sz w:val="32"/>
          <w:szCs w:val="32"/>
        </w:rPr>
        <w:t>年</w:t>
      </w:r>
      <w:r>
        <w:rPr>
          <w:rFonts w:hint="eastAsia" w:ascii="Times New Roman" w:hAnsi="Times New Roman"/>
          <w:sz w:val="32"/>
          <w:szCs w:val="32"/>
          <w:lang w:val="en-US" w:eastAsia="zh-CN"/>
        </w:rPr>
        <w:t>6</w:t>
      </w:r>
      <w:r>
        <w:rPr>
          <w:rFonts w:ascii="Times New Roman" w:hAnsi="Times New Roman"/>
          <w:sz w:val="32"/>
          <w:szCs w:val="32"/>
        </w:rPr>
        <w:t>月</w:t>
      </w:r>
    </w:p>
    <w:p>
      <w:pPr>
        <w:pStyle w:val="26"/>
        <w:spacing w:before="0" w:line="400" w:lineRule="exact"/>
        <w:jc w:val="center"/>
        <w:rPr>
          <w:rFonts w:ascii="Times New Roman" w:hAnsi="Times New Roman"/>
          <w:b/>
          <w:color w:val="000000"/>
        </w:rPr>
      </w:pPr>
      <w:r>
        <w:rPr>
          <w:rFonts w:ascii="Times New Roman" w:hAnsi="Times New Roman"/>
          <w:b/>
          <w:color w:val="000000"/>
          <w:lang w:val="zh-CN"/>
        </w:rPr>
        <w:t>目  录</w:t>
      </w:r>
    </w:p>
    <w:p>
      <w:pPr>
        <w:pStyle w:val="13"/>
        <w:tabs>
          <w:tab w:val="right" w:leader="dot" w:pos="8306"/>
        </w:tabs>
        <w:spacing w:line="240" w:lineRule="auto"/>
      </w:pPr>
      <w:r>
        <w:fldChar w:fldCharType="begin"/>
      </w:r>
      <w:r>
        <w:instrText xml:space="preserve">TOC \o "1-3" \h \z \u </w:instrText>
      </w:r>
      <w:r>
        <w:fldChar w:fldCharType="separate"/>
      </w:r>
      <w:r>
        <w:fldChar w:fldCharType="begin"/>
      </w:r>
      <w:r>
        <w:instrText xml:space="preserve"> HYPERLINK \l "_Toc13375" </w:instrText>
      </w:r>
      <w:r>
        <w:fldChar w:fldCharType="separate"/>
      </w:r>
      <w:r>
        <w:t>前  言</w:t>
      </w:r>
      <w:r>
        <w:tab/>
      </w:r>
      <w:r>
        <w:fldChar w:fldCharType="end"/>
      </w:r>
    </w:p>
    <w:p>
      <w:pPr>
        <w:pStyle w:val="13"/>
        <w:tabs>
          <w:tab w:val="right" w:leader="dot" w:pos="8306"/>
        </w:tabs>
        <w:spacing w:line="240" w:lineRule="auto"/>
      </w:pPr>
      <w:r>
        <w:fldChar w:fldCharType="begin"/>
      </w:r>
      <w:r>
        <w:instrText xml:space="preserve"> HYPERLINK \l "_Toc25774" </w:instrText>
      </w:r>
      <w:r>
        <w:fldChar w:fldCharType="separate"/>
      </w:r>
      <w:r>
        <w:t>1 验收编制依据</w:t>
      </w:r>
      <w:r>
        <w:tab/>
      </w:r>
      <w:r>
        <w:fldChar w:fldCharType="end"/>
      </w:r>
    </w:p>
    <w:p>
      <w:pPr>
        <w:pStyle w:val="15"/>
        <w:tabs>
          <w:tab w:val="right" w:leader="dot" w:pos="8306"/>
        </w:tabs>
        <w:rPr>
          <w:rFonts w:ascii="Times New Roman" w:hAnsi="Times New Roman"/>
        </w:rPr>
      </w:pPr>
      <w:r>
        <w:fldChar w:fldCharType="begin"/>
      </w:r>
      <w:r>
        <w:instrText xml:space="preserve"> HYPERLINK \l "_Toc5229" </w:instrText>
      </w:r>
      <w:r>
        <w:fldChar w:fldCharType="separate"/>
      </w:r>
      <w:r>
        <w:rPr>
          <w:rFonts w:ascii="Times New Roman" w:hAnsi="Times New Roman"/>
        </w:rPr>
        <w:t>1.1 法律、法规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_Toc5229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"_Toc19837" </w:instrText>
      </w:r>
      <w:r>
        <w:fldChar w:fldCharType="separate"/>
      </w:r>
      <w:r>
        <w:rPr>
          <w:rFonts w:ascii="Times New Roman" w:hAnsi="Times New Roman"/>
        </w:rPr>
        <w:t>1.2 验收技术规范</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_Toc19837 </w:instrText>
      </w:r>
      <w:r>
        <w:rPr>
          <w:rFonts w:ascii="Times New Roman" w:hAnsi="Times New Roman"/>
        </w:rPr>
        <w:fldChar w:fldCharType="separate"/>
      </w:r>
      <w:r>
        <w:rPr>
          <w:rFonts w:ascii="Times New Roman" w:hAnsi="Times New Roman"/>
        </w:rPr>
        <w:t>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"_Toc26393" </w:instrText>
      </w:r>
      <w:r>
        <w:fldChar w:fldCharType="separate"/>
      </w:r>
      <w:r>
        <w:rPr>
          <w:rFonts w:ascii="Times New Roman" w:hAnsi="Times New Roman"/>
        </w:rPr>
        <w:t>1.3 工程技术文件及批复文件</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_Toc26393 </w:instrText>
      </w:r>
      <w:r>
        <w:rPr>
          <w:rFonts w:ascii="Times New Roman" w:hAnsi="Times New Roman"/>
        </w:rPr>
        <w:fldChar w:fldCharType="separate"/>
      </w:r>
      <w:r>
        <w:rPr>
          <w:rFonts w:ascii="Times New Roman" w:hAnsi="Times New Roman"/>
        </w:rPr>
        <w:t>3</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"_Toc13007" </w:instrText>
      </w:r>
      <w:r>
        <w:fldChar w:fldCharType="separate"/>
      </w:r>
      <w:r>
        <w:t>2 工程概况</w:t>
      </w:r>
      <w:r>
        <w:tab/>
      </w:r>
      <w:r>
        <w:fldChar w:fldCharType="end"/>
      </w:r>
    </w:p>
    <w:p>
      <w:pPr>
        <w:pStyle w:val="15"/>
        <w:tabs>
          <w:tab w:val="right" w:leader="dot" w:pos="8306"/>
        </w:tabs>
        <w:rPr>
          <w:rFonts w:ascii="Times New Roman" w:hAnsi="Times New Roman"/>
        </w:rPr>
      </w:pPr>
      <w:r>
        <w:fldChar w:fldCharType="begin"/>
      </w:r>
      <w:r>
        <w:instrText xml:space="preserve"> HYPERLINK \l "_Toc4417" </w:instrText>
      </w:r>
      <w:r>
        <w:fldChar w:fldCharType="separate"/>
      </w:r>
      <w:r>
        <w:rPr>
          <w:rFonts w:ascii="Times New Roman" w:hAnsi="Times New Roman"/>
        </w:rPr>
        <w:t>2.1 项目基本情况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_Toc4417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"_Toc20380" </w:instrText>
      </w:r>
      <w:r>
        <w:fldChar w:fldCharType="separate"/>
      </w:r>
      <w:r>
        <w:rPr>
          <w:rFonts w:ascii="Times New Roman" w:hAnsi="Times New Roman"/>
        </w:rPr>
        <w:t>2.1.1 基本情况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_Toc20380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"_Toc27686" </w:instrText>
      </w:r>
      <w:r>
        <w:fldChar w:fldCharType="separate"/>
      </w:r>
      <w:r>
        <w:rPr>
          <w:rFonts w:ascii="Times New Roman" w:hAnsi="Times New Roman"/>
        </w:rPr>
        <w:t>2.1.2 地理位置及周边情况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_Toc27686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"_Toc8614" </w:instrText>
      </w:r>
      <w:r>
        <w:fldChar w:fldCharType="separate"/>
      </w:r>
      <w:r>
        <w:rPr>
          <w:rFonts w:ascii="Times New Roman" w:hAnsi="Times New Roman"/>
        </w:rPr>
        <w:t>2.1.3 厂区平面布置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_Toc8614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"_Toc27136" </w:instrText>
      </w:r>
      <w:r>
        <w:fldChar w:fldCharType="separate"/>
      </w:r>
      <w:r>
        <w:rPr>
          <w:rFonts w:ascii="Times New Roman" w:hAnsi="Times New Roman"/>
        </w:rPr>
        <w:t>2.2 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_Toc27136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"_Toc30677" </w:instrText>
      </w:r>
      <w:r>
        <w:fldChar w:fldCharType="separate"/>
      </w:r>
      <w:r>
        <w:rPr>
          <w:rFonts w:ascii="Times New Roman" w:hAnsi="Times New Roman"/>
        </w:rPr>
        <w:t>2.2.1 生产规模及产品方案</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_Toc30677 </w:instrText>
      </w:r>
      <w:r>
        <w:rPr>
          <w:rFonts w:ascii="Times New Roman" w:hAnsi="Times New Roman"/>
        </w:rPr>
        <w:fldChar w:fldCharType="separate"/>
      </w:r>
      <w:r>
        <w:rPr>
          <w:rFonts w:ascii="Times New Roman" w:hAnsi="Times New Roman"/>
        </w:rPr>
        <w:t>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"_Toc13472" </w:instrText>
      </w:r>
      <w:r>
        <w:fldChar w:fldCharType="separate"/>
      </w:r>
      <w:r>
        <w:rPr>
          <w:rFonts w:ascii="Times New Roman" w:hAnsi="Times New Roman"/>
        </w:rPr>
        <w:t>2.2.2 主要原辅材料</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_Toc13472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"_Toc2160" </w:instrText>
      </w:r>
      <w:r>
        <w:fldChar w:fldCharType="separate"/>
      </w:r>
      <w:r>
        <w:rPr>
          <w:rFonts w:ascii="Times New Roman" w:hAnsi="Times New Roman"/>
        </w:rPr>
        <w:t>2.2.3 主体设施建设内容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_Toc2160 </w:instrText>
      </w:r>
      <w:r>
        <w:rPr>
          <w:rFonts w:ascii="Times New Roman" w:hAnsi="Times New Roman"/>
        </w:rPr>
        <w:fldChar w:fldCharType="separate"/>
      </w:r>
      <w:r>
        <w:rPr>
          <w:rFonts w:ascii="Times New Roman" w:hAnsi="Times New Roman"/>
        </w:rPr>
        <w:t>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"_Toc27810" </w:instrText>
      </w:r>
      <w:r>
        <w:fldChar w:fldCharType="separate"/>
      </w:r>
      <w:r>
        <w:rPr>
          <w:rFonts w:ascii="Times New Roman" w:hAnsi="Times New Roman"/>
        </w:rPr>
        <w:t>2.2.4 生产设备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_Toc27810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"_Toc9178" </w:instrText>
      </w:r>
      <w:r>
        <w:fldChar w:fldCharType="separate"/>
      </w:r>
      <w:r>
        <w:rPr>
          <w:rFonts w:ascii="Times New Roman" w:hAnsi="Times New Roman"/>
        </w:rPr>
        <w:t>2.3 工艺流程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_Toc9178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"_Toc2746" </w:instrText>
      </w:r>
      <w:r>
        <w:fldChar w:fldCharType="separate"/>
      </w:r>
      <w:r>
        <w:rPr>
          <w:rFonts w:ascii="Times New Roman" w:hAnsi="Times New Roman"/>
        </w:rPr>
        <w:t>2.4 劳动定员及工作制度</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_Toc2746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"_Toc18609" </w:instrText>
      </w:r>
      <w:r>
        <w:fldChar w:fldCharType="separate"/>
      </w:r>
      <w:r>
        <w:rPr>
          <w:rFonts w:ascii="Times New Roman" w:hAnsi="Times New Roman"/>
        </w:rPr>
        <w:t>2.5 公用工程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_Toc18609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"_Toc11895" </w:instrText>
      </w:r>
      <w:r>
        <w:fldChar w:fldCharType="separate"/>
      </w:r>
      <w:r>
        <w:rPr>
          <w:rFonts w:ascii="Times New Roman" w:hAnsi="Times New Roman"/>
        </w:rPr>
        <w:t>2.5.1 给排水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_Toc11895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"_Toc24223" </w:instrText>
      </w:r>
      <w:r>
        <w:fldChar w:fldCharType="separate"/>
      </w:r>
      <w:r>
        <w:rPr>
          <w:rFonts w:ascii="Times New Roman" w:hAnsi="Times New Roman"/>
        </w:rPr>
        <w:t>2.5.2 供电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_Toc24223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"_Toc2253" </w:instrText>
      </w:r>
      <w:r>
        <w:fldChar w:fldCharType="separate"/>
      </w:r>
      <w:r>
        <w:rPr>
          <w:rFonts w:ascii="Times New Roman" w:hAnsi="Times New Roman"/>
        </w:rPr>
        <w:t>2.5.3供暖</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_Toc2253 </w:instrText>
      </w:r>
      <w:r>
        <w:rPr>
          <w:rFonts w:ascii="Times New Roman" w:hAnsi="Times New Roman"/>
        </w:rPr>
        <w:fldChar w:fldCharType="separate"/>
      </w:r>
      <w:r>
        <w:rPr>
          <w:rFonts w:ascii="Times New Roman" w:hAnsi="Times New Roman"/>
        </w:rPr>
        <w:t>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"_Toc14595" </w:instrText>
      </w:r>
      <w:r>
        <w:fldChar w:fldCharType="separate"/>
      </w:r>
      <w:r>
        <w:rPr>
          <w:rFonts w:ascii="Times New Roman" w:hAnsi="Times New Roman"/>
        </w:rPr>
        <w:t>2.6 环评审批情况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_Toc14595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"_Toc31951" </w:instrText>
      </w:r>
      <w:r>
        <w:fldChar w:fldCharType="separate"/>
      </w:r>
      <w:r>
        <w:rPr>
          <w:rFonts w:ascii="Times New Roman" w:hAnsi="Times New Roman"/>
        </w:rPr>
        <w:t>2.7 项目投资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_Toc31951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"_Toc22160" </w:instrText>
      </w:r>
      <w:r>
        <w:fldChar w:fldCharType="separate"/>
      </w:r>
      <w:r>
        <w:rPr>
          <w:rFonts w:ascii="Times New Roman" w:hAnsi="Times New Roman"/>
        </w:rPr>
        <w:t>2.8 项目变更情况说明</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_Toc22160 </w:instrText>
      </w:r>
      <w:r>
        <w:rPr>
          <w:rFonts w:ascii="Times New Roman" w:hAnsi="Times New Roman"/>
        </w:rPr>
        <w:fldChar w:fldCharType="separate"/>
      </w:r>
      <w:r>
        <w:rPr>
          <w:rFonts w:ascii="Times New Roman" w:hAnsi="Times New Roman"/>
        </w:rPr>
        <w:t>7</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"_Toc18868" </w:instrText>
      </w:r>
      <w:r>
        <w:fldChar w:fldCharType="separate"/>
      </w:r>
      <w:r>
        <w:rPr>
          <w:rFonts w:ascii="Times New Roman" w:hAnsi="Times New Roman"/>
        </w:rPr>
        <w:t>2.9 环境保护“三同时”落实情况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_Toc18868 </w:instrText>
      </w:r>
      <w:r>
        <w:rPr>
          <w:rFonts w:ascii="Times New Roman" w:hAnsi="Times New Roman"/>
        </w:rPr>
        <w:fldChar w:fldCharType="separate"/>
      </w:r>
      <w:r>
        <w:rPr>
          <w:rFonts w:ascii="Times New Roman" w:hAnsi="Times New Roman"/>
        </w:rPr>
        <w:t>8</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"_Toc1554" </w:instrText>
      </w:r>
      <w:r>
        <w:fldChar w:fldCharType="separate"/>
      </w:r>
      <w:r>
        <w:rPr>
          <w:rFonts w:ascii="Times New Roman" w:hAnsi="Times New Roman"/>
        </w:rPr>
        <w:t>2.10 验收范围及内容</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_Toc1554 </w:instrText>
      </w:r>
      <w:r>
        <w:rPr>
          <w:rFonts w:ascii="Times New Roman" w:hAnsi="Times New Roman"/>
        </w:rPr>
        <w:fldChar w:fldCharType="separate"/>
      </w:r>
      <w:r>
        <w:rPr>
          <w:rFonts w:ascii="Times New Roman" w:hAnsi="Times New Roman"/>
        </w:rPr>
        <w:t>9</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"_Toc2185" </w:instrText>
      </w:r>
      <w:r>
        <w:fldChar w:fldCharType="separate"/>
      </w:r>
      <w:r>
        <w:t>3 主要污染源及治理措施</w:t>
      </w:r>
      <w:r>
        <w:tab/>
      </w:r>
      <w:r>
        <w:fldChar w:fldCharType="end"/>
      </w:r>
    </w:p>
    <w:p>
      <w:pPr>
        <w:pStyle w:val="15"/>
        <w:tabs>
          <w:tab w:val="right" w:leader="dot" w:pos="8306"/>
        </w:tabs>
        <w:rPr>
          <w:rFonts w:ascii="Times New Roman" w:hAnsi="Times New Roman"/>
        </w:rPr>
      </w:pPr>
      <w:r>
        <w:fldChar w:fldCharType="begin"/>
      </w:r>
      <w:r>
        <w:instrText xml:space="preserve"> HYPERLINK \l "_Toc12186" </w:instrText>
      </w:r>
      <w:r>
        <w:fldChar w:fldCharType="separate"/>
      </w:r>
      <w:r>
        <w:rPr>
          <w:rFonts w:ascii="Times New Roman" w:hAnsi="Times New Roman"/>
        </w:rPr>
        <w:t>3.1 施工期主要污染源及治理措施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_Toc12186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"_Toc28537" </w:instrText>
      </w:r>
      <w:r>
        <w:fldChar w:fldCharType="separate"/>
      </w:r>
      <w:r>
        <w:rPr>
          <w:rFonts w:ascii="Times New Roman" w:hAnsi="Times New Roman"/>
        </w:rPr>
        <w:t>3.2 运行期主要污染源及治理措施</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_Toc28537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"_Toc3932" </w:instrText>
      </w:r>
      <w:r>
        <w:fldChar w:fldCharType="separate"/>
      </w:r>
      <w:r>
        <w:rPr>
          <w:rFonts w:ascii="Times New Roman" w:hAnsi="Times New Roman"/>
        </w:rPr>
        <w:t>3.2.1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_Toc3932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"_Toc18379" </w:instrText>
      </w:r>
      <w:r>
        <w:fldChar w:fldCharType="separate"/>
      </w:r>
      <w:r>
        <w:rPr>
          <w:rFonts w:ascii="Times New Roman" w:hAnsi="Times New Roman"/>
        </w:rPr>
        <w:t>3.2.</w:t>
      </w:r>
      <w:r>
        <w:rPr>
          <w:rFonts w:hint="eastAsia" w:ascii="Times New Roman" w:hAnsi="Times New Roman"/>
        </w:rPr>
        <w:t>2</w:t>
      </w:r>
      <w:r>
        <w:rPr>
          <w:rFonts w:ascii="Times New Roman" w:hAnsi="Times New Roman"/>
        </w:rPr>
        <w:t xml:space="preserve"> 废水</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_Toc18379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"_Toc32691" </w:instrText>
      </w:r>
      <w:r>
        <w:fldChar w:fldCharType="separate"/>
      </w:r>
      <w:r>
        <w:rPr>
          <w:rFonts w:ascii="Times New Roman" w:hAnsi="Times New Roman"/>
        </w:rPr>
        <w:t>3.2.</w:t>
      </w:r>
      <w:r>
        <w:rPr>
          <w:rFonts w:hint="eastAsia" w:ascii="Times New Roman" w:hAnsi="Times New Roman"/>
        </w:rPr>
        <w:t>3</w:t>
      </w:r>
      <w:r>
        <w:rPr>
          <w:rFonts w:ascii="Times New Roman" w:hAnsi="Times New Roman"/>
        </w:rPr>
        <w:t xml:space="preserve"> 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_Toc32691 </w:instrText>
      </w:r>
      <w:r>
        <w:rPr>
          <w:rFonts w:ascii="Times New Roman" w:hAnsi="Times New Roman"/>
        </w:rPr>
        <w:fldChar w:fldCharType="separate"/>
      </w:r>
      <w:r>
        <w:rPr>
          <w:rFonts w:ascii="Times New Roman" w:hAnsi="Times New Roman"/>
        </w:rPr>
        <w:t>10</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"_Toc2397" </w:instrText>
      </w:r>
      <w:r>
        <w:fldChar w:fldCharType="separate"/>
      </w:r>
      <w:r>
        <w:rPr>
          <w:rFonts w:ascii="Times New Roman" w:hAnsi="Times New Roman"/>
        </w:rPr>
        <w:t>3.2.</w:t>
      </w:r>
      <w:r>
        <w:rPr>
          <w:rFonts w:hint="eastAsia" w:ascii="Times New Roman" w:hAnsi="Times New Roman"/>
        </w:rPr>
        <w:t xml:space="preserve">4 </w:t>
      </w:r>
      <w:r>
        <w:rPr>
          <w:rFonts w:ascii="Times New Roman" w:hAnsi="Times New Roman"/>
        </w:rPr>
        <w:t>固体废物</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_Toc2397 </w:instrText>
      </w:r>
      <w:r>
        <w:rPr>
          <w:rFonts w:ascii="Times New Roman" w:hAnsi="Times New Roman"/>
        </w:rPr>
        <w:fldChar w:fldCharType="separate"/>
      </w:r>
      <w:r>
        <w:rPr>
          <w:rFonts w:ascii="Times New Roman" w:hAnsi="Times New Roman"/>
        </w:rPr>
        <w:t>11</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"_Toc32061" </w:instrText>
      </w:r>
      <w:r>
        <w:fldChar w:fldCharType="separate"/>
      </w:r>
      <w:r>
        <w:t>4 环评主要结论及环评批复要求</w:t>
      </w:r>
      <w:r>
        <w:tab/>
      </w:r>
      <w:r>
        <w:fldChar w:fldCharType="end"/>
      </w:r>
    </w:p>
    <w:p>
      <w:pPr>
        <w:pStyle w:val="15"/>
        <w:tabs>
          <w:tab w:val="right" w:leader="dot" w:pos="8306"/>
        </w:tabs>
        <w:rPr>
          <w:rFonts w:ascii="Times New Roman" w:hAnsi="Times New Roman"/>
        </w:rPr>
      </w:pPr>
      <w:r>
        <w:fldChar w:fldCharType="begin"/>
      </w:r>
      <w:r>
        <w:instrText xml:space="preserve"> HYPERLINK \l "_Toc25915" </w:instrText>
      </w:r>
      <w:r>
        <w:fldChar w:fldCharType="separate"/>
      </w:r>
      <w:r>
        <w:rPr>
          <w:rFonts w:ascii="Times New Roman" w:hAnsi="Times New Roman"/>
        </w:rPr>
        <w:t>4.1 建设项目环评报告表的主要结论与建议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_Toc25915 </w:instrText>
      </w:r>
      <w:r>
        <w:rPr>
          <w:rFonts w:ascii="Times New Roman" w:hAnsi="Times New Roman"/>
        </w:rPr>
        <w:fldChar w:fldCharType="separate"/>
      </w:r>
      <w:r>
        <w:rPr>
          <w:rFonts w:ascii="Times New Roman" w:hAnsi="Times New Roman"/>
        </w:rPr>
        <w:t>12</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"_Toc16482" </w:instrText>
      </w:r>
      <w:r>
        <w:fldChar w:fldCharType="separate"/>
      </w:r>
      <w:r>
        <w:rPr>
          <w:rFonts w:ascii="Times New Roman" w:hAnsi="Times New Roman"/>
        </w:rPr>
        <w:t>4.2 审批部门审批意见</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_Toc16482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"_Toc17668" </w:instrText>
      </w:r>
      <w:r>
        <w:fldChar w:fldCharType="separate"/>
      </w:r>
      <w:r>
        <w:rPr>
          <w:rFonts w:ascii="Times New Roman" w:hAnsi="Times New Roman"/>
        </w:rPr>
        <w:t>4.3 审批意见落实情况</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_Toc17668 </w:instrText>
      </w:r>
      <w:r>
        <w:rPr>
          <w:rFonts w:ascii="Times New Roman" w:hAnsi="Times New Roman"/>
        </w:rPr>
        <w:fldChar w:fldCharType="separate"/>
      </w:r>
      <w:r>
        <w:rPr>
          <w:rFonts w:ascii="Times New Roman" w:hAnsi="Times New Roman"/>
        </w:rPr>
        <w:t>15</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"_Toc5137" </w:instrText>
      </w:r>
      <w:r>
        <w:fldChar w:fldCharType="separate"/>
      </w:r>
      <w:r>
        <w:t>5 验收评价标准</w:t>
      </w:r>
      <w:r>
        <w:tab/>
      </w:r>
      <w:r>
        <w:fldChar w:fldCharType="end"/>
      </w:r>
    </w:p>
    <w:p>
      <w:pPr>
        <w:pStyle w:val="15"/>
        <w:tabs>
          <w:tab w:val="right" w:leader="dot" w:pos="8306"/>
        </w:tabs>
        <w:rPr>
          <w:rFonts w:ascii="Times New Roman" w:hAnsi="Times New Roman"/>
        </w:rPr>
      </w:pPr>
      <w:r>
        <w:fldChar w:fldCharType="begin"/>
      </w:r>
      <w:r>
        <w:instrText xml:space="preserve"> HYPERLINK \l "_Toc24574" </w:instrText>
      </w:r>
      <w:r>
        <w:fldChar w:fldCharType="separate"/>
      </w:r>
      <w:r>
        <w:rPr>
          <w:rFonts w:ascii="Times New Roman" w:hAnsi="Times New Roman"/>
        </w:rPr>
        <w:t>5.1 污染物排放标准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_Toc24574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"_Toc8485" </w:instrText>
      </w:r>
      <w:r>
        <w:fldChar w:fldCharType="separate"/>
      </w:r>
      <w:r>
        <w:rPr>
          <w:rFonts w:ascii="Times New Roman" w:hAnsi="Times New Roman"/>
        </w:rPr>
        <w:t>5.1.1 废气</w:t>
      </w:r>
      <w:r>
        <w:rPr>
          <w:rFonts w:ascii="Times New Roman" w:hAnsi="Times New Roman"/>
        </w:rPr>
        <w:tab/>
      </w:r>
      <w:r>
        <w:rPr>
          <w:rFonts w:ascii="Times New Roman" w:hAnsi="Times New Roman"/>
        </w:rPr>
        <w:fldChar w:fldCharType="begin"/>
      </w:r>
      <w:r>
        <w:rPr>
          <w:rFonts w:ascii="Times New Roman" w:hAnsi="Times New Roman"/>
        </w:rPr>
        <w:instrText xml:space="preserve"> PAGEREF _Toc8485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"_Toc5747" </w:instrText>
      </w:r>
      <w:r>
        <w:fldChar w:fldCharType="separate"/>
      </w:r>
      <w:r>
        <w:rPr>
          <w:rFonts w:ascii="Times New Roman" w:hAnsi="Times New Roman"/>
        </w:rPr>
        <w:t>5.1.2噪声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_Toc5747 </w:instrText>
      </w:r>
      <w:r>
        <w:rPr>
          <w:rFonts w:ascii="Times New Roman" w:hAnsi="Times New Roman"/>
        </w:rPr>
        <w:fldChar w:fldCharType="separate"/>
      </w:r>
      <w:r>
        <w:rPr>
          <w:rFonts w:ascii="Times New Roman" w:hAnsi="Times New Roman"/>
        </w:rPr>
        <w:t>16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"_Toc18932" </w:instrText>
      </w:r>
      <w:r>
        <w:fldChar w:fldCharType="separate"/>
      </w:r>
      <w:r>
        <w:rPr>
          <w:rFonts w:hint="eastAsia" w:ascii="Times New Roman" w:hAnsi="Times New Roman"/>
        </w:rPr>
        <w:t>5.2</w:t>
      </w:r>
      <w:r>
        <w:rPr>
          <w:rFonts w:ascii="Times New Roman" w:hAnsi="Times New Roman"/>
        </w:rPr>
        <w:t xml:space="preserve"> </w:t>
      </w:r>
      <w:r>
        <w:rPr>
          <w:rFonts w:hint="eastAsia" w:ascii="Times New Roman" w:hAnsi="Times New Roman"/>
        </w:rPr>
        <w:t>总量控制指标</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_Toc18932 </w:instrText>
      </w:r>
      <w:r>
        <w:rPr>
          <w:rFonts w:ascii="Times New Roman" w:hAnsi="Times New Roman"/>
        </w:rPr>
        <w:fldChar w:fldCharType="separate"/>
      </w:r>
      <w:r>
        <w:rPr>
          <w:rFonts w:ascii="Times New Roman" w:hAnsi="Times New Roman"/>
        </w:rPr>
        <w:t>17</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"_Toc23350" </w:instrText>
      </w:r>
      <w:r>
        <w:fldChar w:fldCharType="separate"/>
      </w:r>
      <w:r>
        <w:t>6 质量保障措施和检测分析方法</w:t>
      </w:r>
      <w:r>
        <w:tab/>
      </w:r>
      <w:r>
        <w:fldChar w:fldCharType="end"/>
      </w:r>
    </w:p>
    <w:p>
      <w:pPr>
        <w:pStyle w:val="15"/>
        <w:tabs>
          <w:tab w:val="right" w:leader="dot" w:pos="8306"/>
        </w:tabs>
        <w:rPr>
          <w:rFonts w:ascii="Times New Roman" w:hAnsi="Times New Roman"/>
        </w:rPr>
      </w:pPr>
      <w:r>
        <w:fldChar w:fldCharType="begin"/>
      </w:r>
      <w:r>
        <w:instrText xml:space="preserve"> HYPERLINK \l "_Toc18061" </w:instrText>
      </w:r>
      <w:r>
        <w:fldChar w:fldCharType="separate"/>
      </w:r>
      <w:r>
        <w:rPr>
          <w:rFonts w:ascii="Times New Roman" w:hAnsi="Times New Roman"/>
        </w:rPr>
        <w:t>6.1 质量保障体系</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_Toc18061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"_Toc32733" </w:instrText>
      </w:r>
      <w:r>
        <w:fldChar w:fldCharType="separate"/>
      </w:r>
      <w:r>
        <w:rPr>
          <w:rFonts w:ascii="Times New Roman" w:hAnsi="Times New Roman"/>
        </w:rPr>
        <w:t>6.2 检测分析方法</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_Toc32733 </w:instrText>
      </w:r>
      <w:r>
        <w:rPr>
          <w:rFonts w:ascii="Times New Roman" w:hAnsi="Times New Roman"/>
        </w:rPr>
        <w:fldChar w:fldCharType="separate"/>
      </w:r>
      <w:r>
        <w:rPr>
          <w:rFonts w:ascii="Times New Roman" w:hAnsi="Times New Roman"/>
        </w:rPr>
        <w:t>18</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"_Toc2862" </w:instrText>
      </w:r>
      <w:r>
        <w:fldChar w:fldCharType="separate"/>
      </w:r>
      <w:r>
        <w:t>7 验收检测结果及分析</w:t>
      </w:r>
      <w:r>
        <w:tab/>
      </w:r>
      <w:r>
        <w:fldChar w:fldCharType="end"/>
      </w:r>
    </w:p>
    <w:p>
      <w:pPr>
        <w:pStyle w:val="15"/>
        <w:tabs>
          <w:tab w:val="right" w:leader="dot" w:pos="8306"/>
        </w:tabs>
        <w:rPr>
          <w:rFonts w:ascii="Times New Roman" w:hAnsi="Times New Roman"/>
        </w:rPr>
      </w:pPr>
      <w:r>
        <w:fldChar w:fldCharType="begin"/>
      </w:r>
      <w:r>
        <w:instrText xml:space="preserve"> HYPERLINK \l "_Toc20500" </w:instrText>
      </w:r>
      <w:r>
        <w:fldChar w:fldCharType="separate"/>
      </w:r>
      <w:r>
        <w:rPr>
          <w:rFonts w:ascii="Times New Roman" w:hAnsi="Times New Roman"/>
        </w:rPr>
        <w:t>7.1 检测结果</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_Toc20500 </w:instrText>
      </w:r>
      <w:r>
        <w:rPr>
          <w:rFonts w:ascii="Times New Roman" w:hAnsi="Times New Roman"/>
        </w:rPr>
        <w:fldChar w:fldCharType="separate"/>
      </w:r>
      <w:r>
        <w:rPr>
          <w:rFonts w:ascii="Times New Roman" w:hAnsi="Times New Roman"/>
        </w:rPr>
        <w:t>21</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"_Toc5375" </w:instrText>
      </w:r>
      <w:r>
        <w:fldChar w:fldCharType="separate"/>
      </w:r>
      <w:r>
        <w:rPr>
          <w:rFonts w:ascii="Times New Roman" w:hAnsi="Times New Roman"/>
        </w:rPr>
        <w:t>7.2 检测结果分析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_Toc5375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"_Toc2782" </w:instrText>
      </w:r>
      <w:r>
        <w:fldChar w:fldCharType="separate"/>
      </w:r>
      <w:r>
        <w:rPr>
          <w:rFonts w:ascii="Times New Roman" w:hAnsi="Times New Roman"/>
        </w:rPr>
        <w:t>7.3 总量控制要求</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_Toc2782 </w:instrText>
      </w:r>
      <w:r>
        <w:rPr>
          <w:rFonts w:ascii="Times New Roman" w:hAnsi="Times New Roman"/>
        </w:rPr>
        <w:fldChar w:fldCharType="separate"/>
      </w:r>
      <w:r>
        <w:rPr>
          <w:rFonts w:ascii="Times New Roman" w:hAnsi="Times New Roman"/>
        </w:rPr>
        <w:t>24</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"_Toc5202" </w:instrText>
      </w:r>
      <w:r>
        <w:fldChar w:fldCharType="separate"/>
      </w:r>
      <w:r>
        <w:t>8 环境管理检查</w:t>
      </w:r>
      <w:r>
        <w:tab/>
      </w:r>
      <w:r>
        <w:fldChar w:fldCharType="end"/>
      </w:r>
    </w:p>
    <w:p>
      <w:pPr>
        <w:pStyle w:val="15"/>
        <w:tabs>
          <w:tab w:val="right" w:leader="dot" w:pos="8306"/>
        </w:tabs>
        <w:rPr>
          <w:rFonts w:ascii="Times New Roman" w:hAnsi="Times New Roman"/>
        </w:rPr>
      </w:pPr>
      <w:r>
        <w:fldChar w:fldCharType="begin"/>
      </w:r>
      <w:r>
        <w:instrText xml:space="preserve"> HYPERLINK \l "_Toc32093" </w:instrText>
      </w:r>
      <w:r>
        <w:fldChar w:fldCharType="separate"/>
      </w:r>
      <w:r>
        <w:rPr>
          <w:rFonts w:ascii="Times New Roman" w:hAnsi="Times New Roman"/>
        </w:rPr>
        <w:t>8.1 环保管理机构</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_Toc32093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"_Toc29686" </w:instrText>
      </w:r>
      <w:r>
        <w:fldChar w:fldCharType="separate"/>
      </w:r>
      <w:r>
        <w:rPr>
          <w:rFonts w:ascii="Times New Roman" w:hAnsi="Times New Roman"/>
        </w:rPr>
        <w:t>8.2 施工期环境管理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_Toc29686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"_Toc30001" </w:instrText>
      </w:r>
      <w:r>
        <w:fldChar w:fldCharType="separate"/>
      </w:r>
      <w:r>
        <w:rPr>
          <w:rFonts w:ascii="Times New Roman" w:hAnsi="Times New Roman"/>
        </w:rPr>
        <w:t>8.3 运行期环境管理</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_Toc30001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"_Toc5087" </w:instrText>
      </w:r>
      <w:r>
        <w:fldChar w:fldCharType="separate"/>
      </w:r>
      <w:r>
        <w:rPr>
          <w:rFonts w:ascii="Times New Roman" w:hAnsi="Times New Roman"/>
        </w:rPr>
        <w:t>8.4 社会环境影响情况调查</w:t>
      </w:r>
      <w:r>
        <w:rPr>
          <w:rFonts w:ascii="Times New Roman" w:hAnsi="Times New Roman"/>
        </w:rPr>
        <w:tab/>
      </w:r>
      <w:r>
        <w:rPr>
          <w:rFonts w:ascii="Times New Roman" w:hAnsi="Times New Roman"/>
        </w:rPr>
        <w:fldChar w:fldCharType="begin"/>
      </w:r>
      <w:r>
        <w:rPr>
          <w:rFonts w:ascii="Times New Roman" w:hAnsi="Times New Roman"/>
        </w:rPr>
        <w:instrText xml:space="preserve"> PAGEREF _Toc5087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"_Toc7270" </w:instrText>
      </w:r>
      <w:r>
        <w:fldChar w:fldCharType="separate"/>
      </w:r>
      <w:r>
        <w:rPr>
          <w:rFonts w:ascii="Times New Roman" w:hAnsi="Times New Roman"/>
        </w:rPr>
        <w:t>8.5 环境管理情况分析</w:t>
      </w:r>
      <w:r>
        <w:rPr>
          <w:rFonts w:ascii="Times New Roman" w:hAnsi="Times New Roman"/>
        </w:rPr>
        <w:tab/>
      </w:r>
      <w:r>
        <w:rPr>
          <w:rFonts w:ascii="Times New Roman" w:hAnsi="Times New Roman"/>
        </w:rPr>
        <w:fldChar w:fldCharType="begin"/>
      </w:r>
      <w:r>
        <w:rPr>
          <w:rFonts w:ascii="Times New Roman" w:hAnsi="Times New Roman"/>
        </w:rPr>
        <w:instrText xml:space="preserve"> PAGEREF _Toc7270 </w:instrText>
      </w:r>
      <w:r>
        <w:rPr>
          <w:rFonts w:ascii="Times New Roman" w:hAnsi="Times New Roman"/>
        </w:rPr>
        <w:fldChar w:fldCharType="separate"/>
      </w:r>
      <w:r>
        <w:rPr>
          <w:rFonts w:ascii="Times New Roman" w:hAnsi="Times New Roman"/>
        </w:rPr>
        <w:t>25</w:t>
      </w:r>
      <w:r>
        <w:rPr>
          <w:rFonts w:ascii="Times New Roman" w:hAnsi="Times New Roman"/>
        </w:rPr>
        <w:fldChar w:fldCharType="end"/>
      </w:r>
      <w:r>
        <w:rPr>
          <w:rFonts w:ascii="Times New Roman" w:hAnsi="Times New Roman"/>
        </w:rPr>
        <w:fldChar w:fldCharType="end"/>
      </w:r>
    </w:p>
    <w:p>
      <w:pPr>
        <w:pStyle w:val="13"/>
        <w:tabs>
          <w:tab w:val="right" w:leader="dot" w:pos="8306"/>
        </w:tabs>
        <w:spacing w:line="240" w:lineRule="auto"/>
      </w:pPr>
      <w:r>
        <w:fldChar w:fldCharType="begin"/>
      </w:r>
      <w:r>
        <w:instrText xml:space="preserve"> HYPERLINK \l "_Toc12811" </w:instrText>
      </w:r>
      <w:r>
        <w:fldChar w:fldCharType="separate"/>
      </w:r>
      <w:r>
        <w:t>9 结论和建议</w:t>
      </w:r>
      <w:r>
        <w:tab/>
      </w:r>
      <w:r>
        <w:fldChar w:fldCharType="end"/>
      </w:r>
    </w:p>
    <w:p>
      <w:pPr>
        <w:pStyle w:val="15"/>
        <w:tabs>
          <w:tab w:val="right" w:leader="dot" w:pos="8306"/>
        </w:tabs>
        <w:rPr>
          <w:rFonts w:ascii="Times New Roman" w:hAnsi="Times New Roman"/>
        </w:rPr>
      </w:pPr>
      <w:r>
        <w:fldChar w:fldCharType="begin"/>
      </w:r>
      <w:r>
        <w:instrText xml:space="preserve"> HYPERLINK \l "_Toc3234" </w:instrText>
      </w:r>
      <w:r>
        <w:fldChar w:fldCharType="separate"/>
      </w:r>
      <w:r>
        <w:rPr>
          <w:rFonts w:ascii="Times New Roman" w:hAnsi="Times New Roman"/>
        </w:rPr>
        <w:t>9.1 验收主要结论</w:t>
      </w:r>
      <w:r>
        <w:rPr>
          <w:rFonts w:ascii="Times New Roman" w:hAnsi="Times New Roman"/>
        </w:rPr>
        <w:tab/>
      </w:r>
      <w:r>
        <w:rPr>
          <w:rFonts w:ascii="Times New Roman" w:hAnsi="Times New Roman"/>
        </w:rPr>
        <w:fldChar w:fldCharType="begin"/>
      </w:r>
      <w:r>
        <w:rPr>
          <w:rFonts w:ascii="Times New Roman" w:hAnsi="Times New Roman"/>
        </w:rPr>
        <w:instrText xml:space="preserve"> PAGEREF _Toc3234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5"/>
        <w:tabs>
          <w:tab w:val="right" w:leader="dot" w:pos="8306"/>
        </w:tabs>
        <w:rPr>
          <w:rFonts w:ascii="Times New Roman" w:hAnsi="Times New Roman"/>
        </w:rPr>
      </w:pPr>
      <w:r>
        <w:fldChar w:fldCharType="begin"/>
      </w:r>
      <w:r>
        <w:instrText xml:space="preserve"> HYPERLINK \l "_Toc18401" </w:instrText>
      </w:r>
      <w:r>
        <w:fldChar w:fldCharType="separate"/>
      </w:r>
      <w:r>
        <w:rPr>
          <w:rFonts w:ascii="Times New Roman" w:hAnsi="Times New Roman"/>
        </w:rPr>
        <w:t>9.2 建议</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_Toc18401 </w:instrText>
      </w:r>
      <w:r>
        <w:rPr>
          <w:rFonts w:ascii="Times New Roman" w:hAnsi="Times New Roman"/>
        </w:rPr>
        <w:fldChar w:fldCharType="separate"/>
      </w:r>
      <w:r>
        <w:rPr>
          <w:rFonts w:ascii="Times New Roman" w:hAnsi="Times New Roman"/>
        </w:rPr>
        <w:t>26</w:t>
      </w:r>
      <w:r>
        <w:rPr>
          <w:rFonts w:ascii="Times New Roman" w:hAnsi="Times New Roman"/>
        </w:rPr>
        <w:fldChar w:fldCharType="end"/>
      </w:r>
      <w:r>
        <w:rPr>
          <w:rFonts w:ascii="Times New Roman" w:hAnsi="Times New Roman"/>
        </w:rPr>
        <w:fldChar w:fldCharType="end"/>
      </w:r>
    </w:p>
    <w:p>
      <w:pPr>
        <w:pStyle w:val="15"/>
        <w:tabs>
          <w:tab w:val="right" w:leader="hyphen" w:pos="8296"/>
        </w:tabs>
        <w:spacing w:before="312" w:beforeLines="100" w:line="400" w:lineRule="exact"/>
        <w:ind w:left="0" w:leftChars="0"/>
        <w:jc w:val="left"/>
        <w:rPr>
          <w:rFonts w:ascii="Times New Roman" w:hAnsi="Times New Roman"/>
          <w:b/>
          <w:sz w:val="30"/>
          <w:szCs w:val="30"/>
        </w:rPr>
      </w:pPr>
      <w:r>
        <w:rPr>
          <w:rFonts w:ascii="Times New Roman" w:hAnsi="Times New Roman"/>
        </w:rPr>
        <w:fldChar w:fldCharType="end"/>
      </w:r>
      <w:r>
        <w:rPr>
          <w:rFonts w:ascii="Times New Roman" w:hAnsi="Times New Roman"/>
          <w:b/>
          <w:sz w:val="30"/>
          <w:szCs w:val="30"/>
        </w:rPr>
        <w:t>附图</w:t>
      </w:r>
    </w:p>
    <w:p>
      <w:pPr>
        <w:spacing w:line="480" w:lineRule="atLeast"/>
        <w:rPr>
          <w:rFonts w:ascii="Times New Roman" w:hAnsi="Times New Roman"/>
          <w:sz w:val="24"/>
          <w:szCs w:val="24"/>
        </w:rPr>
      </w:pPr>
      <w:r>
        <w:rPr>
          <w:rFonts w:ascii="Times New Roman" w:hAnsi="Times New Roman"/>
          <w:sz w:val="24"/>
          <w:szCs w:val="24"/>
        </w:rPr>
        <w:t>1、项目地理位置图</w:t>
      </w:r>
    </w:p>
    <w:p>
      <w:pPr>
        <w:spacing w:line="480" w:lineRule="atLeast"/>
        <w:rPr>
          <w:rFonts w:ascii="Times New Roman" w:hAnsi="Times New Roman"/>
          <w:sz w:val="24"/>
          <w:szCs w:val="24"/>
        </w:rPr>
      </w:pPr>
      <w:r>
        <w:rPr>
          <w:rFonts w:hint="eastAsia" w:ascii="Times New Roman" w:hAnsi="Times New Roman"/>
          <w:sz w:val="24"/>
          <w:szCs w:val="24"/>
        </w:rPr>
        <w:t>2</w:t>
      </w:r>
      <w:r>
        <w:rPr>
          <w:rFonts w:ascii="Times New Roman" w:hAnsi="Times New Roman"/>
          <w:sz w:val="24"/>
          <w:szCs w:val="24"/>
        </w:rPr>
        <w:t>、</w:t>
      </w:r>
      <w:r>
        <w:rPr>
          <w:rFonts w:hint="eastAsia" w:ascii="Times New Roman" w:hAnsi="Times New Roman"/>
          <w:sz w:val="24"/>
          <w:szCs w:val="24"/>
        </w:rPr>
        <w:t>企业周边关系图</w:t>
      </w:r>
    </w:p>
    <w:p>
      <w:pPr>
        <w:spacing w:line="480" w:lineRule="atLeast"/>
        <w:rPr>
          <w:rFonts w:ascii="Times New Roman" w:hAnsi="Times New Roman"/>
          <w:sz w:val="24"/>
          <w:szCs w:val="24"/>
        </w:rPr>
      </w:pPr>
      <w:r>
        <w:rPr>
          <w:rFonts w:hint="eastAsia" w:ascii="Times New Roman" w:hAnsi="Times New Roman"/>
          <w:sz w:val="24"/>
          <w:szCs w:val="24"/>
        </w:rPr>
        <w:t>3</w:t>
      </w:r>
      <w:r>
        <w:rPr>
          <w:rFonts w:ascii="Times New Roman" w:hAnsi="Times New Roman"/>
          <w:sz w:val="24"/>
          <w:szCs w:val="24"/>
        </w:rPr>
        <w:t>、项目平面布置图</w:t>
      </w:r>
    </w:p>
    <w:p>
      <w:pPr>
        <w:spacing w:line="480" w:lineRule="atLeast"/>
        <w:rPr>
          <w:rFonts w:ascii="Times New Roman" w:hAnsi="Times New Roman"/>
          <w:sz w:val="24"/>
          <w:szCs w:val="24"/>
        </w:rPr>
      </w:pPr>
    </w:p>
    <w:p>
      <w:pPr>
        <w:pStyle w:val="18"/>
      </w:pPr>
    </w:p>
    <w:p>
      <w:pPr>
        <w:spacing w:before="312" w:beforeLines="100" w:line="480" w:lineRule="atLeast"/>
        <w:jc w:val="left"/>
        <w:rPr>
          <w:rFonts w:ascii="Times New Roman" w:hAnsi="Times New Roman"/>
          <w:b/>
          <w:sz w:val="30"/>
          <w:szCs w:val="30"/>
        </w:rPr>
      </w:pPr>
      <w:r>
        <w:rPr>
          <w:rFonts w:ascii="Times New Roman" w:hAnsi="Times New Roman"/>
          <w:b/>
          <w:sz w:val="30"/>
          <w:szCs w:val="30"/>
        </w:rPr>
        <w:t>附件</w:t>
      </w:r>
    </w:p>
    <w:p>
      <w:pPr>
        <w:spacing w:line="480" w:lineRule="atLeast"/>
        <w:rPr>
          <w:rFonts w:ascii="Times New Roman" w:hAnsi="Times New Roman"/>
          <w:sz w:val="24"/>
          <w:szCs w:val="24"/>
        </w:rPr>
      </w:pPr>
      <w:r>
        <w:rPr>
          <w:rFonts w:ascii="Times New Roman" w:hAnsi="Times New Roman"/>
          <w:sz w:val="24"/>
          <w:szCs w:val="24"/>
        </w:rPr>
        <w:t>1、环评审批意见</w:t>
      </w:r>
    </w:p>
    <w:p>
      <w:pPr>
        <w:spacing w:line="480" w:lineRule="atLeast"/>
        <w:rPr>
          <w:rFonts w:ascii="Times New Roman" w:hAnsi="Times New Roman"/>
          <w:sz w:val="24"/>
          <w:szCs w:val="24"/>
        </w:rPr>
      </w:pPr>
      <w:r>
        <w:rPr>
          <w:rFonts w:ascii="Times New Roman" w:hAnsi="Times New Roman"/>
          <w:sz w:val="24"/>
          <w:szCs w:val="24"/>
        </w:rPr>
        <w:t>2、营业执照</w:t>
      </w:r>
    </w:p>
    <w:p>
      <w:pPr>
        <w:spacing w:line="480" w:lineRule="atLeast"/>
        <w:rPr>
          <w:rFonts w:ascii="Times New Roman" w:hAnsi="Times New Roman"/>
          <w:sz w:val="24"/>
          <w:szCs w:val="24"/>
        </w:rPr>
      </w:pPr>
      <w:r>
        <w:rPr>
          <w:rFonts w:hint="eastAsia" w:ascii="Times New Roman" w:hAnsi="Times New Roman"/>
          <w:sz w:val="24"/>
          <w:szCs w:val="24"/>
        </w:rPr>
        <w:t>3、监测报告</w:t>
      </w:r>
    </w:p>
    <w:p>
      <w:pPr>
        <w:spacing w:line="480" w:lineRule="atLeast"/>
        <w:rPr>
          <w:rFonts w:ascii="Times New Roman" w:hAnsi="Times New Roman"/>
          <w:sz w:val="24"/>
          <w:szCs w:val="24"/>
        </w:rPr>
      </w:pPr>
    </w:p>
    <w:p>
      <w:pPr>
        <w:spacing w:line="480" w:lineRule="atLeast"/>
        <w:rPr>
          <w:rFonts w:ascii="Times New Roman" w:hAnsi="Times New Roman"/>
          <w:sz w:val="24"/>
          <w:szCs w:val="24"/>
          <w:highlight w:val="red"/>
        </w:rPr>
      </w:pPr>
    </w:p>
    <w:p>
      <w:pPr>
        <w:spacing w:line="480" w:lineRule="atLeast"/>
        <w:rPr>
          <w:rFonts w:ascii="Times New Roman" w:hAnsi="Times New Roman"/>
          <w:sz w:val="24"/>
          <w:szCs w:val="24"/>
          <w:highlight w:val="red"/>
        </w:rPr>
        <w:sectPr>
          <w:headerReference r:id="rId5" w:type="first"/>
          <w:footerReference r:id="rId7" w:type="first"/>
          <w:headerReference r:id="rId4" w:type="default"/>
          <w:footerReference r:id="rId6" w:type="default"/>
          <w:pgSz w:w="11906" w:h="16838"/>
          <w:pgMar w:top="1440" w:right="1800" w:bottom="1440" w:left="1800" w:header="851" w:footer="992" w:gutter="0"/>
          <w:pgNumType w:start="1"/>
          <w:cols w:space="425" w:num="1"/>
          <w:titlePg/>
          <w:docGrid w:type="lines" w:linePitch="312" w:charSpace="0"/>
        </w:sectPr>
      </w:pPr>
    </w:p>
    <w:p>
      <w:pPr>
        <w:pStyle w:val="5"/>
        <w:jc w:val="center"/>
        <w:rPr>
          <w:rFonts w:ascii="Times New Roman" w:hAnsi="Times New Roman"/>
        </w:rPr>
      </w:pPr>
      <w:bookmarkStart w:id="2" w:name="_Toc9675"/>
      <w:bookmarkStart w:id="3" w:name="_Toc20373"/>
      <w:bookmarkStart w:id="4" w:name="_Toc13375"/>
      <w:bookmarkStart w:id="5" w:name="_Toc10004"/>
      <w:r>
        <w:rPr>
          <w:rFonts w:ascii="Times New Roman" w:hAnsi="Times New Roman"/>
        </w:rPr>
        <w:t>前  言</w:t>
      </w:r>
      <w:bookmarkEnd w:id="2"/>
      <w:bookmarkEnd w:id="3"/>
      <w:bookmarkEnd w:id="4"/>
      <w:bookmarkEnd w:id="5"/>
    </w:p>
    <w:p>
      <w:pPr>
        <w:spacing w:line="360" w:lineRule="auto"/>
        <w:ind w:firstLine="480" w:firstLineChars="200"/>
        <w:rPr>
          <w:rFonts w:ascii="Times New Roman" w:hAnsi="Times New Roman"/>
          <w:sz w:val="24"/>
          <w:szCs w:val="24"/>
        </w:rPr>
      </w:pPr>
      <w:r>
        <w:rPr>
          <w:rFonts w:hint="eastAsia" w:ascii="Times New Roman" w:hAnsi="Times New Roman"/>
          <w:sz w:val="24"/>
          <w:szCs w:val="24"/>
          <w:lang w:eastAsia="zh-CN"/>
        </w:rPr>
        <w:t>盐山县贵新管件厂</w:t>
      </w:r>
      <w:r>
        <w:rPr>
          <w:rFonts w:hint="eastAsia" w:ascii="Times New Roman" w:hAnsi="Times New Roman"/>
          <w:sz w:val="24"/>
          <w:szCs w:val="24"/>
        </w:rPr>
        <w:t>位于</w:t>
      </w:r>
      <w:r>
        <w:rPr>
          <w:rFonts w:hint="eastAsia" w:ascii="Times New Roman" w:hAnsi="Times New Roman"/>
          <w:sz w:val="24"/>
          <w:szCs w:val="24"/>
          <w:lang w:eastAsia="zh-CN"/>
        </w:rPr>
        <w:t>盐山县盐山镇沧乐线供销加油站斜对面</w:t>
      </w:r>
      <w:r>
        <w:rPr>
          <w:rFonts w:hint="eastAsia" w:ascii="Times New Roman" w:hAnsi="Times New Roman"/>
          <w:sz w:val="24"/>
          <w:szCs w:val="24"/>
        </w:rPr>
        <w:t>，企业投资</w:t>
      </w:r>
      <w:r>
        <w:rPr>
          <w:rFonts w:hint="eastAsia" w:ascii="Times New Roman" w:hAnsi="Times New Roman"/>
          <w:sz w:val="24"/>
          <w:szCs w:val="24"/>
          <w:lang w:val="en-US" w:eastAsia="zh-CN"/>
        </w:rPr>
        <w:t>170</w:t>
      </w:r>
      <w:r>
        <w:rPr>
          <w:rFonts w:hint="eastAsia" w:ascii="Times New Roman" w:hAnsi="Times New Roman"/>
          <w:sz w:val="24"/>
          <w:szCs w:val="24"/>
        </w:rPr>
        <w:t>万元建设三通生产项目，</w:t>
      </w:r>
      <w:r>
        <w:rPr>
          <w:rFonts w:hint="eastAsia" w:ascii="Times New Roman" w:hAnsi="Times New Roman"/>
          <w:sz w:val="24"/>
          <w:szCs w:val="24"/>
          <w:lang w:eastAsia="zh-CN"/>
        </w:rPr>
        <w:t>盐山县贵新管件厂</w:t>
      </w:r>
      <w:r>
        <w:rPr>
          <w:rFonts w:hint="eastAsia" w:ascii="Times New Roman" w:hAnsi="Times New Roman"/>
          <w:sz w:val="24"/>
          <w:szCs w:val="24"/>
        </w:rPr>
        <w:t>于2019年9月委托</w:t>
      </w:r>
      <w:r>
        <w:rPr>
          <w:rFonts w:hint="eastAsia" w:ascii="Times New Roman" w:hAnsi="Times New Roman"/>
          <w:sz w:val="24"/>
          <w:szCs w:val="24"/>
          <w:lang w:val="en-US" w:eastAsia="zh-CN"/>
        </w:rPr>
        <w:t>湖北黄环环保科技有限公司</w:t>
      </w:r>
      <w:r>
        <w:rPr>
          <w:rFonts w:hint="eastAsia" w:ascii="Times New Roman" w:hAnsi="Times New Roman"/>
          <w:sz w:val="24"/>
          <w:szCs w:val="24"/>
        </w:rPr>
        <w:t>编制完成了《</w:t>
      </w:r>
      <w:r>
        <w:rPr>
          <w:rFonts w:hint="eastAsia" w:ascii="Times New Roman" w:hAnsi="Times New Roman"/>
          <w:sz w:val="24"/>
          <w:szCs w:val="24"/>
          <w:lang w:eastAsia="zh-CN"/>
        </w:rPr>
        <w:t>盐山县贵新管件厂三通生产项目</w:t>
      </w:r>
      <w:r>
        <w:rPr>
          <w:rFonts w:hint="eastAsia" w:ascii="Times New Roman" w:hAnsi="Times New Roman"/>
          <w:sz w:val="24"/>
          <w:szCs w:val="24"/>
        </w:rPr>
        <w:t>环境影响报告表》，于</w:t>
      </w:r>
      <w:r>
        <w:rPr>
          <w:rFonts w:hint="eastAsia" w:ascii="Times New Roman" w:hAnsi="Times New Roman"/>
          <w:color w:val="auto"/>
          <w:sz w:val="24"/>
          <w:szCs w:val="24"/>
        </w:rPr>
        <w:t>2019年</w:t>
      </w:r>
      <w:r>
        <w:rPr>
          <w:rFonts w:hint="eastAsia" w:ascii="Times New Roman" w:hAnsi="Times New Roman"/>
          <w:color w:val="auto"/>
          <w:sz w:val="24"/>
          <w:szCs w:val="24"/>
          <w:lang w:val="en-US" w:eastAsia="zh-CN"/>
        </w:rPr>
        <w:t>11</w:t>
      </w:r>
      <w:r>
        <w:rPr>
          <w:rFonts w:hint="eastAsia" w:ascii="Times New Roman" w:hAnsi="Times New Roman"/>
          <w:color w:val="auto"/>
          <w:sz w:val="24"/>
          <w:szCs w:val="24"/>
        </w:rPr>
        <w:t>月</w:t>
      </w:r>
      <w:r>
        <w:rPr>
          <w:rFonts w:hint="eastAsia" w:ascii="Times New Roman" w:hAnsi="Times New Roman"/>
          <w:color w:val="auto"/>
          <w:sz w:val="24"/>
          <w:szCs w:val="24"/>
          <w:lang w:val="en-US" w:eastAsia="zh-CN"/>
        </w:rPr>
        <w:t>1</w:t>
      </w:r>
      <w:r>
        <w:rPr>
          <w:rFonts w:hint="eastAsia" w:ascii="Times New Roman" w:hAnsi="Times New Roman"/>
          <w:color w:val="auto"/>
          <w:sz w:val="24"/>
          <w:szCs w:val="24"/>
        </w:rPr>
        <w:t>日取得了沧州市生态环境局</w:t>
      </w:r>
      <w:r>
        <w:rPr>
          <w:rFonts w:hint="eastAsia" w:ascii="Times New Roman" w:hAnsi="Times New Roman"/>
          <w:color w:val="auto"/>
          <w:sz w:val="24"/>
          <w:szCs w:val="24"/>
          <w:lang w:val="en-US" w:eastAsia="zh-CN"/>
        </w:rPr>
        <w:t>盐山</w:t>
      </w:r>
      <w:r>
        <w:rPr>
          <w:rFonts w:hint="eastAsia" w:ascii="Times New Roman" w:hAnsi="Times New Roman"/>
          <w:color w:val="auto"/>
          <w:sz w:val="24"/>
          <w:szCs w:val="24"/>
        </w:rPr>
        <w:t>分局的批复，审批文号为</w:t>
      </w:r>
      <w:r>
        <w:rPr>
          <w:rFonts w:hint="eastAsia" w:ascii="Times New Roman" w:hAnsi="Times New Roman"/>
          <w:color w:val="auto"/>
          <w:sz w:val="24"/>
          <w:szCs w:val="24"/>
          <w:lang w:val="en-US" w:eastAsia="zh-CN"/>
        </w:rPr>
        <w:t>盐环表</w:t>
      </w:r>
      <w:r>
        <w:rPr>
          <w:rFonts w:hint="eastAsia" w:ascii="Times New Roman" w:hAnsi="Times New Roman"/>
          <w:color w:val="auto"/>
          <w:sz w:val="24"/>
          <w:szCs w:val="24"/>
        </w:rPr>
        <w:t>[2019]</w:t>
      </w:r>
      <w:r>
        <w:rPr>
          <w:rFonts w:hint="eastAsia" w:ascii="Times New Roman" w:hAnsi="Times New Roman"/>
          <w:color w:val="auto"/>
          <w:sz w:val="24"/>
          <w:szCs w:val="24"/>
          <w:lang w:val="en-US" w:eastAsia="zh-CN"/>
        </w:rPr>
        <w:t>143</w:t>
      </w:r>
      <w:r>
        <w:rPr>
          <w:rFonts w:hint="eastAsia" w:ascii="Times New Roman" w:hAnsi="Times New Roman"/>
          <w:color w:val="auto"/>
          <w:sz w:val="24"/>
          <w:szCs w:val="24"/>
        </w:rPr>
        <w:t>号</w:t>
      </w:r>
      <w:r>
        <w:rPr>
          <w:rFonts w:hint="eastAsia" w:ascii="Times New Roman" w:hAnsi="Times New Roman"/>
          <w:color w:val="auto"/>
          <w:sz w:val="24"/>
          <w:szCs w:val="24"/>
          <w:lang w:eastAsia="zh-CN"/>
        </w:rPr>
        <w:t>，</w:t>
      </w:r>
      <w:r>
        <w:rPr>
          <w:rFonts w:hint="eastAsia" w:ascii="Times New Roman" w:hAnsi="Times New Roman"/>
          <w:color w:val="auto"/>
          <w:sz w:val="24"/>
          <w:szCs w:val="24"/>
          <w:lang w:val="en-US" w:eastAsia="zh-CN"/>
        </w:rPr>
        <w:t>并</w:t>
      </w:r>
      <w:r>
        <w:rPr>
          <w:rFonts w:hint="eastAsia" w:ascii="Times New Roman" w:hAnsi="Times New Roman"/>
          <w:sz w:val="24"/>
          <w:szCs w:val="24"/>
          <w:lang w:val="en-US" w:eastAsia="zh-CN"/>
        </w:rPr>
        <w:t>于2020年4月9日申请办理了排污许可登记，登记编号为92130925MA0DMRNW0Y001W</w:t>
      </w:r>
      <w:r>
        <w:rPr>
          <w:rFonts w:hint="eastAsia" w:ascii="Times New Roman" w:hAnsi="Times New Roman"/>
          <w:sz w:val="24"/>
          <w:szCs w:val="24"/>
        </w:rPr>
        <w:t>。</w:t>
      </w:r>
    </w:p>
    <w:p>
      <w:pPr>
        <w:spacing w:line="360" w:lineRule="auto"/>
        <w:ind w:firstLine="480" w:firstLineChars="200"/>
        <w:rPr>
          <w:rFonts w:ascii="Times New Roman" w:hAnsi="Times New Roman"/>
          <w:color w:val="000000"/>
          <w:sz w:val="24"/>
          <w:szCs w:val="24"/>
        </w:rPr>
      </w:pPr>
      <w:r>
        <w:rPr>
          <w:rFonts w:hint="eastAsia" w:ascii="Times New Roman" w:hAnsi="Times New Roman"/>
          <w:sz w:val="24"/>
          <w:szCs w:val="24"/>
        </w:rPr>
        <w:t>20</w:t>
      </w:r>
      <w:r>
        <w:rPr>
          <w:rFonts w:hint="eastAsia" w:ascii="Times New Roman" w:hAnsi="Times New Roman"/>
          <w:sz w:val="24"/>
          <w:szCs w:val="24"/>
          <w:lang w:val="en-US" w:eastAsia="zh-CN"/>
        </w:rPr>
        <w:t>20</w:t>
      </w:r>
      <w:r>
        <w:rPr>
          <w:rFonts w:hint="eastAsia" w:ascii="Times New Roman" w:hAnsi="Times New Roman"/>
          <w:sz w:val="24"/>
          <w:szCs w:val="24"/>
        </w:rPr>
        <w:t>年</w:t>
      </w:r>
      <w:r>
        <w:rPr>
          <w:rFonts w:hint="eastAsia" w:ascii="Times New Roman" w:hAnsi="Times New Roman"/>
          <w:sz w:val="24"/>
          <w:szCs w:val="24"/>
          <w:lang w:val="en-US" w:eastAsia="zh-CN"/>
        </w:rPr>
        <w:t>6</w:t>
      </w:r>
      <w:r>
        <w:rPr>
          <w:rFonts w:hint="eastAsia" w:ascii="Times New Roman" w:hAnsi="Times New Roman"/>
          <w:sz w:val="24"/>
          <w:szCs w:val="24"/>
        </w:rPr>
        <w:t>月，</w:t>
      </w:r>
      <w:r>
        <w:rPr>
          <w:rFonts w:hint="eastAsia" w:ascii="Times New Roman" w:hAnsi="Times New Roman"/>
          <w:sz w:val="24"/>
          <w:szCs w:val="24"/>
          <w:lang w:eastAsia="zh-CN"/>
        </w:rPr>
        <w:t>盐山县贵新管件厂</w:t>
      </w:r>
      <w:r>
        <w:rPr>
          <w:rFonts w:hint="eastAsia" w:ascii="Times New Roman" w:hAnsi="Times New Roman"/>
          <w:sz w:val="24"/>
          <w:szCs w:val="24"/>
        </w:rPr>
        <w:t>参照环保部《建设项目竣工环境保护验收暂行办法》（国环规环评〔2017〕4号）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sz w:val="24"/>
          <w:szCs w:val="24"/>
          <w:lang w:eastAsia="zh-CN"/>
        </w:rPr>
        <w:t>盐山县贵新管件厂</w:t>
      </w:r>
      <w:r>
        <w:rPr>
          <w:rFonts w:hint="eastAsia" w:ascii="Times New Roman" w:hAnsi="Times New Roman"/>
          <w:sz w:val="24"/>
          <w:szCs w:val="24"/>
        </w:rPr>
        <w:t>委托</w:t>
      </w:r>
      <w:r>
        <w:rPr>
          <w:rFonts w:hint="eastAsia" w:ascii="Times New Roman" w:hAnsi="Times New Roman"/>
          <w:color w:val="auto"/>
          <w:sz w:val="24"/>
          <w:szCs w:val="24"/>
          <w:lang w:val="en-US" w:eastAsia="zh-CN"/>
        </w:rPr>
        <w:t>河北沐阳环境科技有限公司</w:t>
      </w:r>
      <w:r>
        <w:rPr>
          <w:rFonts w:hint="eastAsia" w:ascii="Times New Roman" w:hAnsi="Times New Roman"/>
          <w:color w:val="auto"/>
          <w:sz w:val="24"/>
          <w:szCs w:val="24"/>
        </w:rPr>
        <w:t>于</w:t>
      </w:r>
      <w:bookmarkStart w:id="6" w:name="_Hlk496985984"/>
      <w:r>
        <w:rPr>
          <w:rFonts w:hint="eastAsia" w:ascii="Times New Roman" w:hAnsi="Times New Roman"/>
          <w:color w:val="auto"/>
          <w:sz w:val="24"/>
          <w:szCs w:val="24"/>
        </w:rPr>
        <w:t>20</w:t>
      </w:r>
      <w:r>
        <w:rPr>
          <w:rFonts w:hint="eastAsia" w:ascii="Times New Roman" w:hAnsi="Times New Roman"/>
          <w:color w:val="auto"/>
          <w:sz w:val="24"/>
          <w:szCs w:val="24"/>
          <w:lang w:val="en-US" w:eastAsia="zh-CN"/>
        </w:rPr>
        <w:t>20</w:t>
      </w:r>
      <w:r>
        <w:rPr>
          <w:rFonts w:hint="eastAsia" w:ascii="Times New Roman" w:hAnsi="Times New Roman"/>
          <w:color w:val="auto"/>
          <w:sz w:val="24"/>
          <w:szCs w:val="24"/>
        </w:rPr>
        <w:t>年</w:t>
      </w:r>
      <w:r>
        <w:rPr>
          <w:rFonts w:hint="eastAsia" w:ascii="Times New Roman" w:hAnsi="Times New Roman"/>
          <w:color w:val="auto"/>
          <w:sz w:val="24"/>
          <w:szCs w:val="24"/>
          <w:lang w:val="en-US" w:eastAsia="zh-CN"/>
        </w:rPr>
        <w:t>5</w:t>
      </w:r>
      <w:r>
        <w:rPr>
          <w:rFonts w:hint="eastAsia" w:ascii="Times New Roman" w:hAnsi="Times New Roman"/>
          <w:color w:val="auto"/>
          <w:sz w:val="24"/>
          <w:szCs w:val="24"/>
        </w:rPr>
        <w:t>月</w:t>
      </w:r>
      <w:r>
        <w:rPr>
          <w:rFonts w:ascii="Times New Roman" w:hAnsi="Times New Roman"/>
          <w:color w:val="auto"/>
          <w:sz w:val="24"/>
          <w:szCs w:val="24"/>
        </w:rPr>
        <w:t>2</w:t>
      </w:r>
      <w:r>
        <w:rPr>
          <w:rFonts w:hint="eastAsia" w:ascii="Times New Roman" w:hAnsi="Times New Roman"/>
          <w:color w:val="auto"/>
          <w:sz w:val="24"/>
          <w:szCs w:val="24"/>
          <w:lang w:val="en-US" w:eastAsia="zh-CN"/>
        </w:rPr>
        <w:t>0</w:t>
      </w:r>
      <w:r>
        <w:rPr>
          <w:rFonts w:hint="eastAsia" w:ascii="Times New Roman" w:hAnsi="Times New Roman"/>
          <w:color w:val="auto"/>
          <w:sz w:val="24"/>
          <w:szCs w:val="24"/>
        </w:rPr>
        <w:t>日至</w:t>
      </w:r>
      <w:r>
        <w:rPr>
          <w:rFonts w:hint="eastAsia" w:ascii="Times New Roman" w:hAnsi="Times New Roman"/>
          <w:color w:val="auto"/>
          <w:sz w:val="24"/>
          <w:szCs w:val="24"/>
          <w:lang w:val="en-US" w:eastAsia="zh-CN"/>
        </w:rPr>
        <w:t>23</w:t>
      </w:r>
      <w:r>
        <w:rPr>
          <w:rFonts w:hint="eastAsia" w:ascii="Times New Roman" w:hAnsi="Times New Roman"/>
          <w:color w:val="auto"/>
          <w:sz w:val="24"/>
          <w:szCs w:val="24"/>
        </w:rPr>
        <w:t>日</w:t>
      </w:r>
      <w:bookmarkEnd w:id="6"/>
      <w:r>
        <w:rPr>
          <w:rFonts w:hint="eastAsia" w:ascii="Times New Roman" w:hAnsi="Times New Roman"/>
          <w:color w:val="auto"/>
          <w:sz w:val="24"/>
          <w:szCs w:val="24"/>
        </w:rPr>
        <w:t>进行了竣工验收检测并出具检测报告，报告编号为：</w:t>
      </w:r>
      <w:r>
        <w:rPr>
          <w:rFonts w:hint="eastAsia" w:ascii="Times New Roman" w:hAnsi="Times New Roman"/>
          <w:color w:val="auto"/>
          <w:sz w:val="24"/>
          <w:szCs w:val="24"/>
          <w:lang w:val="en-US" w:eastAsia="zh-CN"/>
        </w:rPr>
        <w:t>沐阳环检字第2020-04-067</w:t>
      </w:r>
      <w:r>
        <w:rPr>
          <w:rFonts w:hint="eastAsia" w:ascii="Times New Roman" w:hAnsi="Times New Roman"/>
          <w:color w:val="auto"/>
          <w:sz w:val="24"/>
          <w:szCs w:val="24"/>
        </w:rPr>
        <w:t>。</w:t>
      </w:r>
      <w:r>
        <w:rPr>
          <w:rFonts w:hint="eastAsia" w:ascii="Times New Roman" w:hAnsi="Times New Roman"/>
          <w:sz w:val="24"/>
          <w:szCs w:val="24"/>
          <w:lang w:eastAsia="zh-CN"/>
        </w:rPr>
        <w:t>盐山县贵新管件厂</w:t>
      </w:r>
      <w:r>
        <w:rPr>
          <w:rFonts w:hint="eastAsia" w:ascii="Times New Roman" w:hAnsi="Times New Roman"/>
          <w:sz w:val="24"/>
          <w:szCs w:val="24"/>
        </w:rPr>
        <w:t>根据现场调查情况和检测报告按照《建设项目竣工环境保护验收技术指南污染影响类》编制完成竣工环境保护验收报告，为竣工验收提供科学依据。</w:t>
      </w:r>
    </w:p>
    <w:p>
      <w:pPr>
        <w:spacing w:line="360" w:lineRule="auto"/>
        <w:ind w:firstLine="480" w:firstLineChars="200"/>
        <w:rPr>
          <w:rFonts w:ascii="Times New Roman" w:hAnsi="Times New Roman"/>
          <w:sz w:val="24"/>
          <w:szCs w:val="24"/>
        </w:rPr>
        <w:sectPr>
          <w:headerReference r:id="rId8" w:type="default"/>
          <w:pgSz w:w="11906" w:h="16838"/>
          <w:pgMar w:top="1440" w:right="1800" w:bottom="1440" w:left="1800" w:header="851" w:footer="992" w:gutter="0"/>
          <w:pgNumType w:start="1"/>
          <w:cols w:space="425" w:num="1"/>
          <w:docGrid w:type="lines" w:linePitch="312" w:charSpace="0"/>
        </w:sectPr>
      </w:pPr>
    </w:p>
    <w:p>
      <w:pPr>
        <w:pStyle w:val="5"/>
        <w:rPr>
          <w:rFonts w:ascii="Times New Roman" w:hAnsi="Times New Roman"/>
        </w:rPr>
      </w:pPr>
      <w:bookmarkStart w:id="7" w:name="_Toc25774"/>
      <w:bookmarkStart w:id="8" w:name="_Toc23777"/>
      <w:bookmarkStart w:id="9" w:name="_Toc17755"/>
      <w:bookmarkStart w:id="10" w:name="_Toc14085"/>
      <w:r>
        <w:rPr>
          <w:rFonts w:ascii="Times New Roman" w:hAnsi="Times New Roman"/>
        </w:rPr>
        <w:t>1 验收编制依据</w:t>
      </w:r>
      <w:bookmarkEnd w:id="7"/>
      <w:bookmarkEnd w:id="8"/>
      <w:bookmarkEnd w:id="9"/>
      <w:bookmarkEnd w:id="10"/>
    </w:p>
    <w:p>
      <w:pPr>
        <w:pStyle w:val="6"/>
        <w:rPr>
          <w:rFonts w:ascii="Times New Roman" w:hAnsi="Times New Roman"/>
        </w:rPr>
      </w:pPr>
      <w:bookmarkStart w:id="11" w:name="_Toc32325"/>
      <w:bookmarkStart w:id="12" w:name="_Toc5229"/>
      <w:bookmarkStart w:id="13" w:name="_Toc30258"/>
      <w:bookmarkStart w:id="14" w:name="_Toc12399"/>
      <w:r>
        <w:rPr>
          <w:rFonts w:ascii="Times New Roman" w:hAnsi="Times New Roman"/>
        </w:rPr>
        <w:t>1.1 法律、法规</w:t>
      </w:r>
      <w:bookmarkEnd w:id="11"/>
      <w:bookmarkEnd w:id="12"/>
      <w:bookmarkEnd w:id="13"/>
      <w:bookmarkEnd w:id="14"/>
    </w:p>
    <w:p>
      <w:pPr>
        <w:spacing w:line="440" w:lineRule="atLeast"/>
        <w:ind w:firstLine="480" w:firstLineChars="200"/>
        <w:rPr>
          <w:rFonts w:ascii="Times New Roman" w:hAnsi="Times New Roman"/>
          <w:sz w:val="24"/>
          <w:szCs w:val="24"/>
        </w:rPr>
      </w:pPr>
      <w:r>
        <w:rPr>
          <w:rFonts w:ascii="Times New Roman" w:hAnsi="Times New Roman"/>
          <w:sz w:val="24"/>
          <w:szCs w:val="24"/>
        </w:rPr>
        <w:t>（1）《中华人民共和国环境保护法》，（2015年1月1日起施行）；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（2）《中华人民共和国环境影响评价法》，（2016年9月1日起施行）；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（3）《中华人民共和国水污染防治法》（2018年1月1日起施行）；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（4）《中华人民共和国大气污染防治法》，（ 2016年1月1日施行）；</w:t>
      </w:r>
    </w:p>
    <w:p>
      <w:pPr>
        <w:spacing w:line="440" w:lineRule="atLeast"/>
        <w:ind w:firstLine="480" w:firstLineChars="200"/>
        <w:rPr>
          <w:rFonts w:ascii="Times New Roman" w:hAnsi="Times New Roman"/>
          <w:sz w:val="24"/>
          <w:szCs w:val="24"/>
        </w:rPr>
      </w:pPr>
      <w:r>
        <w:rPr>
          <w:rFonts w:ascii="Times New Roman" w:hAnsi="Times New Roman"/>
          <w:sz w:val="24"/>
          <w:szCs w:val="24"/>
        </w:rPr>
        <w:t>（5）《中华人民共和国环境噪声污染防治法》，（1997年3月1日起施行）；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（6）《中华人民共和国固体废物污染环境防治法》，</w:t>
      </w:r>
      <w:r>
        <w:rPr>
          <w:rFonts w:hint="eastAsia" w:ascii="Times New Roman" w:hAnsi="Times New Roman"/>
          <w:sz w:val="24"/>
          <w:szCs w:val="24"/>
        </w:rPr>
        <w:t>（</w:t>
      </w:r>
      <w:r>
        <w:rPr>
          <w:rFonts w:ascii="Times New Roman" w:hAnsi="Times New Roman"/>
          <w:sz w:val="24"/>
          <w:szCs w:val="24"/>
        </w:rPr>
        <w:t>2015年4月1日起施行）；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（7）《建设项目环境保护管理条例》，（2017年10月1日起施行）；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（8）《建设项目环境影响评价分类管理名录》（2017年9月1日起施行）；</w:t>
      </w:r>
    </w:p>
    <w:p>
      <w:pPr>
        <w:spacing w:line="440" w:lineRule="atLeast"/>
        <w:ind w:firstLine="480" w:firstLineChars="200"/>
        <w:rPr>
          <w:rFonts w:ascii="Times New Roman" w:hAnsi="Times New Roman"/>
          <w:sz w:val="24"/>
          <w:szCs w:val="24"/>
        </w:rPr>
      </w:pPr>
      <w:r>
        <w:rPr>
          <w:rFonts w:ascii="Times New Roman" w:hAnsi="Times New Roman"/>
          <w:sz w:val="24"/>
          <w:szCs w:val="24"/>
        </w:rPr>
        <w:t>（9）《河北省环境保护条例》，（2005年5月1日起施行）。</w:t>
      </w:r>
    </w:p>
    <w:p>
      <w:pPr>
        <w:pStyle w:val="6"/>
        <w:rPr>
          <w:rFonts w:ascii="Times New Roman" w:hAnsi="Times New Roman"/>
        </w:rPr>
      </w:pPr>
      <w:bookmarkStart w:id="15" w:name="_Toc11240"/>
      <w:bookmarkStart w:id="16" w:name="_Toc19988"/>
      <w:bookmarkStart w:id="17" w:name="_Toc19837"/>
      <w:bookmarkStart w:id="18" w:name="_Toc17067"/>
      <w:r>
        <w:rPr>
          <w:rFonts w:ascii="Times New Roman" w:hAnsi="Times New Roman"/>
        </w:rPr>
        <w:t>1.2 验收技术规范</w:t>
      </w:r>
      <w:bookmarkEnd w:id="15"/>
      <w:bookmarkEnd w:id="16"/>
      <w:bookmarkEnd w:id="17"/>
      <w:bookmarkEnd w:id="18"/>
    </w:p>
    <w:p>
      <w:pPr>
        <w:spacing w:line="440" w:lineRule="atLeast"/>
        <w:ind w:firstLine="480" w:firstLineChars="200"/>
        <w:rPr>
          <w:rFonts w:ascii="Times New Roman" w:hAnsi="Times New Roman"/>
          <w:sz w:val="24"/>
          <w:szCs w:val="24"/>
        </w:rPr>
      </w:pPr>
      <w:r>
        <w:rPr>
          <w:rFonts w:ascii="Times New Roman" w:hAnsi="Times New Roman"/>
          <w:sz w:val="24"/>
          <w:szCs w:val="24"/>
        </w:rPr>
        <w:t>（1）《环境影响评价技术导则  总纲》（HJ 2.1-2016）；</w:t>
      </w:r>
    </w:p>
    <w:p>
      <w:pPr>
        <w:spacing w:line="440" w:lineRule="atLeast"/>
        <w:ind w:firstLine="480" w:firstLineChars="200"/>
        <w:rPr>
          <w:rFonts w:ascii="Times New Roman" w:hAnsi="Times New Roman"/>
          <w:sz w:val="24"/>
          <w:szCs w:val="24"/>
        </w:rPr>
      </w:pPr>
      <w:r>
        <w:rPr>
          <w:rFonts w:ascii="Times New Roman" w:hAnsi="Times New Roman"/>
          <w:sz w:val="24"/>
          <w:szCs w:val="24"/>
        </w:rPr>
        <w:t>（2）《环境影响评价技术导则  大气环境》（HJ 2.2-2018）；</w:t>
      </w:r>
    </w:p>
    <w:p>
      <w:pPr>
        <w:spacing w:line="440" w:lineRule="atLeast"/>
        <w:ind w:firstLine="480" w:firstLineChars="200"/>
        <w:rPr>
          <w:rFonts w:ascii="Times New Roman" w:hAnsi="Times New Roman"/>
          <w:sz w:val="24"/>
          <w:szCs w:val="24"/>
        </w:rPr>
      </w:pPr>
      <w:r>
        <w:rPr>
          <w:rFonts w:ascii="Times New Roman" w:hAnsi="Times New Roman"/>
          <w:sz w:val="24"/>
          <w:szCs w:val="24"/>
        </w:rPr>
        <w:t>（3）《环境影响评价技术导则  地表水环境》（HJ/T 2.3-2018）；</w:t>
      </w:r>
    </w:p>
    <w:p>
      <w:pPr>
        <w:spacing w:line="440" w:lineRule="atLeast"/>
        <w:ind w:firstLine="480" w:firstLineChars="200"/>
        <w:rPr>
          <w:rFonts w:ascii="Times New Roman" w:hAnsi="Times New Roman"/>
          <w:sz w:val="24"/>
          <w:szCs w:val="24"/>
        </w:rPr>
      </w:pPr>
      <w:r>
        <w:rPr>
          <w:rFonts w:ascii="Times New Roman" w:hAnsi="Times New Roman"/>
          <w:sz w:val="24"/>
          <w:szCs w:val="24"/>
        </w:rPr>
        <w:t>（4）《环境影响评价技术导则  地下水环境》（HJ 610-2016）；</w:t>
      </w:r>
    </w:p>
    <w:p>
      <w:pPr>
        <w:spacing w:line="440" w:lineRule="atLeast"/>
        <w:ind w:firstLine="480" w:firstLineChars="200"/>
        <w:rPr>
          <w:rFonts w:ascii="Times New Roman" w:hAnsi="Times New Roman"/>
          <w:sz w:val="24"/>
          <w:szCs w:val="24"/>
        </w:rPr>
      </w:pPr>
      <w:r>
        <w:rPr>
          <w:rFonts w:ascii="Times New Roman" w:hAnsi="Times New Roman"/>
          <w:sz w:val="24"/>
          <w:szCs w:val="24"/>
        </w:rPr>
        <w:t>（5）《环境影响评价技术导则  声环境》（HJ 2.4-2009）；</w:t>
      </w:r>
    </w:p>
    <w:p>
      <w:pPr>
        <w:spacing w:line="440" w:lineRule="atLeast"/>
        <w:ind w:firstLine="480" w:firstLineChars="200"/>
        <w:rPr>
          <w:rFonts w:ascii="Times New Roman" w:hAnsi="Times New Roman"/>
          <w:sz w:val="24"/>
          <w:szCs w:val="24"/>
        </w:rPr>
      </w:pPr>
      <w:r>
        <w:rPr>
          <w:rFonts w:ascii="Times New Roman" w:hAnsi="Times New Roman"/>
          <w:sz w:val="24"/>
          <w:szCs w:val="24"/>
        </w:rPr>
        <w:t>（6）《环境影响评价技术导则  生态影响》（HJ 19-2011）；</w:t>
      </w:r>
    </w:p>
    <w:p>
      <w:pPr>
        <w:spacing w:line="440" w:lineRule="atLeast"/>
        <w:ind w:firstLine="480" w:firstLineChars="200"/>
        <w:rPr>
          <w:rFonts w:ascii="Times New Roman" w:hAnsi="Times New Roman"/>
          <w:sz w:val="24"/>
          <w:szCs w:val="24"/>
        </w:rPr>
      </w:pPr>
      <w:r>
        <w:rPr>
          <w:rFonts w:ascii="Times New Roman" w:hAnsi="Times New Roman"/>
          <w:sz w:val="24"/>
          <w:szCs w:val="24"/>
        </w:rPr>
        <w:t>（7）《环境空气质量标准》（GB 3095-2012）；</w:t>
      </w:r>
    </w:p>
    <w:p>
      <w:pPr>
        <w:spacing w:line="440" w:lineRule="exact"/>
        <w:ind w:firstLine="480" w:firstLineChars="200"/>
        <w:rPr>
          <w:rFonts w:ascii="Times New Roman" w:hAnsi="Times New Roman"/>
          <w:sz w:val="24"/>
          <w:szCs w:val="24"/>
        </w:rPr>
      </w:pPr>
      <w:r>
        <w:rPr>
          <w:rFonts w:hint="eastAsia" w:ascii="Times New Roman" w:hAnsi="Times New Roman"/>
          <w:sz w:val="24"/>
          <w:szCs w:val="24"/>
        </w:rPr>
        <w:t>（8）</w:t>
      </w:r>
      <w:r>
        <w:rPr>
          <w:rFonts w:ascii="Times New Roman" w:hAnsi="Times New Roman"/>
          <w:sz w:val="24"/>
          <w:szCs w:val="24"/>
        </w:rPr>
        <w:t>《声环境质量标准》（GB3096-2008）</w:t>
      </w:r>
      <w:r>
        <w:rPr>
          <w:rFonts w:hint="eastAsia" w:ascii="Times New Roman" w:hAnsi="Times New Roman"/>
          <w:sz w:val="24"/>
          <w:szCs w:val="24"/>
        </w:rPr>
        <w:t>；</w:t>
      </w:r>
    </w:p>
    <w:p>
      <w:pPr>
        <w:pStyle w:val="2"/>
        <w:spacing w:line="440" w:lineRule="exact"/>
        <w:ind w:firstLine="480"/>
        <w:rPr>
          <w:rFonts w:ascii="Times New Roman" w:hAnsi="Times New Roman"/>
        </w:rPr>
      </w:pPr>
      <w:r>
        <w:rPr>
          <w:rFonts w:ascii="Times New Roman" w:hAnsi="Times New Roman"/>
          <w:sz w:val="24"/>
        </w:rPr>
        <w:t>（</w:t>
      </w:r>
      <w:r>
        <w:rPr>
          <w:rFonts w:hint="eastAsia" w:ascii="Times New Roman" w:hAnsi="Times New Roman"/>
          <w:sz w:val="24"/>
        </w:rPr>
        <w:t>9</w:t>
      </w:r>
      <w:r>
        <w:rPr>
          <w:rFonts w:ascii="Times New Roman" w:hAnsi="Times New Roman"/>
          <w:sz w:val="24"/>
        </w:rPr>
        <w:t>）《</w:t>
      </w:r>
      <w:r>
        <w:rPr>
          <w:rFonts w:hint="eastAsia" w:ascii="Times New Roman" w:hAnsi="Times New Roman"/>
          <w:sz w:val="24"/>
        </w:rPr>
        <w:t>大气污染物综合排放</w:t>
      </w:r>
      <w:r>
        <w:rPr>
          <w:rFonts w:ascii="Times New Roman" w:hAnsi="Times New Roman"/>
          <w:sz w:val="24"/>
        </w:rPr>
        <w:t>标准》（</w:t>
      </w:r>
      <w:r>
        <w:rPr>
          <w:rFonts w:hint="eastAsia" w:ascii="Times New Roman" w:hAnsi="Times New Roman"/>
          <w:sz w:val="24"/>
        </w:rPr>
        <w:t>G</w:t>
      </w:r>
      <w:r>
        <w:rPr>
          <w:rFonts w:ascii="Times New Roman" w:hAnsi="Times New Roman"/>
          <w:sz w:val="24"/>
        </w:rPr>
        <w:t>B1</w:t>
      </w:r>
      <w:r>
        <w:rPr>
          <w:rFonts w:hint="eastAsia" w:ascii="Times New Roman" w:hAnsi="Times New Roman"/>
          <w:sz w:val="24"/>
        </w:rPr>
        <w:t>6297</w:t>
      </w:r>
      <w:r>
        <w:rPr>
          <w:rFonts w:ascii="Times New Roman" w:hAnsi="Times New Roman"/>
          <w:sz w:val="24"/>
        </w:rPr>
        <w:t>-</w:t>
      </w:r>
      <w:r>
        <w:rPr>
          <w:rFonts w:hint="eastAsia" w:ascii="Times New Roman" w:hAnsi="Times New Roman"/>
          <w:sz w:val="24"/>
        </w:rPr>
        <w:t>1996</w:t>
      </w:r>
      <w:r>
        <w:rPr>
          <w:rFonts w:ascii="Times New Roman" w:hAnsi="Times New Roman"/>
          <w:sz w:val="24"/>
        </w:rPr>
        <w:t>）</w:t>
      </w:r>
      <w:r>
        <w:rPr>
          <w:rFonts w:hint="eastAsia" w:ascii="Times New Roman" w:hAnsi="Times New Roman"/>
          <w:sz w:val="24"/>
        </w:rPr>
        <w:t>；</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0</w:t>
      </w:r>
      <w:r>
        <w:rPr>
          <w:rFonts w:ascii="Times New Roman" w:hAnsi="Times New Roman"/>
          <w:sz w:val="24"/>
          <w:szCs w:val="24"/>
        </w:rPr>
        <w:t>）《工业企业厂界环境噪声排放标准》（GB12348-2008）；</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1</w:t>
      </w:r>
      <w:r>
        <w:rPr>
          <w:rFonts w:ascii="Times New Roman" w:hAnsi="Times New Roman"/>
          <w:sz w:val="24"/>
          <w:szCs w:val="24"/>
        </w:rPr>
        <w:t>）《一般工业固体废物贮存、处置场污染控制标准》（GB18599-2001）</w:t>
      </w:r>
      <w:r>
        <w:rPr>
          <w:rFonts w:hint="eastAsia" w:ascii="Times New Roman" w:hAnsi="Times New Roman"/>
          <w:sz w:val="24"/>
          <w:szCs w:val="24"/>
        </w:rPr>
        <w:t>及修改单；</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2</w:t>
      </w:r>
      <w:r>
        <w:rPr>
          <w:rFonts w:ascii="Times New Roman" w:hAnsi="Times New Roman"/>
          <w:sz w:val="24"/>
          <w:szCs w:val="24"/>
        </w:rPr>
        <w:t>）《关于规范建设单位自主开展建设项目竣工环</w:t>
      </w:r>
      <w:r>
        <w:rPr>
          <w:rFonts w:ascii="Times New Roman" w:hAnsi="Times New Roman"/>
          <w:kern w:val="0"/>
          <w:sz w:val="24"/>
          <w:szCs w:val="24"/>
        </w:rPr>
        <w:t>境保护验收的通知》</w:t>
      </w:r>
      <w:r>
        <w:rPr>
          <w:rFonts w:ascii="Times New Roman" w:hAnsi="Times New Roman"/>
          <w:sz w:val="24"/>
          <w:szCs w:val="24"/>
        </w:rPr>
        <w:t>（环境保护部）</w:t>
      </w:r>
      <w:r>
        <w:rPr>
          <w:rFonts w:hint="eastAsia" w:ascii="Times New Roman" w:hAnsi="Times New Roman"/>
          <w:sz w:val="24"/>
          <w:szCs w:val="24"/>
        </w:rPr>
        <w:t>（2017年11月22日</w:t>
      </w:r>
      <w:r>
        <w:rPr>
          <w:rFonts w:ascii="Times New Roman" w:hAnsi="Times New Roman"/>
          <w:sz w:val="24"/>
          <w:szCs w:val="24"/>
        </w:rPr>
        <w:t>起施行</w:t>
      </w:r>
      <w:r>
        <w:rPr>
          <w:rFonts w:hint="eastAsia" w:ascii="Times New Roman" w:hAnsi="Times New Roman"/>
          <w:sz w:val="24"/>
          <w:szCs w:val="24"/>
        </w:rPr>
        <w:t>）；</w:t>
      </w:r>
    </w:p>
    <w:p>
      <w:pPr>
        <w:spacing w:line="48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3</w:t>
      </w:r>
      <w:r>
        <w:rPr>
          <w:rFonts w:ascii="Times New Roman" w:hAnsi="Times New Roman"/>
          <w:sz w:val="24"/>
          <w:szCs w:val="24"/>
        </w:rPr>
        <w:t>）《建设项目环境影响评价文件审批及建设单位自主开展环境保护设施验收工作指引（试行）》（河北省环境保护厅）</w:t>
      </w:r>
      <w:r>
        <w:rPr>
          <w:rFonts w:hint="eastAsia" w:ascii="Times New Roman" w:hAnsi="Times New Roman"/>
          <w:sz w:val="24"/>
          <w:szCs w:val="24"/>
        </w:rPr>
        <w:t>，冀环办字函[2017]727号，2017.11.23；</w:t>
      </w:r>
    </w:p>
    <w:p>
      <w:pPr>
        <w:spacing w:line="440" w:lineRule="atLeast"/>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sz w:val="24"/>
          <w:szCs w:val="24"/>
        </w:rPr>
        <w:t>4</w:t>
      </w:r>
      <w:r>
        <w:rPr>
          <w:rFonts w:ascii="Times New Roman" w:hAnsi="Times New Roman"/>
          <w:sz w:val="24"/>
          <w:szCs w:val="24"/>
        </w:rPr>
        <w:t>）《建设项目竣工环境保护验收技术指南 污染影响类》（生态</w:t>
      </w:r>
      <w:r>
        <w:rPr>
          <w:rFonts w:hint="eastAsia" w:ascii="Times New Roman" w:hAnsi="Times New Roman"/>
          <w:sz w:val="24"/>
          <w:szCs w:val="24"/>
        </w:rPr>
        <w:t>环境</w:t>
      </w:r>
      <w:r>
        <w:rPr>
          <w:rFonts w:ascii="Times New Roman" w:hAnsi="Times New Roman"/>
          <w:sz w:val="24"/>
          <w:szCs w:val="24"/>
        </w:rPr>
        <w:t>部）</w:t>
      </w:r>
      <w:r>
        <w:rPr>
          <w:rFonts w:hint="eastAsia" w:ascii="Times New Roman" w:hAnsi="Times New Roman"/>
          <w:sz w:val="24"/>
          <w:szCs w:val="24"/>
        </w:rPr>
        <w:t>，</w:t>
      </w:r>
      <w:r>
        <w:rPr>
          <w:rFonts w:ascii="Times New Roman" w:hAnsi="Times New Roman"/>
          <w:sz w:val="24"/>
          <w:szCs w:val="24"/>
        </w:rPr>
        <w:t>公告2018年第9号</w:t>
      </w:r>
      <w:r>
        <w:rPr>
          <w:rFonts w:hint="eastAsia" w:ascii="Times New Roman" w:hAnsi="Times New Roman"/>
          <w:sz w:val="24"/>
          <w:szCs w:val="24"/>
        </w:rPr>
        <w:t>，</w:t>
      </w:r>
      <w:r>
        <w:rPr>
          <w:rFonts w:ascii="Times New Roman" w:hAnsi="Times New Roman"/>
          <w:sz w:val="24"/>
          <w:szCs w:val="24"/>
        </w:rPr>
        <w:t>2018.05.1</w:t>
      </w:r>
      <w:r>
        <w:rPr>
          <w:rFonts w:hint="eastAsia" w:ascii="Times New Roman" w:hAnsi="Times New Roman"/>
          <w:sz w:val="24"/>
          <w:szCs w:val="24"/>
        </w:rPr>
        <w:t>6。</w:t>
      </w:r>
    </w:p>
    <w:p>
      <w:pPr>
        <w:pStyle w:val="6"/>
        <w:spacing w:before="156" w:beforeLines="50" w:line="360" w:lineRule="auto"/>
        <w:rPr>
          <w:rFonts w:ascii="Times New Roman" w:hAnsi="Times New Roman"/>
        </w:rPr>
      </w:pPr>
      <w:bookmarkStart w:id="19" w:name="_Toc31818"/>
      <w:bookmarkStart w:id="20" w:name="_Toc26393"/>
      <w:bookmarkStart w:id="21" w:name="_Toc25756"/>
      <w:bookmarkStart w:id="22" w:name="_Toc25083"/>
      <w:r>
        <w:rPr>
          <w:rFonts w:ascii="Times New Roman" w:hAnsi="Times New Roman"/>
        </w:rPr>
        <w:t>1.3 工程技术文件及批复文件</w:t>
      </w:r>
      <w:bookmarkEnd w:id="19"/>
      <w:bookmarkEnd w:id="20"/>
      <w:bookmarkEnd w:id="21"/>
      <w:bookmarkEnd w:id="22"/>
    </w:p>
    <w:p>
      <w:pPr>
        <w:spacing w:line="360" w:lineRule="auto"/>
        <w:ind w:firstLine="480" w:firstLineChars="200"/>
        <w:rPr>
          <w:rFonts w:ascii="Times New Roman" w:hAnsi="Times New Roman"/>
          <w:sz w:val="24"/>
          <w:szCs w:val="24"/>
        </w:rPr>
      </w:pPr>
      <w:r>
        <w:rPr>
          <w:rFonts w:ascii="Times New Roman" w:hAnsi="Times New Roman"/>
          <w:sz w:val="24"/>
          <w:szCs w:val="24"/>
        </w:rPr>
        <w:t>（1）</w:t>
      </w:r>
      <w:r>
        <w:rPr>
          <w:rFonts w:hint="eastAsia" w:ascii="Times New Roman" w:hAnsi="Times New Roman"/>
          <w:kern w:val="0"/>
          <w:sz w:val="24"/>
          <w:szCs w:val="24"/>
        </w:rPr>
        <w:t>《</w:t>
      </w:r>
      <w:r>
        <w:rPr>
          <w:rFonts w:hint="eastAsia" w:ascii="Times New Roman" w:hAnsi="Times New Roman"/>
          <w:sz w:val="24"/>
          <w:szCs w:val="24"/>
          <w:lang w:eastAsia="zh-CN"/>
        </w:rPr>
        <w:t>盐山县贵新管件厂三通生产项目</w:t>
      </w:r>
      <w:r>
        <w:rPr>
          <w:rFonts w:hint="eastAsia" w:ascii="Times New Roman" w:hAnsi="Times New Roman"/>
          <w:kern w:val="0"/>
          <w:sz w:val="24"/>
          <w:szCs w:val="24"/>
        </w:rPr>
        <w:t>环境影响报告表》</w:t>
      </w:r>
      <w:r>
        <w:rPr>
          <w:rFonts w:hint="eastAsia" w:ascii="Times New Roman" w:hAnsi="Times New Roman"/>
          <w:color w:val="000000"/>
          <w:sz w:val="24"/>
          <w:szCs w:val="24"/>
        </w:rPr>
        <w:t>（</w:t>
      </w:r>
      <w:r>
        <w:rPr>
          <w:rFonts w:hint="eastAsia" w:ascii="Times New Roman" w:hAnsi="Times New Roman"/>
          <w:color w:val="000000"/>
          <w:sz w:val="24"/>
          <w:szCs w:val="24"/>
          <w:lang w:val="en-US" w:eastAsia="zh-CN"/>
        </w:rPr>
        <w:t>湖北黄环环保科技有限公司</w:t>
      </w:r>
      <w:r>
        <w:rPr>
          <w:rFonts w:hint="eastAsia" w:ascii="Times New Roman" w:hAnsi="Times New Roman"/>
          <w:color w:val="000000"/>
          <w:sz w:val="24"/>
          <w:szCs w:val="24"/>
        </w:rPr>
        <w:t>，</w:t>
      </w:r>
      <w:r>
        <w:rPr>
          <w:rFonts w:ascii="Times New Roman" w:hAnsi="Times New Roman"/>
          <w:sz w:val="24"/>
          <w:szCs w:val="24"/>
        </w:rPr>
        <w:t>201</w:t>
      </w:r>
      <w:r>
        <w:rPr>
          <w:rFonts w:hint="eastAsia" w:ascii="Times New Roman" w:hAnsi="Times New Roman"/>
          <w:sz w:val="24"/>
          <w:szCs w:val="24"/>
        </w:rPr>
        <w:t>9</w:t>
      </w:r>
      <w:r>
        <w:rPr>
          <w:rFonts w:ascii="Times New Roman" w:hAnsi="Times New Roman"/>
          <w:sz w:val="24"/>
          <w:szCs w:val="24"/>
        </w:rPr>
        <w:t>年</w:t>
      </w:r>
      <w:r>
        <w:rPr>
          <w:rFonts w:hint="eastAsia" w:ascii="Times New Roman" w:hAnsi="Times New Roman"/>
          <w:sz w:val="24"/>
          <w:szCs w:val="24"/>
          <w:lang w:val="en-US" w:eastAsia="zh-CN"/>
        </w:rPr>
        <w:t>9</w:t>
      </w:r>
      <w:r>
        <w:rPr>
          <w:rFonts w:ascii="Times New Roman" w:hAnsi="Times New Roman"/>
          <w:sz w:val="24"/>
          <w:szCs w:val="24"/>
        </w:rPr>
        <w:t>月</w:t>
      </w:r>
      <w:r>
        <w:rPr>
          <w:rFonts w:hint="eastAsia" w:ascii="Times New Roman" w:hAnsi="Times New Roman"/>
          <w:color w:val="000000"/>
          <w:sz w:val="24"/>
          <w:szCs w:val="24"/>
        </w:rPr>
        <w:t>）</w:t>
      </w:r>
      <w:r>
        <w:rPr>
          <w:rFonts w:ascii="Times New Roman" w:hAnsi="Times New Roman"/>
          <w:sz w:val="24"/>
          <w:szCs w:val="24"/>
        </w:rPr>
        <w:t>；</w:t>
      </w:r>
    </w:p>
    <w:p>
      <w:pPr>
        <w:spacing w:line="360" w:lineRule="auto"/>
        <w:ind w:firstLine="480" w:firstLineChars="200"/>
        <w:rPr>
          <w:rFonts w:ascii="Times New Roman" w:hAnsi="Times New Roman"/>
          <w:sz w:val="24"/>
          <w:szCs w:val="24"/>
        </w:rPr>
      </w:pPr>
      <w:r>
        <w:rPr>
          <w:rFonts w:ascii="Times New Roman" w:hAnsi="Times New Roman"/>
          <w:sz w:val="24"/>
          <w:szCs w:val="24"/>
        </w:rPr>
        <w:t>（2）</w:t>
      </w:r>
      <w:r>
        <w:rPr>
          <w:rFonts w:hint="eastAsia" w:ascii="Times New Roman" w:hAnsi="Times New Roman"/>
          <w:sz w:val="24"/>
          <w:szCs w:val="24"/>
        </w:rPr>
        <w:t>沧州市生态环境局</w:t>
      </w:r>
      <w:r>
        <w:rPr>
          <w:rFonts w:hint="eastAsia" w:ascii="Times New Roman" w:hAnsi="Times New Roman"/>
          <w:sz w:val="24"/>
          <w:szCs w:val="24"/>
          <w:lang w:val="en-US" w:eastAsia="zh-CN"/>
        </w:rPr>
        <w:t>盐山</w:t>
      </w:r>
      <w:r>
        <w:rPr>
          <w:rFonts w:hint="eastAsia" w:ascii="Times New Roman" w:hAnsi="Times New Roman"/>
          <w:sz w:val="24"/>
          <w:szCs w:val="24"/>
        </w:rPr>
        <w:t>分局，</w:t>
      </w:r>
      <w:r>
        <w:rPr>
          <w:rFonts w:hint="eastAsia" w:ascii="Times New Roman" w:hAnsi="Times New Roman"/>
          <w:sz w:val="24"/>
          <w:szCs w:val="24"/>
          <w:lang w:val="en-US" w:eastAsia="zh-CN"/>
        </w:rPr>
        <w:t>盐环评</w:t>
      </w:r>
      <w:r>
        <w:rPr>
          <w:rFonts w:hint="eastAsia" w:ascii="Times New Roman" w:hAnsi="Times New Roman"/>
          <w:kern w:val="0"/>
          <w:sz w:val="24"/>
          <w:szCs w:val="24"/>
        </w:rPr>
        <w:t>[2019]</w:t>
      </w:r>
      <w:r>
        <w:rPr>
          <w:rFonts w:hint="eastAsia" w:ascii="Times New Roman" w:hAnsi="Times New Roman"/>
          <w:kern w:val="0"/>
          <w:sz w:val="24"/>
          <w:szCs w:val="24"/>
          <w:lang w:val="en-US" w:eastAsia="zh-CN"/>
        </w:rPr>
        <w:t>143</w:t>
      </w:r>
      <w:r>
        <w:rPr>
          <w:rFonts w:hint="eastAsia" w:ascii="Times New Roman" w:hAnsi="Times New Roman"/>
          <w:kern w:val="0"/>
          <w:sz w:val="24"/>
          <w:szCs w:val="24"/>
        </w:rPr>
        <w:t>号</w:t>
      </w:r>
      <w:r>
        <w:rPr>
          <w:rFonts w:hint="eastAsia" w:ascii="Times New Roman" w:hAnsi="Times New Roman"/>
          <w:sz w:val="24"/>
          <w:szCs w:val="24"/>
        </w:rPr>
        <w:t>，</w:t>
      </w:r>
      <w:r>
        <w:rPr>
          <w:rFonts w:ascii="Times New Roman" w:hAnsi="Times New Roman"/>
          <w:sz w:val="24"/>
          <w:szCs w:val="24"/>
        </w:rPr>
        <w:t>关于《</w:t>
      </w:r>
      <w:r>
        <w:rPr>
          <w:rFonts w:hint="eastAsia" w:ascii="Times New Roman" w:hAnsi="Times New Roman"/>
          <w:sz w:val="24"/>
          <w:szCs w:val="24"/>
          <w:lang w:eastAsia="zh-CN"/>
        </w:rPr>
        <w:t>盐山县贵新管件厂三通生产项目</w:t>
      </w:r>
      <w:r>
        <w:rPr>
          <w:rFonts w:ascii="Times New Roman" w:hAnsi="Times New Roman"/>
          <w:sz w:val="24"/>
          <w:szCs w:val="24"/>
        </w:rPr>
        <w:t>》的审批意见，</w:t>
      </w:r>
      <w:r>
        <w:rPr>
          <w:rFonts w:hint="eastAsia" w:ascii="Times New Roman" w:hAnsi="Times New Roman"/>
          <w:sz w:val="24"/>
          <w:szCs w:val="24"/>
        </w:rPr>
        <w:t>201</w:t>
      </w:r>
      <w:r>
        <w:rPr>
          <w:rFonts w:hint="eastAsia" w:ascii="Times New Roman" w:hAnsi="Times New Roman"/>
          <w:sz w:val="24"/>
          <w:szCs w:val="24"/>
          <w:lang w:val="en-US" w:eastAsia="zh-CN"/>
        </w:rPr>
        <w:t>1</w:t>
      </w:r>
      <w:r>
        <w:rPr>
          <w:rFonts w:ascii="Times New Roman" w:hAnsi="Times New Roman"/>
          <w:sz w:val="24"/>
          <w:szCs w:val="24"/>
        </w:rPr>
        <w:t>年</w:t>
      </w:r>
      <w:r>
        <w:rPr>
          <w:rFonts w:hint="eastAsia" w:ascii="Times New Roman" w:hAnsi="Times New Roman"/>
          <w:sz w:val="24"/>
          <w:szCs w:val="24"/>
          <w:lang w:val="en-US" w:eastAsia="zh-CN"/>
        </w:rPr>
        <w:t>11</w:t>
      </w:r>
      <w:r>
        <w:rPr>
          <w:rFonts w:ascii="Times New Roman" w:hAnsi="Times New Roman"/>
          <w:sz w:val="24"/>
          <w:szCs w:val="24"/>
        </w:rPr>
        <w:t>月</w:t>
      </w:r>
      <w:r>
        <w:rPr>
          <w:rFonts w:hint="eastAsia" w:ascii="Times New Roman" w:hAnsi="Times New Roman"/>
          <w:sz w:val="24"/>
          <w:szCs w:val="24"/>
          <w:lang w:val="en-US" w:eastAsia="zh-CN"/>
        </w:rPr>
        <w:t>1</w:t>
      </w:r>
      <w:r>
        <w:rPr>
          <w:rFonts w:ascii="Times New Roman" w:hAnsi="Times New Roman"/>
          <w:sz w:val="24"/>
          <w:szCs w:val="24"/>
        </w:rPr>
        <w:t>日。</w:t>
      </w:r>
    </w:p>
    <w:p>
      <w:pPr>
        <w:spacing w:line="360" w:lineRule="auto"/>
        <w:ind w:firstLine="480" w:firstLineChars="200"/>
        <w:rPr>
          <w:rFonts w:ascii="Times New Roman" w:hAnsi="Times New Roman"/>
          <w:color w:val="FF0000"/>
          <w:sz w:val="24"/>
          <w:szCs w:val="24"/>
        </w:rPr>
      </w:pPr>
      <w:r>
        <w:rPr>
          <w:rFonts w:ascii="Times New Roman" w:hAnsi="Times New Roman"/>
          <w:color w:val="auto"/>
          <w:sz w:val="24"/>
          <w:szCs w:val="24"/>
        </w:rPr>
        <w:t>（3）</w:t>
      </w:r>
      <w:r>
        <w:rPr>
          <w:rFonts w:hint="eastAsia" w:ascii="Times New Roman" w:hAnsi="Times New Roman"/>
          <w:color w:val="auto"/>
          <w:sz w:val="24"/>
          <w:szCs w:val="24"/>
          <w:lang w:eastAsia="zh-CN"/>
        </w:rPr>
        <w:t>盐山县贵新管件厂</w:t>
      </w:r>
      <w:r>
        <w:rPr>
          <w:rFonts w:ascii="Times New Roman" w:hAnsi="Times New Roman"/>
          <w:color w:val="auto"/>
          <w:sz w:val="24"/>
          <w:szCs w:val="24"/>
        </w:rPr>
        <w:t>验收监测报告</w:t>
      </w:r>
      <w:r>
        <w:rPr>
          <w:rFonts w:hint="eastAsia" w:ascii="Times New Roman" w:hAnsi="Times New Roman"/>
          <w:color w:val="auto"/>
          <w:sz w:val="24"/>
          <w:szCs w:val="24"/>
          <w:lang w:val="en-US" w:eastAsia="zh-CN"/>
        </w:rPr>
        <w:t>沐阳环检字第2020-04-067</w:t>
      </w:r>
      <w:r>
        <w:rPr>
          <w:rFonts w:ascii="Times New Roman" w:hAnsi="Times New Roman"/>
          <w:color w:val="auto"/>
          <w:sz w:val="24"/>
          <w:szCs w:val="24"/>
        </w:rPr>
        <w:t>；</w:t>
      </w:r>
    </w:p>
    <w:p>
      <w:pPr>
        <w:spacing w:line="360" w:lineRule="auto"/>
        <w:ind w:firstLine="480" w:firstLineChars="200"/>
        <w:rPr>
          <w:rFonts w:ascii="Times New Roman" w:hAnsi="Times New Roman"/>
          <w:sz w:val="24"/>
          <w:szCs w:val="24"/>
        </w:rPr>
        <w:sectPr>
          <w:pgSz w:w="11906" w:h="16838"/>
          <w:pgMar w:top="1440" w:right="1800" w:bottom="1440" w:left="1800" w:header="851" w:footer="992" w:gutter="0"/>
          <w:cols w:space="425" w:num="1"/>
          <w:docGrid w:type="lines" w:linePitch="312" w:charSpace="0"/>
        </w:sectPr>
      </w:pPr>
      <w:r>
        <w:rPr>
          <w:rFonts w:ascii="Times New Roman" w:hAnsi="Times New Roman"/>
          <w:sz w:val="24"/>
          <w:szCs w:val="24"/>
        </w:rPr>
        <w:t>（4）</w:t>
      </w:r>
      <w:r>
        <w:rPr>
          <w:rFonts w:hint="eastAsia" w:ascii="Times New Roman" w:hAnsi="Times New Roman"/>
          <w:sz w:val="24"/>
          <w:szCs w:val="24"/>
          <w:lang w:eastAsia="zh-CN"/>
        </w:rPr>
        <w:t>盐山县贵新管件厂</w:t>
      </w:r>
      <w:r>
        <w:rPr>
          <w:rFonts w:ascii="Times New Roman" w:hAnsi="Times New Roman"/>
          <w:sz w:val="24"/>
          <w:szCs w:val="24"/>
        </w:rPr>
        <w:t>提供的其它相关资料。</w:t>
      </w:r>
    </w:p>
    <w:p>
      <w:pPr>
        <w:pStyle w:val="5"/>
        <w:rPr>
          <w:rFonts w:ascii="Times New Roman" w:hAnsi="Times New Roman"/>
        </w:rPr>
      </w:pPr>
      <w:bookmarkStart w:id="23" w:name="_Toc20655"/>
      <w:bookmarkStart w:id="24" w:name="_Toc5367"/>
      <w:bookmarkStart w:id="25" w:name="_Toc26991"/>
      <w:bookmarkStart w:id="26" w:name="_Toc13007"/>
      <w:r>
        <w:rPr>
          <w:rFonts w:ascii="Times New Roman" w:hAnsi="Times New Roman"/>
        </w:rPr>
        <w:t>2 工程概况</w:t>
      </w:r>
      <w:bookmarkEnd w:id="23"/>
      <w:bookmarkEnd w:id="24"/>
      <w:bookmarkEnd w:id="25"/>
      <w:bookmarkEnd w:id="26"/>
    </w:p>
    <w:p>
      <w:pPr>
        <w:pStyle w:val="6"/>
        <w:rPr>
          <w:rFonts w:ascii="Times New Roman" w:hAnsi="Times New Roman"/>
        </w:rPr>
      </w:pPr>
      <w:bookmarkStart w:id="27" w:name="_Toc29334"/>
      <w:bookmarkStart w:id="28" w:name="_Toc4417"/>
      <w:bookmarkStart w:id="29" w:name="_Toc22753"/>
      <w:bookmarkStart w:id="30" w:name="_Toc11367"/>
      <w:r>
        <w:rPr>
          <w:rFonts w:ascii="Times New Roman" w:hAnsi="Times New Roman"/>
        </w:rPr>
        <w:t>2.1 项目基本情况</w:t>
      </w:r>
      <w:bookmarkEnd w:id="27"/>
      <w:bookmarkEnd w:id="28"/>
      <w:bookmarkEnd w:id="29"/>
      <w:bookmarkEnd w:id="30"/>
    </w:p>
    <w:p>
      <w:pPr>
        <w:pStyle w:val="7"/>
        <w:rPr>
          <w:rFonts w:ascii="Times New Roman" w:hAnsi="Times New Roman"/>
        </w:rPr>
      </w:pPr>
      <w:bookmarkStart w:id="31" w:name="_Toc1249"/>
      <w:bookmarkStart w:id="32" w:name="_Toc497001436"/>
      <w:bookmarkStart w:id="33" w:name="_Toc496979000"/>
      <w:bookmarkStart w:id="34" w:name="_Toc19257"/>
      <w:bookmarkStart w:id="35" w:name="_Toc1800"/>
      <w:bookmarkStart w:id="36" w:name="_Toc20380"/>
      <w:bookmarkStart w:id="37" w:name="_Hlk496952384"/>
      <w:r>
        <w:rPr>
          <w:rFonts w:ascii="Times New Roman" w:hAnsi="Times New Roman"/>
        </w:rPr>
        <w:t>2.1.1 基本情况</w:t>
      </w:r>
      <w:bookmarkEnd w:id="31"/>
      <w:bookmarkEnd w:id="32"/>
      <w:bookmarkEnd w:id="33"/>
      <w:bookmarkEnd w:id="34"/>
      <w:bookmarkEnd w:id="35"/>
      <w:bookmarkEnd w:id="36"/>
    </w:p>
    <w:bookmarkEnd w:id="37"/>
    <w:p>
      <w:pPr>
        <w:spacing w:line="440" w:lineRule="atLeast"/>
        <w:ind w:firstLine="480" w:firstLineChars="200"/>
        <w:rPr>
          <w:rFonts w:ascii="Times New Roman" w:hAnsi="Times New Roman"/>
          <w:sz w:val="24"/>
          <w:szCs w:val="24"/>
        </w:rPr>
      </w:pPr>
      <w:r>
        <w:rPr>
          <w:rFonts w:ascii="Times New Roman" w:hAnsi="Times New Roman"/>
          <w:sz w:val="24"/>
          <w:szCs w:val="24"/>
        </w:rPr>
        <w:t>项目基本情况介绍见下表2-1。</w:t>
      </w:r>
    </w:p>
    <w:p>
      <w:pPr>
        <w:spacing w:line="440" w:lineRule="atLeast"/>
        <w:ind w:firstLine="482" w:firstLineChars="200"/>
        <w:jc w:val="center"/>
        <w:rPr>
          <w:rFonts w:ascii="Times New Roman" w:hAnsi="Times New Roman"/>
          <w:b/>
          <w:sz w:val="24"/>
          <w:szCs w:val="24"/>
        </w:rPr>
      </w:pPr>
      <w:r>
        <w:rPr>
          <w:rFonts w:ascii="Times New Roman" w:hAnsi="Times New Roman"/>
          <w:b/>
          <w:sz w:val="24"/>
          <w:szCs w:val="24"/>
        </w:rPr>
        <w:t>表2-1  项目基本情况</w:t>
      </w:r>
    </w:p>
    <w:tbl>
      <w:tblPr>
        <w:tblStyle w:val="19"/>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ascii="Times New Roman" w:hAnsi="Times New Roman"/>
                <w:sz w:val="24"/>
                <w:szCs w:val="24"/>
              </w:rPr>
              <w:t>项目名称</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sz w:val="24"/>
                <w:szCs w:val="24"/>
                <w:lang w:eastAsia="zh-CN"/>
              </w:rPr>
            </w:pPr>
            <w:r>
              <w:rPr>
                <w:rFonts w:hint="eastAsia" w:ascii="Times New Roman" w:hAnsi="Times New Roman"/>
                <w:kern w:val="0"/>
                <w:sz w:val="24"/>
                <w:szCs w:val="24"/>
                <w:lang w:eastAsia="zh-CN"/>
              </w:rPr>
              <w:t>盐山县贵新管件厂三通生产项目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ascii="Times New Roman" w:hAnsi="Times New Roman"/>
                <w:sz w:val="24"/>
                <w:szCs w:val="24"/>
              </w:rPr>
              <w:t>建设单位</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sz w:val="24"/>
                <w:szCs w:val="24"/>
                <w:lang w:eastAsia="zh-CN"/>
              </w:rPr>
            </w:pPr>
            <w:r>
              <w:rPr>
                <w:rFonts w:hint="eastAsia" w:ascii="Times New Roman" w:hAnsi="Times New Roman"/>
                <w:kern w:val="0"/>
                <w:sz w:val="24"/>
                <w:szCs w:val="24"/>
                <w:lang w:eastAsia="zh-CN"/>
              </w:rPr>
              <w:t>盐山县贵新管件厂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ascii="Times New Roman" w:hAnsi="Times New Roman"/>
                <w:sz w:val="24"/>
                <w:szCs w:val="24"/>
              </w:rPr>
              <w:t>法人代表</w:t>
            </w:r>
          </w:p>
        </w:tc>
        <w:tc>
          <w:tcPr>
            <w:tcW w:w="1893" w:type="dxa"/>
            <w:tcMar>
              <w:top w:w="0" w:type="dxa"/>
              <w:left w:w="0" w:type="dxa"/>
              <w:bottom w:w="0" w:type="dxa"/>
              <w:right w:w="0" w:type="dxa"/>
            </w:tcMar>
            <w:vAlign w:val="center"/>
          </w:tcPr>
          <w:p>
            <w:pPr>
              <w:spacing w:line="440" w:lineRule="atLeast"/>
              <w:jc w:val="center"/>
              <w:rPr>
                <w:rFonts w:hint="eastAsia" w:ascii="Times New Roman" w:hAnsi="Times New Roman" w:eastAsia="宋体"/>
                <w:sz w:val="24"/>
                <w:szCs w:val="24"/>
                <w:lang w:eastAsia="zh-CN"/>
              </w:rPr>
            </w:pPr>
            <w:r>
              <w:rPr>
                <w:rFonts w:hint="eastAsia" w:ascii="Times New Roman" w:hAnsi="Times New Roman"/>
                <w:sz w:val="24"/>
                <w:szCs w:val="24"/>
                <w:lang w:val="en-US" w:eastAsia="zh-CN"/>
              </w:rPr>
              <w:t>张贵新</w:t>
            </w:r>
          </w:p>
        </w:tc>
        <w:tc>
          <w:tcPr>
            <w:tcW w:w="1538"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ascii="Times New Roman" w:hAnsi="Times New Roman"/>
                <w:sz w:val="24"/>
                <w:szCs w:val="24"/>
              </w:rPr>
              <w:t>联系人</w:t>
            </w:r>
          </w:p>
        </w:tc>
        <w:tc>
          <w:tcPr>
            <w:tcW w:w="3956" w:type="dxa"/>
            <w:gridSpan w:val="3"/>
            <w:tcMar>
              <w:top w:w="0" w:type="dxa"/>
              <w:left w:w="0" w:type="dxa"/>
              <w:bottom w:w="0" w:type="dxa"/>
              <w:right w:w="0" w:type="dxa"/>
            </w:tcMar>
            <w:vAlign w:val="center"/>
          </w:tcPr>
          <w:p>
            <w:pPr>
              <w:spacing w:line="440" w:lineRule="atLeast"/>
              <w:jc w:val="center"/>
              <w:rPr>
                <w:rFonts w:hint="eastAsia" w:ascii="Times New Roman" w:hAnsi="Times New Roman" w:eastAsia="宋体"/>
                <w:sz w:val="24"/>
                <w:szCs w:val="24"/>
                <w:lang w:eastAsia="zh-CN"/>
              </w:rPr>
            </w:pPr>
            <w:r>
              <w:rPr>
                <w:rFonts w:hint="eastAsia" w:ascii="Times New Roman" w:hAnsi="Times New Roman"/>
                <w:sz w:val="24"/>
                <w:szCs w:val="24"/>
                <w:lang w:val="en-US" w:eastAsia="zh-CN"/>
              </w:rPr>
              <w:t>张贵新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jc w:val="center"/>
              <w:rPr>
                <w:rFonts w:ascii="Times New Roman" w:hAnsi="Times New Roman"/>
                <w:sz w:val="24"/>
                <w:szCs w:val="24"/>
              </w:rPr>
            </w:pPr>
            <w:r>
              <w:rPr>
                <w:rFonts w:ascii="Times New Roman" w:hAnsi="Times New Roman"/>
                <w:sz w:val="24"/>
                <w:szCs w:val="24"/>
              </w:rPr>
              <w:t>通信地址</w:t>
            </w:r>
          </w:p>
        </w:tc>
        <w:tc>
          <w:tcPr>
            <w:tcW w:w="7387" w:type="dxa"/>
            <w:gridSpan w:val="5"/>
            <w:tcMar>
              <w:top w:w="0" w:type="dxa"/>
              <w:left w:w="0" w:type="dxa"/>
              <w:bottom w:w="0" w:type="dxa"/>
              <w:right w:w="0" w:type="dxa"/>
            </w:tcMar>
            <w:vAlign w:val="center"/>
          </w:tcPr>
          <w:p>
            <w:pPr>
              <w:jc w:val="center"/>
              <w:rPr>
                <w:rFonts w:hint="eastAsia" w:ascii="Times New Roman" w:hAnsi="Times New Roman" w:eastAsia="宋体"/>
                <w:sz w:val="24"/>
                <w:szCs w:val="24"/>
                <w:lang w:eastAsia="zh-CN"/>
              </w:rPr>
            </w:pPr>
            <w:r>
              <w:rPr>
                <w:rFonts w:hint="eastAsia" w:ascii="Times New Roman" w:hAnsi="Times New Roman"/>
                <w:sz w:val="24"/>
                <w:szCs w:val="24"/>
                <w:lang w:eastAsia="zh-CN"/>
              </w:rPr>
              <w:t>盐山县盐山镇沧乐线供销加油站斜对面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ascii="Times New Roman" w:hAnsi="Times New Roman"/>
                <w:sz w:val="24"/>
                <w:szCs w:val="24"/>
              </w:rPr>
              <w:t>联系电话</w:t>
            </w:r>
          </w:p>
        </w:tc>
        <w:tc>
          <w:tcPr>
            <w:tcW w:w="1893"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hint="eastAsia" w:ascii="Times New Roman" w:hAnsi="Times New Roman"/>
                <w:sz w:val="24"/>
                <w:szCs w:val="24"/>
              </w:rPr>
              <w:t>18931715111</w:t>
            </w:r>
          </w:p>
        </w:tc>
        <w:tc>
          <w:tcPr>
            <w:tcW w:w="1538" w:type="dxa"/>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ascii="Times New Roman" w:hAnsi="Times New Roman"/>
                <w:sz w:val="24"/>
                <w:szCs w:val="24"/>
              </w:rPr>
              <w:t>邮编</w:t>
            </w:r>
          </w:p>
        </w:tc>
        <w:tc>
          <w:tcPr>
            <w:tcW w:w="3956" w:type="dxa"/>
            <w:gridSpan w:val="3"/>
            <w:tcMar>
              <w:top w:w="0" w:type="dxa"/>
              <w:left w:w="0" w:type="dxa"/>
              <w:bottom w:w="0" w:type="dxa"/>
              <w:right w:w="0" w:type="dxa"/>
            </w:tcMar>
            <w:vAlign w:val="center"/>
          </w:tcPr>
          <w:p>
            <w:pPr>
              <w:spacing w:line="440" w:lineRule="atLeast"/>
              <w:jc w:val="center"/>
              <w:rPr>
                <w:rFonts w:ascii="Times New Roman" w:hAnsi="Times New Roman"/>
                <w:sz w:val="24"/>
                <w:szCs w:val="24"/>
              </w:rPr>
            </w:pPr>
            <w:r>
              <w:rPr>
                <w:rFonts w:hint="eastAsia" w:ascii="Times New Roman" w:hAnsi="Times New Roman"/>
                <w:sz w:val="24"/>
                <w:szCs w:val="24"/>
              </w:rPr>
              <w:t>061</w:t>
            </w:r>
            <w:r>
              <w:rPr>
                <w:rFonts w:hint="eastAsia" w:ascii="Times New Roman" w:hAnsi="Times New Roman"/>
                <w:sz w:val="24"/>
                <w:szCs w:val="24"/>
                <w:lang w:val="en-US" w:eastAsia="zh-CN"/>
              </w:rPr>
              <w:t>3</w:t>
            </w:r>
            <w:r>
              <w:rPr>
                <w:rFonts w:hint="eastAsia" w:ascii="Times New Roman" w:hAnsi="Times New Roman"/>
                <w:sz w:val="24"/>
                <w:szCs w:val="24"/>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000000"/>
                <w:sz w:val="24"/>
                <w:szCs w:val="24"/>
              </w:rPr>
            </w:pPr>
            <w:r>
              <w:rPr>
                <w:rFonts w:ascii="Times New Roman" w:hAnsi="Times New Roman"/>
                <w:color w:val="000000"/>
                <w:sz w:val="24"/>
                <w:szCs w:val="24"/>
              </w:rPr>
              <w:t>项目性质</w:t>
            </w:r>
          </w:p>
        </w:tc>
        <w:tc>
          <w:tcPr>
            <w:tcW w:w="1893" w:type="dxa"/>
            <w:tcMar>
              <w:top w:w="0" w:type="dxa"/>
              <w:left w:w="0" w:type="dxa"/>
              <w:bottom w:w="0" w:type="dxa"/>
              <w:right w:w="0" w:type="dxa"/>
            </w:tcMar>
            <w:vAlign w:val="center"/>
          </w:tcPr>
          <w:p>
            <w:pPr>
              <w:ind w:firstLine="120" w:firstLineChars="50"/>
              <w:jc w:val="center"/>
              <w:rPr>
                <w:rFonts w:ascii="Times New Roman" w:hAnsi="Times New Roman"/>
                <w:color w:val="000000"/>
                <w:sz w:val="24"/>
                <w:szCs w:val="24"/>
              </w:rPr>
            </w:pPr>
            <w:r>
              <w:rPr>
                <w:rFonts w:hint="eastAsia" w:ascii="Times New Roman" w:hAnsi="Times New Roman"/>
                <w:color w:val="000000"/>
                <w:sz w:val="24"/>
                <w:szCs w:val="24"/>
              </w:rPr>
              <w:t>新建</w:t>
            </w:r>
          </w:p>
        </w:tc>
        <w:tc>
          <w:tcPr>
            <w:tcW w:w="1538" w:type="dxa"/>
            <w:tcMar>
              <w:top w:w="0" w:type="dxa"/>
              <w:left w:w="0" w:type="dxa"/>
              <w:bottom w:w="0" w:type="dxa"/>
              <w:right w:w="0" w:type="dxa"/>
            </w:tcMar>
            <w:vAlign w:val="center"/>
          </w:tcPr>
          <w:p>
            <w:pPr>
              <w:jc w:val="center"/>
              <w:rPr>
                <w:rFonts w:ascii="Times New Roman" w:hAnsi="Times New Roman"/>
                <w:color w:val="000000"/>
                <w:sz w:val="24"/>
                <w:szCs w:val="24"/>
              </w:rPr>
            </w:pPr>
            <w:r>
              <w:rPr>
                <w:rFonts w:ascii="Times New Roman" w:hAnsi="Times New Roman"/>
                <w:color w:val="000000"/>
                <w:sz w:val="24"/>
                <w:szCs w:val="24"/>
              </w:rPr>
              <w:t>行业类别</w:t>
            </w:r>
          </w:p>
        </w:tc>
        <w:tc>
          <w:tcPr>
            <w:tcW w:w="3956" w:type="dxa"/>
            <w:gridSpan w:val="3"/>
            <w:tcMar>
              <w:top w:w="0" w:type="dxa"/>
              <w:left w:w="0" w:type="dxa"/>
              <w:bottom w:w="0" w:type="dxa"/>
              <w:right w:w="0" w:type="dxa"/>
            </w:tcMar>
            <w:vAlign w:val="center"/>
          </w:tcPr>
          <w:p>
            <w:pPr>
              <w:spacing w:line="260" w:lineRule="exact"/>
              <w:jc w:val="center"/>
              <w:rPr>
                <w:rFonts w:ascii="Times New Roman" w:hAnsi="Times New Roman"/>
                <w:color w:val="000000"/>
                <w:sz w:val="24"/>
                <w:szCs w:val="24"/>
              </w:rPr>
            </w:pPr>
            <w:r>
              <w:rPr>
                <w:rFonts w:hint="eastAsia"/>
                <w:sz w:val="24"/>
              </w:rPr>
              <w:t>C3399其他未列明金属制品制造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000000"/>
                <w:sz w:val="24"/>
                <w:szCs w:val="24"/>
              </w:rPr>
            </w:pPr>
            <w:r>
              <w:rPr>
                <w:rFonts w:ascii="Times New Roman" w:hAnsi="Times New Roman"/>
                <w:color w:val="000000"/>
                <w:sz w:val="24"/>
                <w:szCs w:val="24"/>
              </w:rPr>
              <w:t>总投资（万元）</w:t>
            </w:r>
          </w:p>
        </w:tc>
        <w:tc>
          <w:tcPr>
            <w:tcW w:w="1893" w:type="dxa"/>
            <w:tcMar>
              <w:top w:w="0" w:type="dxa"/>
              <w:left w:w="0" w:type="dxa"/>
              <w:bottom w:w="0" w:type="dxa"/>
              <w:right w:w="0" w:type="dxa"/>
            </w:tcMar>
            <w:vAlign w:val="center"/>
          </w:tcPr>
          <w:p>
            <w:pPr>
              <w:ind w:firstLine="120" w:firstLineChars="50"/>
              <w:jc w:val="center"/>
              <w:rPr>
                <w:rFonts w:hint="default" w:ascii="Times New Roman" w:hAnsi="Times New Roman" w:eastAsia="宋体"/>
                <w:color w:val="000000"/>
                <w:sz w:val="24"/>
                <w:szCs w:val="24"/>
                <w:lang w:val="en-US" w:eastAsia="zh-CN"/>
              </w:rPr>
            </w:pPr>
            <w:r>
              <w:rPr>
                <w:rFonts w:hint="eastAsia" w:ascii="Times New Roman" w:hAnsi="Times New Roman"/>
                <w:color w:val="000000"/>
                <w:sz w:val="24"/>
                <w:szCs w:val="24"/>
                <w:lang w:val="en-US" w:eastAsia="zh-CN"/>
              </w:rPr>
              <w:t>170</w:t>
            </w:r>
          </w:p>
        </w:tc>
        <w:tc>
          <w:tcPr>
            <w:tcW w:w="1538" w:type="dxa"/>
            <w:tcMar>
              <w:top w:w="0" w:type="dxa"/>
              <w:left w:w="0" w:type="dxa"/>
              <w:bottom w:w="0" w:type="dxa"/>
              <w:right w:w="0" w:type="dxa"/>
            </w:tcMar>
            <w:vAlign w:val="center"/>
          </w:tcPr>
          <w:p>
            <w:pPr>
              <w:jc w:val="center"/>
              <w:rPr>
                <w:rFonts w:ascii="Times New Roman" w:hAnsi="Times New Roman"/>
                <w:color w:val="000000"/>
                <w:sz w:val="24"/>
                <w:szCs w:val="24"/>
              </w:rPr>
            </w:pPr>
            <w:r>
              <w:rPr>
                <w:rFonts w:ascii="Times New Roman" w:hAnsi="Times New Roman"/>
                <w:color w:val="000000"/>
                <w:sz w:val="24"/>
                <w:szCs w:val="24"/>
              </w:rPr>
              <w:t>环保投资</w:t>
            </w:r>
          </w:p>
          <w:p>
            <w:pPr>
              <w:jc w:val="center"/>
              <w:rPr>
                <w:rFonts w:ascii="Times New Roman" w:hAnsi="Times New Roman"/>
                <w:color w:val="000000"/>
                <w:sz w:val="24"/>
                <w:szCs w:val="24"/>
              </w:rPr>
            </w:pPr>
            <w:r>
              <w:rPr>
                <w:rFonts w:ascii="Times New Roman" w:hAnsi="Times New Roman"/>
                <w:color w:val="000000"/>
                <w:sz w:val="24"/>
                <w:szCs w:val="24"/>
              </w:rPr>
              <w:t>（万元）</w:t>
            </w:r>
          </w:p>
        </w:tc>
        <w:tc>
          <w:tcPr>
            <w:tcW w:w="754" w:type="dxa"/>
            <w:tcMar>
              <w:top w:w="0" w:type="dxa"/>
              <w:left w:w="0" w:type="dxa"/>
              <w:bottom w:w="0" w:type="dxa"/>
              <w:right w:w="0" w:type="dxa"/>
            </w:tcMar>
            <w:vAlign w:val="center"/>
          </w:tcPr>
          <w:p>
            <w:pPr>
              <w:spacing w:line="260" w:lineRule="exact"/>
              <w:jc w:val="center"/>
              <w:rPr>
                <w:rFonts w:hint="eastAsia" w:ascii="Times New Roman" w:hAnsi="Times New Roman" w:eastAsia="宋体"/>
                <w:color w:val="000000"/>
                <w:sz w:val="24"/>
                <w:szCs w:val="24"/>
                <w:lang w:eastAsia="zh-CN"/>
              </w:rPr>
            </w:pPr>
            <w:r>
              <w:rPr>
                <w:rFonts w:hint="eastAsia" w:ascii="Times New Roman" w:hAnsi="Times New Roman"/>
                <w:color w:val="000000"/>
                <w:sz w:val="24"/>
                <w:szCs w:val="24"/>
                <w:lang w:val="en-US" w:eastAsia="zh-CN"/>
              </w:rPr>
              <w:t>5</w:t>
            </w:r>
          </w:p>
        </w:tc>
        <w:tc>
          <w:tcPr>
            <w:tcW w:w="1375" w:type="dxa"/>
            <w:tcMar>
              <w:top w:w="0" w:type="dxa"/>
              <w:left w:w="0" w:type="dxa"/>
              <w:bottom w:w="0" w:type="dxa"/>
              <w:right w:w="0" w:type="dxa"/>
            </w:tcMar>
            <w:vAlign w:val="center"/>
          </w:tcPr>
          <w:p>
            <w:pPr>
              <w:spacing w:line="260" w:lineRule="exact"/>
              <w:jc w:val="center"/>
              <w:rPr>
                <w:rFonts w:ascii="Times New Roman" w:hAnsi="Times New Roman"/>
                <w:color w:val="000000"/>
                <w:sz w:val="24"/>
                <w:szCs w:val="24"/>
              </w:rPr>
            </w:pPr>
            <w:r>
              <w:rPr>
                <w:rFonts w:ascii="Times New Roman" w:hAnsi="Times New Roman"/>
                <w:color w:val="000000"/>
                <w:sz w:val="24"/>
                <w:szCs w:val="24"/>
              </w:rPr>
              <w:t>环保投资占总投资比列（%）</w:t>
            </w:r>
          </w:p>
        </w:tc>
        <w:tc>
          <w:tcPr>
            <w:tcW w:w="1827" w:type="dxa"/>
            <w:tcMar>
              <w:top w:w="0" w:type="dxa"/>
              <w:left w:w="0" w:type="dxa"/>
              <w:bottom w:w="0" w:type="dxa"/>
              <w:right w:w="0" w:type="dxa"/>
            </w:tcMar>
            <w:vAlign w:val="center"/>
          </w:tcPr>
          <w:p>
            <w:pPr>
              <w:spacing w:line="260" w:lineRule="exact"/>
              <w:jc w:val="center"/>
              <w:rPr>
                <w:rFonts w:hint="default" w:ascii="Times New Roman" w:hAnsi="Times New Roman" w:eastAsia="宋体"/>
                <w:color w:val="000000"/>
                <w:sz w:val="24"/>
                <w:szCs w:val="24"/>
                <w:lang w:val="en-US" w:eastAsia="zh-CN"/>
              </w:rPr>
            </w:pPr>
            <w:r>
              <w:rPr>
                <w:rFonts w:hint="eastAsia" w:ascii="Times New Roman" w:hAnsi="Times New Roman"/>
                <w:color w:val="000000"/>
                <w:sz w:val="24"/>
                <w:szCs w:val="24"/>
                <w:lang w:val="en-US" w:eastAsia="zh-CN"/>
              </w:rPr>
              <w:t>2.94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ascii="Times New Roman" w:hAnsi="Times New Roman"/>
                <w:color w:val="000000"/>
                <w:sz w:val="24"/>
                <w:szCs w:val="24"/>
              </w:rPr>
            </w:pPr>
            <w:r>
              <w:rPr>
                <w:rFonts w:ascii="Times New Roman" w:hAnsi="Times New Roman"/>
                <w:color w:val="000000"/>
                <w:sz w:val="24"/>
                <w:szCs w:val="24"/>
              </w:rPr>
              <w:t>建设地点</w:t>
            </w:r>
          </w:p>
        </w:tc>
        <w:tc>
          <w:tcPr>
            <w:tcW w:w="7387" w:type="dxa"/>
            <w:gridSpan w:val="5"/>
            <w:tcMar>
              <w:top w:w="0" w:type="dxa"/>
              <w:left w:w="0" w:type="dxa"/>
              <w:bottom w:w="0" w:type="dxa"/>
              <w:right w:w="0" w:type="dxa"/>
            </w:tcMar>
            <w:vAlign w:val="center"/>
          </w:tcPr>
          <w:p>
            <w:pPr>
              <w:spacing w:line="390" w:lineRule="atLeast"/>
              <w:jc w:val="center"/>
              <w:rPr>
                <w:rFonts w:hint="eastAsia" w:ascii="Times New Roman" w:hAnsi="Times New Roman" w:eastAsia="宋体"/>
                <w:color w:val="000000"/>
                <w:sz w:val="24"/>
                <w:szCs w:val="24"/>
                <w:lang w:eastAsia="zh-CN"/>
              </w:rPr>
            </w:pPr>
            <w:r>
              <w:rPr>
                <w:rFonts w:hint="eastAsia" w:ascii="Times New Roman" w:hAnsi="Times New Roman"/>
                <w:kern w:val="0"/>
                <w:sz w:val="24"/>
                <w:szCs w:val="24"/>
                <w:lang w:eastAsia="zh-CN"/>
              </w:rPr>
              <w:t>盐山县盐山镇沧乐线供销加油站斜对面</w:t>
            </w:r>
          </w:p>
        </w:tc>
      </w:tr>
    </w:tbl>
    <w:p>
      <w:pPr>
        <w:pStyle w:val="7"/>
        <w:rPr>
          <w:rFonts w:ascii="Times New Roman" w:hAnsi="Times New Roman"/>
        </w:rPr>
      </w:pPr>
      <w:bookmarkStart w:id="38" w:name="_Toc497001437"/>
      <w:bookmarkStart w:id="39" w:name="_Toc5505"/>
      <w:bookmarkStart w:id="40" w:name="_Toc20144"/>
      <w:bookmarkStart w:id="41" w:name="_Toc17116"/>
      <w:bookmarkStart w:id="42" w:name="_Toc496979001"/>
      <w:bookmarkStart w:id="43" w:name="_Toc27686"/>
      <w:r>
        <w:rPr>
          <w:rFonts w:ascii="Times New Roman" w:hAnsi="Times New Roman"/>
        </w:rPr>
        <w:t>2.1.2 地理位置及周边情况</w:t>
      </w:r>
      <w:bookmarkEnd w:id="38"/>
      <w:bookmarkEnd w:id="39"/>
      <w:bookmarkEnd w:id="40"/>
      <w:bookmarkEnd w:id="41"/>
      <w:bookmarkEnd w:id="42"/>
      <w:bookmarkEnd w:id="43"/>
    </w:p>
    <w:p>
      <w:pPr>
        <w:pBdr>
          <w:bottom w:val="single" w:color="auto" w:sz="4" w:space="0"/>
        </w:pBdr>
        <w:spacing w:line="440" w:lineRule="atLeast"/>
        <w:ind w:firstLine="480" w:firstLineChars="200"/>
        <w:rPr>
          <w:rFonts w:hint="eastAsia" w:ascii="Times New Roman" w:hAnsi="宋体"/>
          <w:color w:val="000000"/>
          <w:kern w:val="0"/>
          <w:sz w:val="24"/>
          <w:szCs w:val="20"/>
          <w:u w:color="000000"/>
        </w:rPr>
      </w:pPr>
      <w:bookmarkStart w:id="44" w:name="_Toc8614"/>
      <w:bookmarkStart w:id="45" w:name="_Toc32226"/>
      <w:bookmarkStart w:id="46" w:name="_Toc29219"/>
      <w:bookmarkStart w:id="47" w:name="_Toc496979002"/>
      <w:bookmarkStart w:id="48" w:name="_Toc20079"/>
      <w:bookmarkStart w:id="49" w:name="_Toc497001438"/>
      <w:r>
        <w:rPr>
          <w:rFonts w:hint="eastAsia" w:ascii="Times New Roman" w:hAnsi="宋体"/>
          <w:color w:val="000000"/>
          <w:kern w:val="0"/>
          <w:sz w:val="24"/>
          <w:szCs w:val="20"/>
          <w:u w:color="000000"/>
        </w:rPr>
        <w:t>项目位于河北省沧州市</w:t>
      </w:r>
      <w:r>
        <w:rPr>
          <w:rFonts w:hint="eastAsia" w:ascii="Times New Roman" w:hAnsi="宋体"/>
          <w:color w:val="000000"/>
          <w:kern w:val="0"/>
          <w:sz w:val="24"/>
          <w:szCs w:val="20"/>
          <w:u w:color="000000"/>
          <w:lang w:eastAsia="zh-CN"/>
        </w:rPr>
        <w:t>盐山县盐山镇沧乐线供销加油站斜对面</w:t>
      </w:r>
      <w:r>
        <w:rPr>
          <w:rFonts w:hint="eastAsia" w:ascii="Times New Roman" w:hAnsi="宋体"/>
          <w:color w:val="000000"/>
          <w:kern w:val="0"/>
          <w:sz w:val="24"/>
          <w:szCs w:val="20"/>
          <w:u w:color="000000"/>
        </w:rPr>
        <w:t>，</w:t>
      </w:r>
      <w:r>
        <w:rPr>
          <w:rFonts w:hint="eastAsia" w:ascii="Times New Roman" w:hAnsi="宋体"/>
          <w:color w:val="000000"/>
          <w:kern w:val="0"/>
          <w:sz w:val="24"/>
          <w:szCs w:val="20"/>
          <w:u w:color="000000"/>
          <w:lang w:eastAsia="zh-CN"/>
        </w:rPr>
        <w:t>厂址中心坐标为东经</w:t>
      </w:r>
      <w:r>
        <w:rPr>
          <w:rFonts w:hint="default" w:ascii="Times New Roman" w:hAnsi="Times New Roman" w:cs="Times New Roman"/>
          <w:color w:val="000000"/>
          <w:kern w:val="0"/>
          <w:sz w:val="24"/>
          <w:szCs w:val="20"/>
          <w:u w:color="000000"/>
          <w:lang w:eastAsia="zh-CN"/>
        </w:rPr>
        <w:t>117°12′3.03′′，北纬38°4′5.57′′</w:t>
      </w:r>
      <w:r>
        <w:rPr>
          <w:rFonts w:hint="eastAsia" w:ascii="Times New Roman" w:hAnsi="宋体"/>
          <w:color w:val="000000"/>
          <w:kern w:val="0"/>
          <w:sz w:val="24"/>
          <w:szCs w:val="20"/>
          <w:u w:color="000000"/>
          <w:lang w:eastAsia="zh-CN"/>
        </w:rPr>
        <w:t>，项目西侧为厂房，北侧为厂房，南侧为S283，东侧为厂房</w:t>
      </w:r>
      <w:r>
        <w:rPr>
          <w:rFonts w:hint="eastAsia" w:ascii="Times New Roman" w:hAnsi="宋体"/>
          <w:color w:val="000000"/>
          <w:kern w:val="0"/>
          <w:sz w:val="24"/>
          <w:szCs w:val="20"/>
          <w:u w:color="000000"/>
        </w:rPr>
        <w:t>。项目四周围环境敏感点为</w:t>
      </w:r>
      <w:r>
        <w:rPr>
          <w:rFonts w:hint="eastAsia" w:ascii="Times New Roman" w:hAnsi="宋体"/>
          <w:color w:val="000000"/>
          <w:kern w:val="0"/>
          <w:sz w:val="24"/>
          <w:szCs w:val="20"/>
          <w:u w:color="000000"/>
          <w:lang w:eastAsia="zh-CN"/>
        </w:rPr>
        <w:t>西南侧220m的毛庄村</w:t>
      </w:r>
      <w:r>
        <w:rPr>
          <w:rFonts w:hint="eastAsia" w:ascii="Times New Roman" w:hAnsi="宋体"/>
          <w:color w:val="000000"/>
          <w:kern w:val="0"/>
          <w:sz w:val="24"/>
          <w:szCs w:val="20"/>
          <w:u w:color="000000"/>
        </w:rPr>
        <w:t>。项目地理位置见附图1，周边关系见附图2。</w:t>
      </w:r>
    </w:p>
    <w:p>
      <w:pPr>
        <w:spacing w:line="440" w:lineRule="atLeast"/>
        <w:ind w:firstLine="480" w:firstLineChars="200"/>
        <w:rPr>
          <w:rFonts w:ascii="Times New Roman" w:hAnsi="Times New Roman"/>
          <w:sz w:val="24"/>
          <w:szCs w:val="24"/>
        </w:rPr>
      </w:pPr>
      <w:r>
        <w:rPr>
          <w:rFonts w:ascii="Times New Roman" w:hAnsi="Times New Roman"/>
          <w:sz w:val="24"/>
          <w:szCs w:val="24"/>
        </w:rPr>
        <w:t>2.1.3 厂区平面布置</w:t>
      </w:r>
      <w:bookmarkEnd w:id="44"/>
      <w:bookmarkEnd w:id="45"/>
      <w:bookmarkEnd w:id="46"/>
      <w:bookmarkEnd w:id="47"/>
      <w:bookmarkEnd w:id="48"/>
      <w:bookmarkEnd w:id="49"/>
    </w:p>
    <w:p>
      <w:pPr>
        <w:spacing w:line="440" w:lineRule="atLeast"/>
        <w:ind w:firstLine="480" w:firstLineChars="200"/>
        <w:jc w:val="left"/>
        <w:rPr>
          <w:rFonts w:ascii="Times New Roman" w:hAnsi="Times New Roman"/>
          <w:sz w:val="24"/>
          <w:szCs w:val="24"/>
        </w:rPr>
      </w:pPr>
      <w:r>
        <w:rPr>
          <w:rFonts w:hint="eastAsia" w:ascii="Times New Roman" w:hAnsi="Times New Roman"/>
          <w:sz w:val="24"/>
        </w:rPr>
        <w:t>本项目在满足生产工艺流程的前提下，考虑运输、安全等各方面要求，按各种设施不同功能在生产车间内进行分区和组合，厂区布置合理，有利生产，方便管理，厂区具体平面布置见附图3。</w:t>
      </w:r>
    </w:p>
    <w:p>
      <w:pPr>
        <w:pStyle w:val="6"/>
        <w:spacing w:line="440" w:lineRule="atLeast"/>
        <w:rPr>
          <w:rFonts w:ascii="Times New Roman" w:hAnsi="Times New Roman"/>
        </w:rPr>
      </w:pPr>
      <w:bookmarkStart w:id="50" w:name="_Toc23037"/>
      <w:bookmarkStart w:id="51" w:name="_Toc27136"/>
      <w:bookmarkStart w:id="52" w:name="_Toc32048"/>
      <w:bookmarkStart w:id="53" w:name="_Toc23208"/>
      <w:r>
        <w:rPr>
          <w:rFonts w:ascii="Times New Roman" w:hAnsi="Times New Roman"/>
        </w:rPr>
        <w:t>2.2 建设内容</w:t>
      </w:r>
      <w:bookmarkEnd w:id="50"/>
      <w:bookmarkEnd w:id="51"/>
      <w:bookmarkEnd w:id="52"/>
      <w:bookmarkEnd w:id="53"/>
    </w:p>
    <w:p>
      <w:pPr>
        <w:pStyle w:val="7"/>
        <w:spacing w:line="440" w:lineRule="atLeast"/>
        <w:rPr>
          <w:rFonts w:ascii="Times New Roman" w:hAnsi="Times New Roman"/>
        </w:rPr>
      </w:pPr>
      <w:bookmarkStart w:id="54" w:name="_Toc27539"/>
      <w:bookmarkStart w:id="55" w:name="_Toc26634"/>
      <w:bookmarkStart w:id="56" w:name="_Toc30677"/>
      <w:bookmarkStart w:id="57" w:name="_Toc497001440"/>
      <w:bookmarkStart w:id="58" w:name="_Toc496979004"/>
      <w:bookmarkStart w:id="59" w:name="_Toc10787"/>
      <w:r>
        <w:rPr>
          <w:rFonts w:ascii="Times New Roman" w:hAnsi="Times New Roman"/>
        </w:rPr>
        <w:t>2.2.1 生产规模及产品方案</w:t>
      </w:r>
      <w:bookmarkEnd w:id="54"/>
      <w:bookmarkEnd w:id="55"/>
      <w:bookmarkEnd w:id="56"/>
      <w:bookmarkEnd w:id="57"/>
      <w:bookmarkEnd w:id="58"/>
      <w:bookmarkEnd w:id="59"/>
    </w:p>
    <w:p>
      <w:pPr>
        <w:pStyle w:val="7"/>
        <w:spacing w:before="156" w:beforeLines="50" w:line="360" w:lineRule="auto"/>
        <w:ind w:firstLine="480" w:firstLineChars="200"/>
        <w:rPr>
          <w:rFonts w:ascii="Times New Roman" w:hAnsi="Times New Roman"/>
        </w:rPr>
      </w:pPr>
      <w:bookmarkStart w:id="60" w:name="_Toc26443"/>
      <w:bookmarkStart w:id="61" w:name="_Toc9009"/>
      <w:bookmarkStart w:id="62" w:name="_Toc30045"/>
      <w:bookmarkStart w:id="63" w:name="_Toc25732"/>
      <w:bookmarkStart w:id="64" w:name="_Toc26138"/>
      <w:bookmarkStart w:id="65" w:name="_Toc26546"/>
      <w:r>
        <w:rPr>
          <w:rFonts w:ascii="Times New Roman" w:hAnsi="Times New Roman"/>
        </w:rPr>
        <w:t>本项目</w:t>
      </w:r>
      <w:bookmarkEnd w:id="60"/>
      <w:bookmarkStart w:id="66" w:name="_Toc496979005"/>
      <w:bookmarkStart w:id="67" w:name="_Toc497001441"/>
      <w:r>
        <w:rPr>
          <w:rFonts w:hint="eastAsia" w:ascii="Times New Roman" w:hAnsi="Times New Roman"/>
          <w:lang w:eastAsia="zh-CN"/>
        </w:rPr>
        <w:t>年产300吨弯头</w:t>
      </w:r>
      <w:r>
        <w:rPr>
          <w:rFonts w:hint="eastAsia" w:ascii="Times New Roman" w:hAnsi="Times New Roman"/>
        </w:rPr>
        <w:t>。</w:t>
      </w:r>
      <w:bookmarkEnd w:id="61"/>
      <w:bookmarkEnd w:id="62"/>
      <w:bookmarkEnd w:id="63"/>
      <w:bookmarkEnd w:id="64"/>
      <w:bookmarkEnd w:id="65"/>
    </w:p>
    <w:p>
      <w:pPr>
        <w:rPr>
          <w:rFonts w:ascii="Times New Roman" w:hAnsi="Times New Roman"/>
          <w:sz w:val="24"/>
          <w:szCs w:val="24"/>
        </w:rPr>
      </w:pPr>
      <w:bookmarkStart w:id="68" w:name="_Toc21731"/>
      <w:bookmarkStart w:id="69" w:name="_Toc20908"/>
      <w:bookmarkStart w:id="70" w:name="_Toc23799"/>
      <w:bookmarkStart w:id="71" w:name="_Toc13472"/>
      <w:r>
        <w:rPr>
          <w:rFonts w:ascii="Times New Roman" w:hAnsi="Times New Roman"/>
          <w:sz w:val="24"/>
          <w:szCs w:val="24"/>
        </w:rPr>
        <w:t>2.2.2 主要原辅材料</w:t>
      </w:r>
      <w:bookmarkEnd w:id="66"/>
      <w:bookmarkEnd w:id="67"/>
      <w:bookmarkEnd w:id="68"/>
      <w:bookmarkEnd w:id="69"/>
      <w:bookmarkEnd w:id="70"/>
      <w:bookmarkEnd w:id="71"/>
    </w:p>
    <w:p>
      <w:pPr>
        <w:spacing w:line="440" w:lineRule="atLeast"/>
        <w:ind w:firstLine="480"/>
        <w:rPr>
          <w:rFonts w:ascii="Times New Roman" w:hAnsi="Times New Roman"/>
          <w:sz w:val="24"/>
          <w:szCs w:val="24"/>
        </w:rPr>
      </w:pPr>
      <w:r>
        <w:rPr>
          <w:rFonts w:ascii="Times New Roman" w:hAnsi="Times New Roman"/>
          <w:sz w:val="24"/>
          <w:szCs w:val="24"/>
        </w:rPr>
        <w:t>原辅材料及能源消耗表见表2-2。</w:t>
      </w:r>
    </w:p>
    <w:p>
      <w:pPr>
        <w:adjustRightInd w:val="0"/>
        <w:snapToGrid w:val="0"/>
        <w:spacing w:line="480" w:lineRule="atLeast"/>
        <w:jc w:val="center"/>
        <w:rPr>
          <w:rFonts w:ascii="Times New Roman" w:hAnsi="Times New Roman"/>
          <w:b/>
          <w:sz w:val="24"/>
          <w:szCs w:val="24"/>
        </w:rPr>
      </w:pPr>
      <w:r>
        <w:rPr>
          <w:rFonts w:ascii="Times New Roman" w:hAnsi="Times New Roman"/>
          <w:b/>
          <w:sz w:val="24"/>
          <w:szCs w:val="24"/>
        </w:rPr>
        <w:t>表2-2  原辅材料及能源消耗表</w:t>
      </w:r>
    </w:p>
    <w:tbl>
      <w:tblPr>
        <w:tblStyle w:val="19"/>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448"/>
        <w:gridCol w:w="1238"/>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widowControl/>
              <w:jc w:val="center"/>
              <w:rPr>
                <w:rFonts w:ascii="Times New Roman" w:hAnsi="Times New Roman"/>
                <w:b/>
                <w:bCs/>
                <w:kern w:val="0"/>
                <w:szCs w:val="21"/>
              </w:rPr>
            </w:pPr>
            <w:bookmarkStart w:id="72" w:name="_Toc497001442"/>
            <w:bookmarkStart w:id="73" w:name="_Toc2160"/>
            <w:bookmarkStart w:id="74" w:name="_Toc5968"/>
            <w:bookmarkStart w:id="75" w:name="_Toc4853"/>
            <w:bookmarkStart w:id="76" w:name="_Toc26045"/>
            <w:bookmarkStart w:id="77" w:name="_Toc496979006"/>
            <w:r>
              <w:rPr>
                <w:rFonts w:ascii="Times New Roman" w:hAnsi="Times New Roman"/>
                <w:b/>
                <w:bCs/>
                <w:kern w:val="0"/>
                <w:szCs w:val="21"/>
              </w:rPr>
              <w:t>序号</w:t>
            </w:r>
          </w:p>
        </w:tc>
        <w:tc>
          <w:tcPr>
            <w:tcW w:w="2448" w:type="dxa"/>
            <w:tcBorders>
              <w:tl2br w:val="nil"/>
              <w:tr2bl w:val="nil"/>
            </w:tcBorders>
            <w:vAlign w:val="center"/>
          </w:tcPr>
          <w:p>
            <w:pPr>
              <w:widowControl/>
              <w:jc w:val="center"/>
              <w:rPr>
                <w:rFonts w:ascii="Times New Roman" w:hAnsi="Times New Roman"/>
                <w:b/>
                <w:bCs/>
                <w:kern w:val="0"/>
                <w:szCs w:val="21"/>
              </w:rPr>
            </w:pPr>
            <w:r>
              <w:rPr>
                <w:rFonts w:ascii="Times New Roman" w:hAnsi="Times New Roman"/>
                <w:b/>
                <w:bCs/>
                <w:kern w:val="0"/>
                <w:szCs w:val="21"/>
              </w:rPr>
              <w:t>名称</w:t>
            </w:r>
          </w:p>
        </w:tc>
        <w:tc>
          <w:tcPr>
            <w:tcW w:w="1238" w:type="dxa"/>
            <w:tcBorders>
              <w:tl2br w:val="nil"/>
              <w:tr2bl w:val="nil"/>
            </w:tcBorders>
            <w:vAlign w:val="center"/>
          </w:tcPr>
          <w:p>
            <w:pPr>
              <w:widowControl/>
              <w:jc w:val="center"/>
              <w:rPr>
                <w:rFonts w:ascii="Times New Roman" w:hAnsi="Times New Roman"/>
                <w:b/>
                <w:bCs/>
                <w:kern w:val="0"/>
                <w:szCs w:val="21"/>
              </w:rPr>
            </w:pPr>
            <w:r>
              <w:rPr>
                <w:rFonts w:ascii="Times New Roman" w:hAnsi="Times New Roman"/>
                <w:b/>
                <w:bCs/>
                <w:kern w:val="0"/>
                <w:szCs w:val="21"/>
              </w:rPr>
              <w:t>单位</w:t>
            </w:r>
          </w:p>
        </w:tc>
        <w:tc>
          <w:tcPr>
            <w:tcW w:w="1881" w:type="dxa"/>
            <w:tcBorders>
              <w:tl2br w:val="nil"/>
              <w:tr2bl w:val="nil"/>
            </w:tcBorders>
            <w:vAlign w:val="center"/>
          </w:tcPr>
          <w:p>
            <w:pPr>
              <w:widowControl/>
              <w:jc w:val="center"/>
              <w:rPr>
                <w:rFonts w:ascii="Times New Roman" w:hAnsi="Times New Roman"/>
                <w:b/>
                <w:bCs/>
                <w:kern w:val="0"/>
                <w:szCs w:val="21"/>
              </w:rPr>
            </w:pPr>
            <w:r>
              <w:rPr>
                <w:rFonts w:hint="eastAsia" w:ascii="Times New Roman" w:hAnsi="Times New Roman"/>
                <w:b/>
                <w:bCs/>
                <w:kern w:val="0"/>
                <w:szCs w:val="21"/>
              </w:rPr>
              <w:t>环评年</w:t>
            </w:r>
            <w:r>
              <w:rPr>
                <w:rFonts w:ascii="Times New Roman" w:hAnsi="Times New Roman"/>
                <w:b/>
                <w:bCs/>
                <w:kern w:val="0"/>
                <w:szCs w:val="21"/>
              </w:rPr>
              <w:t>消耗量</w:t>
            </w:r>
          </w:p>
        </w:tc>
        <w:tc>
          <w:tcPr>
            <w:tcW w:w="1871" w:type="dxa"/>
            <w:tcBorders>
              <w:tl2br w:val="nil"/>
              <w:tr2bl w:val="nil"/>
            </w:tcBorders>
            <w:vAlign w:val="center"/>
          </w:tcPr>
          <w:p>
            <w:pPr>
              <w:widowControl/>
              <w:jc w:val="center"/>
              <w:rPr>
                <w:rFonts w:ascii="Times New Roman" w:hAnsi="Times New Roman"/>
                <w:b/>
                <w:bCs/>
                <w:kern w:val="0"/>
                <w:szCs w:val="21"/>
              </w:rPr>
            </w:pPr>
            <w:r>
              <w:rPr>
                <w:rFonts w:hint="eastAsia" w:ascii="Times New Roman" w:hAnsi="Times New Roman"/>
                <w:b/>
                <w:bCs/>
                <w:kern w:val="0"/>
                <w:szCs w:val="21"/>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szCs w:val="21"/>
              </w:rPr>
              <w:t>1</w:t>
            </w:r>
          </w:p>
        </w:tc>
        <w:tc>
          <w:tcPr>
            <w:tcW w:w="2448" w:type="dxa"/>
            <w:tcBorders>
              <w:tl2br w:val="nil"/>
              <w:tr2bl w:val="nil"/>
            </w:tcBorders>
            <w:vAlign w:val="center"/>
          </w:tcPr>
          <w:p>
            <w:pPr>
              <w:jc w:val="center"/>
              <w:rPr>
                <w:rFonts w:ascii="Times New Roman" w:hAnsi="Times New Roman"/>
                <w:kern w:val="0"/>
                <w:szCs w:val="21"/>
              </w:rPr>
            </w:pPr>
            <w:r>
              <w:rPr>
                <w:rFonts w:hint="eastAsia"/>
                <w:szCs w:val="21"/>
              </w:rPr>
              <w:t>钢板</w:t>
            </w:r>
          </w:p>
        </w:tc>
        <w:tc>
          <w:tcPr>
            <w:tcW w:w="1238" w:type="dxa"/>
            <w:tcBorders>
              <w:tl2br w:val="nil"/>
              <w:tr2bl w:val="nil"/>
            </w:tcBorders>
            <w:vAlign w:val="center"/>
          </w:tcPr>
          <w:p>
            <w:pPr>
              <w:jc w:val="center"/>
              <w:rPr>
                <w:rFonts w:ascii="Times New Roman" w:hAnsi="Times New Roman"/>
                <w:kern w:val="0"/>
                <w:szCs w:val="21"/>
              </w:rPr>
            </w:pPr>
            <w:r>
              <w:rPr>
                <w:szCs w:val="21"/>
              </w:rPr>
              <w:t>t/a</w:t>
            </w:r>
          </w:p>
        </w:tc>
        <w:tc>
          <w:tcPr>
            <w:tcW w:w="1881" w:type="dxa"/>
            <w:tcBorders>
              <w:tl2br w:val="nil"/>
              <w:tr2bl w:val="nil"/>
            </w:tcBorders>
            <w:vAlign w:val="center"/>
          </w:tcPr>
          <w:p>
            <w:pPr>
              <w:jc w:val="center"/>
              <w:rPr>
                <w:rFonts w:ascii="Times New Roman" w:hAnsi="Times New Roman"/>
                <w:kern w:val="0"/>
                <w:szCs w:val="21"/>
              </w:rPr>
            </w:pPr>
            <w:r>
              <w:rPr>
                <w:rFonts w:hint="eastAsia"/>
                <w:szCs w:val="21"/>
              </w:rPr>
              <w:t>150</w:t>
            </w:r>
          </w:p>
        </w:tc>
        <w:tc>
          <w:tcPr>
            <w:tcW w:w="1871" w:type="dxa"/>
            <w:tcBorders>
              <w:tl2br w:val="nil"/>
              <w:tr2bl w:val="nil"/>
            </w:tcBorders>
            <w:vAlign w:val="center"/>
          </w:tcPr>
          <w:p>
            <w:pPr>
              <w:adjustRightInd w:val="0"/>
              <w:snapToGrid w:val="0"/>
              <w:spacing w:line="40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rFonts w:hint="eastAsia"/>
                <w:szCs w:val="21"/>
              </w:rPr>
              <w:t>2</w:t>
            </w:r>
          </w:p>
        </w:tc>
        <w:tc>
          <w:tcPr>
            <w:tcW w:w="2448" w:type="dxa"/>
            <w:tcBorders>
              <w:tl2br w:val="nil"/>
              <w:tr2bl w:val="nil"/>
            </w:tcBorders>
            <w:vAlign w:val="center"/>
          </w:tcPr>
          <w:p>
            <w:pPr>
              <w:jc w:val="center"/>
              <w:rPr>
                <w:rFonts w:ascii="Times New Roman" w:hAnsi="Times New Roman"/>
                <w:kern w:val="0"/>
                <w:szCs w:val="21"/>
              </w:rPr>
            </w:pPr>
            <w:r>
              <w:rPr>
                <w:rFonts w:hint="eastAsia"/>
                <w:szCs w:val="21"/>
              </w:rPr>
              <w:t>喷砂钢丸</w:t>
            </w:r>
          </w:p>
        </w:tc>
        <w:tc>
          <w:tcPr>
            <w:tcW w:w="1238" w:type="dxa"/>
            <w:tcBorders>
              <w:tl2br w:val="nil"/>
              <w:tr2bl w:val="nil"/>
            </w:tcBorders>
            <w:vAlign w:val="center"/>
          </w:tcPr>
          <w:p>
            <w:pPr>
              <w:jc w:val="center"/>
              <w:rPr>
                <w:rFonts w:ascii="Times New Roman" w:hAnsi="Times New Roman"/>
                <w:kern w:val="0"/>
                <w:szCs w:val="21"/>
              </w:rPr>
            </w:pPr>
            <w:r>
              <w:rPr>
                <w:rFonts w:hint="eastAsia"/>
                <w:szCs w:val="21"/>
              </w:rPr>
              <w:t>t/a</w:t>
            </w:r>
          </w:p>
        </w:tc>
        <w:tc>
          <w:tcPr>
            <w:tcW w:w="1881" w:type="dxa"/>
            <w:tcBorders>
              <w:tl2br w:val="nil"/>
              <w:tr2bl w:val="nil"/>
            </w:tcBorders>
            <w:vAlign w:val="center"/>
          </w:tcPr>
          <w:p>
            <w:pPr>
              <w:jc w:val="center"/>
              <w:rPr>
                <w:rFonts w:ascii="Times New Roman" w:hAnsi="Times New Roman"/>
                <w:kern w:val="0"/>
                <w:szCs w:val="21"/>
              </w:rPr>
            </w:pPr>
            <w:r>
              <w:rPr>
                <w:rFonts w:hint="eastAsia"/>
                <w:szCs w:val="21"/>
              </w:rPr>
              <w:t>1</w:t>
            </w:r>
          </w:p>
        </w:tc>
        <w:tc>
          <w:tcPr>
            <w:tcW w:w="1871" w:type="dxa"/>
            <w:tcBorders>
              <w:tl2br w:val="nil"/>
              <w:tr2bl w:val="nil"/>
            </w:tcBorders>
            <w:vAlign w:val="center"/>
          </w:tcPr>
          <w:p>
            <w:pPr>
              <w:adjustRightInd w:val="0"/>
              <w:snapToGrid w:val="0"/>
              <w:spacing w:line="40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rFonts w:hint="eastAsia"/>
                <w:szCs w:val="21"/>
              </w:rPr>
              <w:t>3</w:t>
            </w:r>
          </w:p>
        </w:tc>
        <w:tc>
          <w:tcPr>
            <w:tcW w:w="2448" w:type="dxa"/>
            <w:tcBorders>
              <w:tl2br w:val="nil"/>
              <w:tr2bl w:val="nil"/>
            </w:tcBorders>
            <w:vAlign w:val="center"/>
          </w:tcPr>
          <w:p>
            <w:pPr>
              <w:jc w:val="center"/>
              <w:rPr>
                <w:rFonts w:ascii="Times New Roman" w:hAnsi="Times New Roman"/>
                <w:kern w:val="0"/>
                <w:szCs w:val="21"/>
              </w:rPr>
            </w:pPr>
            <w:r>
              <w:rPr>
                <w:rFonts w:hint="eastAsia"/>
                <w:szCs w:val="21"/>
              </w:rPr>
              <w:t>玻璃砂</w:t>
            </w:r>
          </w:p>
        </w:tc>
        <w:tc>
          <w:tcPr>
            <w:tcW w:w="1238" w:type="dxa"/>
            <w:tcBorders>
              <w:tl2br w:val="nil"/>
              <w:tr2bl w:val="nil"/>
            </w:tcBorders>
            <w:vAlign w:val="center"/>
          </w:tcPr>
          <w:p>
            <w:pPr>
              <w:jc w:val="center"/>
              <w:rPr>
                <w:rFonts w:ascii="Times New Roman" w:hAnsi="Times New Roman"/>
                <w:kern w:val="0"/>
                <w:szCs w:val="21"/>
              </w:rPr>
            </w:pPr>
            <w:r>
              <w:rPr>
                <w:rFonts w:hint="eastAsia"/>
                <w:szCs w:val="21"/>
              </w:rPr>
              <w:t>t/a</w:t>
            </w:r>
          </w:p>
        </w:tc>
        <w:tc>
          <w:tcPr>
            <w:tcW w:w="1881" w:type="dxa"/>
            <w:tcBorders>
              <w:tl2br w:val="nil"/>
              <w:tr2bl w:val="nil"/>
            </w:tcBorders>
            <w:vAlign w:val="center"/>
          </w:tcPr>
          <w:p>
            <w:pPr>
              <w:jc w:val="center"/>
              <w:rPr>
                <w:rFonts w:ascii="Times New Roman" w:hAnsi="Times New Roman"/>
                <w:kern w:val="0"/>
                <w:szCs w:val="21"/>
              </w:rPr>
            </w:pPr>
            <w:r>
              <w:rPr>
                <w:rFonts w:hint="eastAsia"/>
                <w:szCs w:val="21"/>
              </w:rPr>
              <w:t>0.1</w:t>
            </w:r>
          </w:p>
        </w:tc>
        <w:tc>
          <w:tcPr>
            <w:tcW w:w="1871" w:type="dxa"/>
            <w:tcBorders>
              <w:tl2br w:val="nil"/>
              <w:tr2bl w:val="nil"/>
            </w:tcBorders>
            <w:vAlign w:val="center"/>
          </w:tcPr>
          <w:p>
            <w:pPr>
              <w:adjustRightInd w:val="0"/>
              <w:snapToGrid w:val="0"/>
              <w:spacing w:line="40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rFonts w:hint="eastAsia"/>
                <w:szCs w:val="21"/>
              </w:rPr>
              <w:t>4</w:t>
            </w:r>
          </w:p>
        </w:tc>
        <w:tc>
          <w:tcPr>
            <w:tcW w:w="2448" w:type="dxa"/>
            <w:tcBorders>
              <w:tl2br w:val="nil"/>
              <w:tr2bl w:val="nil"/>
            </w:tcBorders>
            <w:vAlign w:val="center"/>
          </w:tcPr>
          <w:p>
            <w:pPr>
              <w:jc w:val="center"/>
              <w:rPr>
                <w:color w:val="auto"/>
                <w:szCs w:val="21"/>
              </w:rPr>
            </w:pPr>
            <w:r>
              <w:rPr>
                <w:rFonts w:hint="eastAsia"/>
                <w:szCs w:val="21"/>
              </w:rPr>
              <w:t>焊条</w:t>
            </w:r>
          </w:p>
        </w:tc>
        <w:tc>
          <w:tcPr>
            <w:tcW w:w="1238" w:type="dxa"/>
            <w:tcBorders>
              <w:tl2br w:val="nil"/>
              <w:tr2bl w:val="nil"/>
            </w:tcBorders>
            <w:vAlign w:val="center"/>
          </w:tcPr>
          <w:p>
            <w:pPr>
              <w:jc w:val="center"/>
              <w:rPr>
                <w:color w:val="auto"/>
              </w:rPr>
            </w:pPr>
            <w:r>
              <w:rPr>
                <w:rFonts w:hint="eastAsia"/>
                <w:szCs w:val="21"/>
              </w:rPr>
              <w:t>t/a</w:t>
            </w:r>
          </w:p>
        </w:tc>
        <w:tc>
          <w:tcPr>
            <w:tcW w:w="1881" w:type="dxa"/>
            <w:tcBorders>
              <w:tl2br w:val="nil"/>
              <w:tr2bl w:val="nil"/>
            </w:tcBorders>
            <w:vAlign w:val="center"/>
          </w:tcPr>
          <w:p>
            <w:pPr>
              <w:jc w:val="center"/>
              <w:rPr>
                <w:color w:val="auto"/>
                <w:szCs w:val="21"/>
              </w:rPr>
            </w:pPr>
            <w:r>
              <w:rPr>
                <w:rFonts w:hint="eastAsia"/>
                <w:szCs w:val="21"/>
              </w:rPr>
              <w:t>0.1</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kern w:val="0"/>
                <w:sz w:val="21"/>
                <w:szCs w:val="21"/>
                <w:lang w:val="en-US" w:eastAsia="zh-CN" w:bidi="ar-SA"/>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rFonts w:hint="eastAsia"/>
                <w:szCs w:val="21"/>
              </w:rPr>
              <w:t>5</w:t>
            </w:r>
          </w:p>
        </w:tc>
        <w:tc>
          <w:tcPr>
            <w:tcW w:w="2448" w:type="dxa"/>
            <w:tcBorders>
              <w:tl2br w:val="nil"/>
              <w:tr2bl w:val="nil"/>
            </w:tcBorders>
            <w:vAlign w:val="center"/>
          </w:tcPr>
          <w:p>
            <w:pPr>
              <w:pStyle w:val="17"/>
              <w:spacing w:after="0"/>
              <w:ind w:firstLine="0" w:firstLineChars="0"/>
              <w:jc w:val="center"/>
              <w:rPr>
                <w:color w:val="auto"/>
                <w:szCs w:val="21"/>
              </w:rPr>
            </w:pPr>
            <w:r>
              <w:rPr>
                <w:rFonts w:hint="eastAsia" w:eastAsia="宋体"/>
                <w:szCs w:val="21"/>
                <w:lang w:val="en-US" w:eastAsia="zh-CN"/>
              </w:rPr>
              <w:t>新鲜水</w:t>
            </w:r>
          </w:p>
        </w:tc>
        <w:tc>
          <w:tcPr>
            <w:tcW w:w="1238" w:type="dxa"/>
            <w:tcBorders>
              <w:tl2br w:val="nil"/>
              <w:tr2bl w:val="nil"/>
            </w:tcBorders>
            <w:vAlign w:val="center"/>
          </w:tcPr>
          <w:p>
            <w:pPr>
              <w:pStyle w:val="17"/>
              <w:spacing w:after="0"/>
              <w:ind w:firstLine="0" w:firstLineChars="0"/>
              <w:jc w:val="center"/>
              <w:rPr>
                <w:color w:val="auto"/>
              </w:rPr>
            </w:pPr>
            <w:r>
              <w:rPr>
                <w:szCs w:val="21"/>
              </w:rPr>
              <w:t>m</w:t>
            </w:r>
            <w:r>
              <w:rPr>
                <w:szCs w:val="21"/>
                <w:vertAlign w:val="superscript"/>
              </w:rPr>
              <w:t>3</w:t>
            </w:r>
            <w:r>
              <w:rPr>
                <w:szCs w:val="21"/>
              </w:rPr>
              <w:t>/a</w:t>
            </w:r>
          </w:p>
        </w:tc>
        <w:tc>
          <w:tcPr>
            <w:tcW w:w="1881" w:type="dxa"/>
            <w:tcBorders>
              <w:tl2br w:val="nil"/>
              <w:tr2bl w:val="nil"/>
            </w:tcBorders>
            <w:vAlign w:val="center"/>
          </w:tcPr>
          <w:p>
            <w:pPr>
              <w:pStyle w:val="17"/>
              <w:spacing w:after="0"/>
              <w:ind w:firstLine="0" w:firstLineChars="0"/>
              <w:jc w:val="center"/>
              <w:rPr>
                <w:color w:val="auto"/>
                <w:szCs w:val="21"/>
              </w:rPr>
            </w:pPr>
            <w:r>
              <w:rPr>
                <w:rFonts w:hint="eastAsia"/>
                <w:szCs w:val="21"/>
                <w:lang w:eastAsia="zh-CN"/>
              </w:rPr>
              <w:t>30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kern w:val="0"/>
                <w:sz w:val="21"/>
                <w:szCs w:val="21"/>
                <w:lang w:val="en-US" w:eastAsia="zh-CN" w:bidi="ar-SA"/>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rFonts w:hint="eastAsia"/>
                <w:szCs w:val="21"/>
              </w:rPr>
              <w:t>6</w:t>
            </w:r>
          </w:p>
        </w:tc>
        <w:tc>
          <w:tcPr>
            <w:tcW w:w="2448" w:type="dxa"/>
            <w:tcBorders>
              <w:tl2br w:val="nil"/>
              <w:tr2bl w:val="nil"/>
            </w:tcBorders>
            <w:vAlign w:val="center"/>
          </w:tcPr>
          <w:p>
            <w:pPr>
              <w:pStyle w:val="17"/>
              <w:spacing w:after="0"/>
              <w:ind w:firstLine="0" w:firstLineChars="0"/>
              <w:jc w:val="center"/>
              <w:rPr>
                <w:color w:val="auto"/>
                <w:szCs w:val="21"/>
              </w:rPr>
            </w:pPr>
            <w:r>
              <w:rPr>
                <w:rFonts w:eastAsia="宋体"/>
                <w:szCs w:val="21"/>
                <w:lang w:val="en-US" w:eastAsia="zh-CN"/>
              </w:rPr>
              <w:t>电</w:t>
            </w:r>
          </w:p>
        </w:tc>
        <w:tc>
          <w:tcPr>
            <w:tcW w:w="1238" w:type="dxa"/>
            <w:tcBorders>
              <w:tl2br w:val="nil"/>
              <w:tr2bl w:val="nil"/>
            </w:tcBorders>
            <w:vAlign w:val="center"/>
          </w:tcPr>
          <w:p>
            <w:pPr>
              <w:pStyle w:val="17"/>
              <w:spacing w:after="0"/>
              <w:ind w:firstLine="0" w:firstLineChars="0"/>
              <w:jc w:val="center"/>
              <w:rPr>
                <w:color w:val="auto"/>
              </w:rPr>
            </w:pPr>
            <w:r>
              <w:rPr>
                <w:szCs w:val="21"/>
              </w:rPr>
              <w:t>kwh/a</w:t>
            </w:r>
          </w:p>
        </w:tc>
        <w:tc>
          <w:tcPr>
            <w:tcW w:w="1881" w:type="dxa"/>
            <w:tcBorders>
              <w:tl2br w:val="nil"/>
              <w:tr2bl w:val="nil"/>
            </w:tcBorders>
            <w:vAlign w:val="center"/>
          </w:tcPr>
          <w:p>
            <w:pPr>
              <w:pStyle w:val="17"/>
              <w:spacing w:after="0"/>
              <w:ind w:firstLine="0" w:firstLineChars="0"/>
              <w:jc w:val="center"/>
              <w:rPr>
                <w:color w:val="auto"/>
                <w:szCs w:val="21"/>
              </w:rPr>
            </w:pPr>
            <w:r>
              <w:rPr>
                <w:rFonts w:hint="eastAsia" w:eastAsia="宋体"/>
                <w:szCs w:val="21"/>
                <w:lang w:eastAsia="zh-CN"/>
              </w:rPr>
              <w:t>1.3</w:t>
            </w:r>
            <w:r>
              <w:rPr>
                <w:rFonts w:hAnsi="宋体" w:eastAsia="宋体"/>
                <w:szCs w:val="21"/>
                <w:lang w:eastAsia="zh-CN"/>
              </w:rPr>
              <w:t>万</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kern w:val="0"/>
                <w:sz w:val="21"/>
                <w:szCs w:val="21"/>
                <w:lang w:val="en-US" w:eastAsia="zh-CN" w:bidi="ar-SA"/>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jc w:val="center"/>
              <w:rPr>
                <w:rFonts w:ascii="Times New Roman" w:hAnsi="Times New Roman"/>
                <w:kern w:val="0"/>
                <w:szCs w:val="21"/>
              </w:rPr>
            </w:pPr>
            <w:r>
              <w:rPr>
                <w:szCs w:val="21"/>
              </w:rPr>
              <w:t>1</w:t>
            </w:r>
          </w:p>
        </w:tc>
        <w:tc>
          <w:tcPr>
            <w:tcW w:w="2448" w:type="dxa"/>
            <w:tcBorders>
              <w:tl2br w:val="nil"/>
              <w:tr2bl w:val="nil"/>
            </w:tcBorders>
            <w:vAlign w:val="center"/>
          </w:tcPr>
          <w:p>
            <w:pPr>
              <w:jc w:val="center"/>
              <w:rPr>
                <w:color w:val="auto"/>
                <w:szCs w:val="21"/>
              </w:rPr>
            </w:pPr>
            <w:r>
              <w:rPr>
                <w:rFonts w:hint="eastAsia"/>
                <w:szCs w:val="21"/>
              </w:rPr>
              <w:t>钢板</w:t>
            </w:r>
          </w:p>
        </w:tc>
        <w:tc>
          <w:tcPr>
            <w:tcW w:w="1238" w:type="dxa"/>
            <w:tcBorders>
              <w:tl2br w:val="nil"/>
              <w:tr2bl w:val="nil"/>
            </w:tcBorders>
            <w:vAlign w:val="center"/>
          </w:tcPr>
          <w:p>
            <w:pPr>
              <w:jc w:val="center"/>
              <w:rPr>
                <w:color w:val="auto"/>
              </w:rPr>
            </w:pPr>
            <w:r>
              <w:rPr>
                <w:szCs w:val="21"/>
              </w:rPr>
              <w:t>t/a</w:t>
            </w:r>
          </w:p>
        </w:tc>
        <w:tc>
          <w:tcPr>
            <w:tcW w:w="1881" w:type="dxa"/>
            <w:tcBorders>
              <w:tl2br w:val="nil"/>
              <w:tr2bl w:val="nil"/>
            </w:tcBorders>
            <w:vAlign w:val="center"/>
          </w:tcPr>
          <w:p>
            <w:pPr>
              <w:jc w:val="center"/>
              <w:rPr>
                <w:color w:val="auto"/>
                <w:szCs w:val="21"/>
              </w:rPr>
            </w:pPr>
            <w:r>
              <w:rPr>
                <w:rFonts w:hint="eastAsia"/>
                <w:szCs w:val="21"/>
              </w:rPr>
              <w:t>150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kern w:val="0"/>
                <w:szCs w:val="21"/>
              </w:rPr>
            </w:pPr>
            <w:r>
              <w:rPr>
                <w:rFonts w:hint="eastAsia" w:ascii="Times New Roman" w:hAnsi="Times New Roman"/>
                <w:kern w:val="0"/>
                <w:szCs w:val="21"/>
              </w:rPr>
              <w:t>与环评一致</w:t>
            </w:r>
          </w:p>
        </w:tc>
      </w:tr>
    </w:tbl>
    <w:p>
      <w:pPr>
        <w:pStyle w:val="7"/>
        <w:rPr>
          <w:rFonts w:ascii="Times New Roman" w:hAnsi="Times New Roman"/>
        </w:rPr>
      </w:pPr>
      <w:r>
        <w:rPr>
          <w:rFonts w:ascii="Times New Roman" w:hAnsi="Times New Roman"/>
        </w:rPr>
        <w:t>2.2.3 主体设施建设内容</w:t>
      </w:r>
      <w:bookmarkEnd w:id="72"/>
      <w:bookmarkEnd w:id="73"/>
      <w:bookmarkEnd w:id="74"/>
      <w:bookmarkEnd w:id="75"/>
      <w:bookmarkEnd w:id="76"/>
      <w:bookmarkEnd w:id="77"/>
    </w:p>
    <w:p>
      <w:pPr>
        <w:adjustRightInd w:val="0"/>
        <w:snapToGrid w:val="0"/>
        <w:spacing w:line="480" w:lineRule="atLeast"/>
        <w:ind w:firstLine="480" w:firstLineChars="200"/>
        <w:rPr>
          <w:rFonts w:ascii="Times New Roman" w:hAnsi="Times New Roman"/>
          <w:sz w:val="24"/>
          <w:szCs w:val="24"/>
        </w:rPr>
      </w:pPr>
      <w:r>
        <w:rPr>
          <w:rFonts w:hint="eastAsia" w:ascii="Times New Roman" w:hAnsi="Times New Roman"/>
          <w:sz w:val="24"/>
          <w:szCs w:val="24"/>
        </w:rPr>
        <w:t>本</w:t>
      </w:r>
      <w:r>
        <w:rPr>
          <w:sz w:val="24"/>
        </w:rPr>
        <w:t>项目占地面积</w:t>
      </w:r>
      <w:r>
        <w:rPr>
          <w:rFonts w:hint="eastAsia"/>
          <w:sz w:val="24"/>
        </w:rPr>
        <w:t>1066</w:t>
      </w:r>
      <w:r>
        <w:rPr>
          <w:sz w:val="24"/>
        </w:rPr>
        <w:t>m</w:t>
      </w:r>
      <w:r>
        <w:rPr>
          <w:sz w:val="24"/>
          <w:vertAlign w:val="superscript"/>
        </w:rPr>
        <w:t>2</w:t>
      </w:r>
      <w:r>
        <w:rPr>
          <w:rFonts w:hint="eastAsia"/>
          <w:sz w:val="24"/>
        </w:rPr>
        <w:t>，总建筑面积700m</w:t>
      </w:r>
      <w:r>
        <w:rPr>
          <w:rFonts w:hint="eastAsia"/>
          <w:sz w:val="24"/>
          <w:vertAlign w:val="superscript"/>
        </w:rPr>
        <w:t>2</w:t>
      </w:r>
      <w:r>
        <w:rPr>
          <w:rFonts w:hint="eastAsia" w:ascii="Times New Roman" w:hAnsi="Times New Roman"/>
          <w:sz w:val="24"/>
          <w:szCs w:val="24"/>
        </w:rPr>
        <w:t>。</w:t>
      </w:r>
      <w:r>
        <w:rPr>
          <w:rFonts w:hint="eastAsia" w:ascii="Times New Roman" w:hAnsi="Times New Roman" w:cs="AIAUJG+ËÎÌå"/>
          <w:color w:val="000000"/>
          <w:spacing w:val="-4"/>
          <w:sz w:val="24"/>
        </w:rPr>
        <w:t>本项目由主体工程、</w:t>
      </w:r>
      <w:r>
        <w:rPr>
          <w:rFonts w:hint="eastAsia" w:ascii="Times New Roman" w:hAnsi="Times New Roman"/>
          <w:sz w:val="24"/>
          <w:szCs w:val="24"/>
        </w:rPr>
        <w:t>辅助工程、环保工程和公用工程组成</w:t>
      </w:r>
      <w:r>
        <w:rPr>
          <w:rFonts w:ascii="Times New Roman" w:hAnsi="Times New Roman"/>
          <w:sz w:val="24"/>
          <w:szCs w:val="24"/>
        </w:rPr>
        <w:t>。项目工程内容一览表见表2-3</w:t>
      </w:r>
      <w:r>
        <w:rPr>
          <w:rFonts w:hint="eastAsia" w:ascii="Times New Roman" w:hAnsi="Times New Roman"/>
          <w:sz w:val="24"/>
          <w:szCs w:val="24"/>
        </w:rPr>
        <w:t>。</w:t>
      </w:r>
    </w:p>
    <w:p>
      <w:pPr>
        <w:spacing w:line="480" w:lineRule="atLeast"/>
        <w:jc w:val="center"/>
        <w:rPr>
          <w:rFonts w:ascii="Times New Roman" w:hAnsi="Times New Roman"/>
          <w:b/>
          <w:sz w:val="24"/>
          <w:szCs w:val="24"/>
        </w:rPr>
      </w:pPr>
      <w:r>
        <w:rPr>
          <w:rFonts w:ascii="Times New Roman" w:hAnsi="Times New Roman"/>
          <w:b/>
          <w:sz w:val="24"/>
          <w:szCs w:val="24"/>
        </w:rPr>
        <w:t>表2-3  工程内容一览表</w:t>
      </w:r>
    </w:p>
    <w:tbl>
      <w:tblPr>
        <w:tblStyle w:val="19"/>
        <w:tblW w:w="85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5"/>
        <w:gridCol w:w="1325"/>
        <w:gridCol w:w="5425"/>
        <w:gridCol w:w="10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Align w:val="center"/>
          </w:tcPr>
          <w:p>
            <w:pPr>
              <w:pStyle w:val="7"/>
              <w:jc w:val="center"/>
              <w:rPr>
                <w:rFonts w:ascii="Times New Roman" w:hAnsi="Times New Roman"/>
                <w:sz w:val="21"/>
                <w:szCs w:val="21"/>
              </w:rPr>
            </w:pPr>
            <w:bookmarkStart w:id="78" w:name="_Toc496979007"/>
            <w:bookmarkStart w:id="79" w:name="_Toc30584"/>
            <w:bookmarkStart w:id="80" w:name="_Toc1691"/>
            <w:bookmarkStart w:id="81" w:name="_Toc17854"/>
            <w:bookmarkStart w:id="82" w:name="_Toc497001443"/>
            <w:bookmarkStart w:id="83" w:name="_Toc27810"/>
            <w:r>
              <w:rPr>
                <w:rFonts w:ascii="Times New Roman" w:hAnsi="Times New Roman"/>
                <w:sz w:val="21"/>
                <w:szCs w:val="21"/>
              </w:rPr>
              <w:t>工程类别</w:t>
            </w:r>
          </w:p>
        </w:tc>
        <w:tc>
          <w:tcPr>
            <w:tcW w:w="1325" w:type="dxa"/>
            <w:vAlign w:val="center"/>
          </w:tcPr>
          <w:p>
            <w:pPr>
              <w:pStyle w:val="7"/>
              <w:jc w:val="center"/>
              <w:rPr>
                <w:rFonts w:ascii="Times New Roman" w:hAnsi="Times New Roman"/>
                <w:sz w:val="21"/>
                <w:szCs w:val="21"/>
              </w:rPr>
            </w:pPr>
            <w:r>
              <w:rPr>
                <w:rFonts w:ascii="Times New Roman" w:hAnsi="Times New Roman"/>
                <w:sz w:val="21"/>
                <w:szCs w:val="21"/>
              </w:rPr>
              <w:t>项目名称</w:t>
            </w:r>
          </w:p>
        </w:tc>
        <w:tc>
          <w:tcPr>
            <w:tcW w:w="5425" w:type="dxa"/>
            <w:vAlign w:val="center"/>
          </w:tcPr>
          <w:p>
            <w:pPr>
              <w:pStyle w:val="7"/>
              <w:jc w:val="center"/>
              <w:rPr>
                <w:rFonts w:ascii="Times New Roman" w:hAnsi="Times New Roman"/>
                <w:sz w:val="21"/>
                <w:szCs w:val="21"/>
              </w:rPr>
            </w:pPr>
            <w:r>
              <w:rPr>
                <w:rFonts w:ascii="Times New Roman" w:hAnsi="Times New Roman"/>
                <w:sz w:val="21"/>
                <w:szCs w:val="21"/>
              </w:rPr>
              <w:t>建设内容</w:t>
            </w:r>
          </w:p>
        </w:tc>
        <w:tc>
          <w:tcPr>
            <w:tcW w:w="1014" w:type="dxa"/>
            <w:vAlign w:val="center"/>
          </w:tcPr>
          <w:p>
            <w:pPr>
              <w:widowControl/>
              <w:jc w:val="center"/>
              <w:rPr>
                <w:rFonts w:ascii="Times New Roman" w:hAnsi="Times New Roman"/>
                <w:b/>
                <w:bCs/>
                <w:kern w:val="0"/>
                <w:szCs w:val="21"/>
              </w:rPr>
            </w:pPr>
            <w:r>
              <w:rPr>
                <w:rFonts w:hint="eastAsia" w:ascii="Times New Roman" w:hAnsi="Times New Roman"/>
                <w:kern w:val="0"/>
                <w:szCs w:val="21"/>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755" w:type="dxa"/>
            <w:vMerge w:val="restart"/>
            <w:vAlign w:val="center"/>
          </w:tcPr>
          <w:p>
            <w:pPr>
              <w:pStyle w:val="7"/>
              <w:jc w:val="center"/>
              <w:rPr>
                <w:rFonts w:ascii="Times New Roman" w:hAnsi="Times New Roman"/>
                <w:sz w:val="21"/>
                <w:szCs w:val="21"/>
              </w:rPr>
            </w:pPr>
            <w:r>
              <w:rPr>
                <w:rFonts w:hint="eastAsia" w:ascii="Times New Roman" w:hAnsi="Times New Roman"/>
                <w:sz w:val="21"/>
                <w:szCs w:val="21"/>
              </w:rPr>
              <w:t>主体工程</w:t>
            </w:r>
          </w:p>
        </w:tc>
        <w:tc>
          <w:tcPr>
            <w:tcW w:w="1325" w:type="dxa"/>
            <w:vAlign w:val="center"/>
          </w:tcPr>
          <w:p>
            <w:pPr>
              <w:spacing w:line="240" w:lineRule="atLeast"/>
              <w:jc w:val="center"/>
              <w:rPr>
                <w:rFonts w:ascii="Times New Roman" w:hAnsi="Times New Roman"/>
                <w:sz w:val="21"/>
                <w:szCs w:val="21"/>
              </w:rPr>
            </w:pPr>
            <w:r>
              <w:rPr>
                <w:szCs w:val="21"/>
              </w:rPr>
              <w:t>生产线</w:t>
            </w:r>
          </w:p>
        </w:tc>
        <w:tc>
          <w:tcPr>
            <w:tcW w:w="5425" w:type="dxa"/>
            <w:vAlign w:val="center"/>
          </w:tcPr>
          <w:p>
            <w:pPr>
              <w:contextualSpacing/>
              <w:jc w:val="center"/>
              <w:rPr>
                <w:rFonts w:ascii="Times New Roman" w:hAnsi="Times New Roman"/>
                <w:sz w:val="21"/>
                <w:szCs w:val="21"/>
              </w:rPr>
            </w:pPr>
            <w:r>
              <w:rPr>
                <w:szCs w:val="21"/>
              </w:rPr>
              <w:t>年产</w:t>
            </w:r>
            <w:r>
              <w:rPr>
                <w:rFonts w:hint="eastAsia"/>
                <w:szCs w:val="21"/>
              </w:rPr>
              <w:t>300吨弯头</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sz w:val="21"/>
                <w:szCs w:val="21"/>
              </w:rPr>
            </w:pPr>
          </w:p>
        </w:tc>
        <w:tc>
          <w:tcPr>
            <w:tcW w:w="1325" w:type="dxa"/>
            <w:vAlign w:val="center"/>
          </w:tcPr>
          <w:p>
            <w:pPr>
              <w:spacing w:line="240" w:lineRule="auto"/>
              <w:jc w:val="center"/>
              <w:rPr>
                <w:rFonts w:ascii="Times New Roman" w:hAnsi="Times New Roman"/>
                <w:sz w:val="21"/>
                <w:szCs w:val="21"/>
              </w:rPr>
            </w:pPr>
            <w:r>
              <w:rPr>
                <w:szCs w:val="21"/>
              </w:rPr>
              <w:t>生产车间</w:t>
            </w:r>
            <w:r>
              <w:rPr>
                <w:rFonts w:hint="eastAsia"/>
                <w:szCs w:val="21"/>
              </w:rPr>
              <w:t>1</w:t>
            </w:r>
            <w:r>
              <w:rPr>
                <w:szCs w:val="21"/>
              </w:rPr>
              <w:t>座</w:t>
            </w:r>
          </w:p>
        </w:tc>
        <w:tc>
          <w:tcPr>
            <w:tcW w:w="5425" w:type="dxa"/>
            <w:vAlign w:val="center"/>
          </w:tcPr>
          <w:p>
            <w:pPr>
              <w:spacing w:line="240" w:lineRule="auto"/>
              <w:jc w:val="center"/>
              <w:rPr>
                <w:rFonts w:ascii="Times New Roman" w:hAnsi="Times New Roman"/>
                <w:sz w:val="21"/>
                <w:szCs w:val="21"/>
              </w:rPr>
            </w:pPr>
            <w:r>
              <w:rPr>
                <w:szCs w:val="21"/>
              </w:rPr>
              <w:t>生产车间</w:t>
            </w:r>
            <w:r>
              <w:rPr>
                <w:rFonts w:hint="eastAsia"/>
                <w:szCs w:val="21"/>
              </w:rPr>
              <w:t>1</w:t>
            </w:r>
            <w:r>
              <w:rPr>
                <w:szCs w:val="21"/>
              </w:rPr>
              <w:t>座，建筑面积</w:t>
            </w:r>
            <w:r>
              <w:rPr>
                <w:rFonts w:hint="eastAsia"/>
                <w:szCs w:val="21"/>
              </w:rPr>
              <w:t>80</w:t>
            </w:r>
            <w:r>
              <w:rPr>
                <w:szCs w:val="21"/>
              </w:rPr>
              <w:t>m</w:t>
            </w:r>
            <w:r>
              <w:rPr>
                <w:szCs w:val="21"/>
                <w:vertAlign w:val="superscript"/>
              </w:rPr>
              <w:t>2</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restart"/>
            <w:vAlign w:val="center"/>
          </w:tcPr>
          <w:p>
            <w:pPr>
              <w:pStyle w:val="7"/>
              <w:jc w:val="center"/>
              <w:rPr>
                <w:rFonts w:ascii="Times New Roman" w:hAnsi="Times New Roman"/>
                <w:sz w:val="21"/>
                <w:szCs w:val="21"/>
              </w:rPr>
            </w:pPr>
            <w:r>
              <w:rPr>
                <w:rFonts w:ascii="Times New Roman" w:hAnsi="Times New Roman"/>
                <w:sz w:val="21"/>
                <w:szCs w:val="21"/>
              </w:rPr>
              <w:t>公用工程</w:t>
            </w:r>
          </w:p>
        </w:tc>
        <w:tc>
          <w:tcPr>
            <w:tcW w:w="1325" w:type="dxa"/>
            <w:vAlign w:val="center"/>
          </w:tcPr>
          <w:p>
            <w:pPr>
              <w:spacing w:line="240" w:lineRule="atLeast"/>
              <w:jc w:val="center"/>
              <w:rPr>
                <w:rFonts w:ascii="Times New Roman" w:hAnsi="Times New Roman"/>
                <w:sz w:val="21"/>
                <w:szCs w:val="21"/>
              </w:rPr>
            </w:pPr>
            <w:r>
              <w:rPr>
                <w:szCs w:val="21"/>
              </w:rPr>
              <w:t>供水</w:t>
            </w:r>
          </w:p>
        </w:tc>
        <w:tc>
          <w:tcPr>
            <w:tcW w:w="5425" w:type="dxa"/>
            <w:vAlign w:val="center"/>
          </w:tcPr>
          <w:p>
            <w:pPr>
              <w:spacing w:line="240" w:lineRule="atLeast"/>
              <w:jc w:val="center"/>
              <w:rPr>
                <w:rFonts w:ascii="Times New Roman" w:hAnsi="Times New Roman"/>
                <w:sz w:val="21"/>
                <w:szCs w:val="21"/>
              </w:rPr>
            </w:pPr>
            <w:r>
              <w:rPr>
                <w:szCs w:val="21"/>
              </w:rPr>
              <w:t>由当地供水系统提供</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sz w:val="21"/>
                <w:szCs w:val="21"/>
              </w:rPr>
            </w:pPr>
          </w:p>
        </w:tc>
        <w:tc>
          <w:tcPr>
            <w:tcW w:w="1325" w:type="dxa"/>
            <w:vAlign w:val="center"/>
          </w:tcPr>
          <w:p>
            <w:pPr>
              <w:spacing w:line="240" w:lineRule="atLeast"/>
              <w:jc w:val="center"/>
              <w:rPr>
                <w:rFonts w:ascii="Times New Roman" w:hAnsi="Times New Roman"/>
                <w:sz w:val="21"/>
                <w:szCs w:val="21"/>
              </w:rPr>
            </w:pPr>
            <w:r>
              <w:rPr>
                <w:szCs w:val="21"/>
              </w:rPr>
              <w:t>供电</w:t>
            </w:r>
          </w:p>
        </w:tc>
        <w:tc>
          <w:tcPr>
            <w:tcW w:w="5425" w:type="dxa"/>
            <w:vAlign w:val="center"/>
          </w:tcPr>
          <w:p>
            <w:pPr>
              <w:spacing w:line="240" w:lineRule="atLeast"/>
              <w:jc w:val="center"/>
              <w:rPr>
                <w:rFonts w:ascii="Times New Roman" w:hAnsi="Times New Roman"/>
                <w:sz w:val="21"/>
                <w:szCs w:val="21"/>
              </w:rPr>
            </w:pPr>
            <w:r>
              <w:rPr>
                <w:szCs w:val="21"/>
              </w:rPr>
              <w:t>由当地供电系统提供</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sz w:val="21"/>
                <w:szCs w:val="21"/>
              </w:rPr>
            </w:pPr>
          </w:p>
        </w:tc>
        <w:tc>
          <w:tcPr>
            <w:tcW w:w="1325" w:type="dxa"/>
            <w:vAlign w:val="center"/>
          </w:tcPr>
          <w:p>
            <w:pPr>
              <w:spacing w:line="240" w:lineRule="atLeast"/>
              <w:jc w:val="center"/>
              <w:rPr>
                <w:rFonts w:ascii="Times New Roman" w:hAnsi="Times New Roman"/>
                <w:sz w:val="21"/>
                <w:szCs w:val="21"/>
              </w:rPr>
            </w:pPr>
            <w:r>
              <w:rPr>
                <w:szCs w:val="21"/>
              </w:rPr>
              <w:t>供热</w:t>
            </w:r>
          </w:p>
        </w:tc>
        <w:tc>
          <w:tcPr>
            <w:tcW w:w="5425" w:type="dxa"/>
            <w:vAlign w:val="center"/>
          </w:tcPr>
          <w:p>
            <w:pPr>
              <w:spacing w:line="240" w:lineRule="atLeast"/>
              <w:jc w:val="center"/>
              <w:rPr>
                <w:rFonts w:ascii="Times New Roman" w:hAnsi="Times New Roman"/>
                <w:sz w:val="21"/>
                <w:szCs w:val="21"/>
              </w:rPr>
            </w:pPr>
            <w:r>
              <w:rPr>
                <w:rFonts w:hint="eastAsia"/>
                <w:szCs w:val="21"/>
              </w:rPr>
              <w:t>无</w:t>
            </w:r>
            <w:r>
              <w:rPr>
                <w:szCs w:val="21"/>
              </w:rPr>
              <w:t>生产用热，冬季生活取暖采用空调</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 w:hRule="atLeast"/>
        </w:trPr>
        <w:tc>
          <w:tcPr>
            <w:tcW w:w="755" w:type="dxa"/>
            <w:vMerge w:val="restart"/>
            <w:vAlign w:val="center"/>
          </w:tcPr>
          <w:p>
            <w:pPr>
              <w:pStyle w:val="7"/>
              <w:jc w:val="center"/>
              <w:rPr>
                <w:rFonts w:ascii="Times New Roman" w:hAnsi="Times New Roman"/>
                <w:sz w:val="21"/>
                <w:szCs w:val="21"/>
              </w:rPr>
            </w:pPr>
            <w:r>
              <w:rPr>
                <w:rFonts w:ascii="Times New Roman" w:hAnsi="Times New Roman"/>
                <w:sz w:val="21"/>
                <w:szCs w:val="21"/>
              </w:rPr>
              <w:t>环保工程</w:t>
            </w:r>
          </w:p>
        </w:tc>
        <w:tc>
          <w:tcPr>
            <w:tcW w:w="1325" w:type="dxa"/>
            <w:vAlign w:val="center"/>
          </w:tcPr>
          <w:p>
            <w:pPr>
              <w:pStyle w:val="7"/>
              <w:jc w:val="center"/>
              <w:rPr>
                <w:rFonts w:hint="eastAsia" w:ascii="Times New Roman" w:hAnsi="Times New Roman"/>
                <w:color w:val="auto"/>
                <w:sz w:val="21"/>
                <w:szCs w:val="21"/>
              </w:rPr>
            </w:pPr>
            <w:r>
              <w:rPr>
                <w:rFonts w:hint="eastAsia"/>
                <w:color w:val="auto"/>
                <w:sz w:val="21"/>
                <w:szCs w:val="21"/>
              </w:rPr>
              <w:t>废气</w:t>
            </w:r>
          </w:p>
        </w:tc>
        <w:tc>
          <w:tcPr>
            <w:tcW w:w="5425" w:type="dxa"/>
            <w:vAlign w:val="center"/>
          </w:tcPr>
          <w:p>
            <w:pPr>
              <w:jc w:val="center"/>
              <w:rPr>
                <w:rFonts w:ascii="Times New Roman" w:hAnsi="Times New Roman"/>
                <w:color w:val="auto"/>
                <w:sz w:val="21"/>
                <w:szCs w:val="21"/>
              </w:rPr>
            </w:pPr>
            <w:r>
              <w:rPr>
                <w:rFonts w:hint="eastAsia"/>
                <w:color w:val="auto"/>
                <w:szCs w:val="21"/>
              </w:rPr>
              <w:t>经集气罩收集的切割、修磨、焊接废气与管道收集的玻璃砂喷砂废气</w:t>
            </w:r>
            <w:r>
              <w:rPr>
                <w:color w:val="auto"/>
                <w:szCs w:val="21"/>
              </w:rPr>
              <w:t>由</w:t>
            </w:r>
            <w:r>
              <w:rPr>
                <w:rFonts w:hint="eastAsia"/>
                <w:color w:val="auto"/>
                <w:szCs w:val="21"/>
              </w:rPr>
              <w:t>1台</w:t>
            </w:r>
            <w:r>
              <w:rPr>
                <w:color w:val="auto"/>
                <w:szCs w:val="21"/>
              </w:rPr>
              <w:t>布袋除尘器处理后</w:t>
            </w:r>
            <w:r>
              <w:rPr>
                <w:rFonts w:hint="eastAsia"/>
                <w:color w:val="auto"/>
                <w:szCs w:val="21"/>
              </w:rPr>
              <w:t>和经自带除尘器处理的抛丸机废气由同1根</w:t>
            </w:r>
            <w:r>
              <w:rPr>
                <w:color w:val="auto"/>
                <w:szCs w:val="21"/>
              </w:rPr>
              <w:t>15m高排气筒排放</w:t>
            </w:r>
          </w:p>
        </w:tc>
        <w:tc>
          <w:tcPr>
            <w:tcW w:w="1014" w:type="dxa"/>
            <w:vAlign w:val="center"/>
          </w:tcPr>
          <w:p>
            <w:pPr>
              <w:adjustRightInd w:val="0"/>
              <w:snapToGrid w:val="0"/>
              <w:spacing w:line="360" w:lineRule="atLeast"/>
              <w:jc w:val="center"/>
              <w:rPr>
                <w:rFonts w:hint="default" w:ascii="Times New Roman" w:hAnsi="Times New Roman" w:eastAsia="宋体"/>
                <w:kern w:val="0"/>
                <w:szCs w:val="21"/>
                <w:lang w:val="en-US" w:eastAsia="zh-CN"/>
              </w:rPr>
            </w:pPr>
            <w:r>
              <w:rPr>
                <w:rFonts w:hint="eastAsia" w:ascii="Times New Roman" w:hAnsi="Times New Roman"/>
                <w:kern w:val="0"/>
                <w:szCs w:val="21"/>
                <w:lang w:val="en-US" w:eastAsia="zh-CN"/>
              </w:rPr>
              <w:t>1台玻璃喷砂机没有建设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sz w:val="21"/>
                <w:szCs w:val="21"/>
              </w:rPr>
            </w:pPr>
          </w:p>
        </w:tc>
        <w:tc>
          <w:tcPr>
            <w:tcW w:w="1325" w:type="dxa"/>
            <w:vAlign w:val="center"/>
          </w:tcPr>
          <w:p>
            <w:pPr>
              <w:pStyle w:val="7"/>
              <w:jc w:val="center"/>
              <w:rPr>
                <w:rFonts w:ascii="Times New Roman" w:hAnsi="Times New Roman"/>
                <w:sz w:val="21"/>
                <w:szCs w:val="21"/>
              </w:rPr>
            </w:pPr>
            <w:r>
              <w:rPr>
                <w:rFonts w:ascii="Times New Roman" w:hAnsi="Times New Roman"/>
                <w:sz w:val="21"/>
                <w:szCs w:val="21"/>
              </w:rPr>
              <w:t>废水</w:t>
            </w:r>
          </w:p>
        </w:tc>
        <w:tc>
          <w:tcPr>
            <w:tcW w:w="5425" w:type="dxa"/>
            <w:vAlign w:val="center"/>
          </w:tcPr>
          <w:p>
            <w:pPr>
              <w:pStyle w:val="7"/>
              <w:jc w:val="center"/>
              <w:rPr>
                <w:rFonts w:ascii="Times New Roman" w:hAnsi="Times New Roman"/>
                <w:sz w:val="21"/>
                <w:szCs w:val="21"/>
              </w:rPr>
            </w:pPr>
            <w:r>
              <w:rPr>
                <w:rFonts w:hint="eastAsia" w:ascii="Times New Roman" w:hAnsi="Times New Roman"/>
                <w:sz w:val="21"/>
                <w:szCs w:val="21"/>
              </w:rPr>
              <w:t>无生产废水</w:t>
            </w:r>
            <w:r>
              <w:rPr>
                <w:rFonts w:ascii="Times New Roman" w:hAnsi="Times New Roman"/>
                <w:sz w:val="21"/>
                <w:szCs w:val="21"/>
              </w:rPr>
              <w:t>，厂区设防渗旱厕，定期清掏，生活污水泼洒厂区抑尘</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55" w:type="dxa"/>
            <w:vMerge w:val="continue"/>
            <w:vAlign w:val="center"/>
          </w:tcPr>
          <w:p>
            <w:pPr>
              <w:pStyle w:val="7"/>
              <w:jc w:val="center"/>
              <w:rPr>
                <w:rFonts w:ascii="Times New Roman" w:hAnsi="Times New Roman"/>
                <w:sz w:val="21"/>
                <w:szCs w:val="21"/>
              </w:rPr>
            </w:pPr>
          </w:p>
        </w:tc>
        <w:tc>
          <w:tcPr>
            <w:tcW w:w="1325" w:type="dxa"/>
            <w:vAlign w:val="center"/>
          </w:tcPr>
          <w:p>
            <w:pPr>
              <w:pStyle w:val="7"/>
              <w:jc w:val="center"/>
              <w:rPr>
                <w:rFonts w:ascii="Times New Roman" w:hAnsi="Times New Roman"/>
                <w:sz w:val="21"/>
                <w:szCs w:val="21"/>
              </w:rPr>
            </w:pPr>
            <w:r>
              <w:rPr>
                <w:rFonts w:ascii="Times New Roman" w:hAnsi="Times New Roman"/>
                <w:sz w:val="21"/>
                <w:szCs w:val="21"/>
              </w:rPr>
              <w:t>噪声</w:t>
            </w:r>
          </w:p>
        </w:tc>
        <w:tc>
          <w:tcPr>
            <w:tcW w:w="5425" w:type="dxa"/>
            <w:vAlign w:val="center"/>
          </w:tcPr>
          <w:p>
            <w:pPr>
              <w:pStyle w:val="7"/>
              <w:jc w:val="center"/>
              <w:rPr>
                <w:rFonts w:ascii="Times New Roman" w:hAnsi="Times New Roman"/>
                <w:sz w:val="21"/>
                <w:szCs w:val="21"/>
              </w:rPr>
            </w:pPr>
            <w:r>
              <w:rPr>
                <w:rFonts w:hint="eastAsia" w:ascii="Times New Roman" w:hAnsi="Times New Roman"/>
                <w:sz w:val="21"/>
                <w:szCs w:val="21"/>
              </w:rPr>
              <w:t>选用低噪声设备，设备加减振装置等措施，布局合理，高噪声设备远离厂界</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0" w:hRule="atLeast"/>
        </w:trPr>
        <w:tc>
          <w:tcPr>
            <w:tcW w:w="755" w:type="dxa"/>
            <w:vMerge w:val="continue"/>
            <w:vAlign w:val="center"/>
          </w:tcPr>
          <w:p>
            <w:pPr>
              <w:pStyle w:val="7"/>
              <w:jc w:val="center"/>
              <w:rPr>
                <w:rFonts w:ascii="Times New Roman" w:hAnsi="Times New Roman"/>
                <w:sz w:val="21"/>
                <w:szCs w:val="21"/>
              </w:rPr>
            </w:pPr>
          </w:p>
        </w:tc>
        <w:tc>
          <w:tcPr>
            <w:tcW w:w="1325" w:type="dxa"/>
            <w:vAlign w:val="center"/>
          </w:tcPr>
          <w:p>
            <w:pPr>
              <w:pStyle w:val="7"/>
              <w:jc w:val="center"/>
              <w:rPr>
                <w:rFonts w:ascii="Times New Roman" w:hAnsi="Times New Roman"/>
                <w:sz w:val="21"/>
                <w:szCs w:val="21"/>
              </w:rPr>
            </w:pPr>
            <w:r>
              <w:rPr>
                <w:rFonts w:ascii="Times New Roman" w:hAnsi="Times New Roman"/>
                <w:sz w:val="21"/>
                <w:szCs w:val="21"/>
              </w:rPr>
              <w:t>固废</w:t>
            </w:r>
          </w:p>
        </w:tc>
        <w:tc>
          <w:tcPr>
            <w:tcW w:w="5425" w:type="dxa"/>
            <w:vAlign w:val="center"/>
          </w:tcPr>
          <w:p>
            <w:pPr>
              <w:pStyle w:val="7"/>
              <w:jc w:val="center"/>
              <w:rPr>
                <w:rFonts w:ascii="Times New Roman" w:hAnsi="Times New Roman"/>
                <w:sz w:val="21"/>
                <w:szCs w:val="21"/>
              </w:rPr>
            </w:pPr>
            <w:r>
              <w:rPr>
                <w:rFonts w:hint="eastAsia" w:ascii="Times New Roman" w:hAnsi="Times New Roman"/>
                <w:sz w:val="21"/>
                <w:szCs w:val="21"/>
              </w:rPr>
              <w:t>切割工序产生的边角料、焊接工序产生的废焊条、喷砂工序产生的废砂、检验工序产生的不合格品、布袋除尘器收集的粉尘收集后外售；含油抹布和生活垃圾由环卫部门定期清运处理。</w:t>
            </w:r>
          </w:p>
        </w:tc>
        <w:tc>
          <w:tcPr>
            <w:tcW w:w="1014" w:type="dxa"/>
            <w:vAlign w:val="center"/>
          </w:tcPr>
          <w:p>
            <w:pPr>
              <w:adjustRightInd w:val="0"/>
              <w:snapToGrid w:val="0"/>
              <w:spacing w:line="360" w:lineRule="atLeast"/>
              <w:jc w:val="center"/>
              <w:rPr>
                <w:rFonts w:ascii="Times New Roman" w:hAnsi="Times New Roman"/>
                <w:kern w:val="0"/>
                <w:szCs w:val="21"/>
              </w:rPr>
            </w:pPr>
            <w:r>
              <w:rPr>
                <w:rFonts w:hint="eastAsia" w:ascii="Times New Roman" w:hAnsi="Times New Roman"/>
                <w:kern w:val="0"/>
                <w:szCs w:val="21"/>
              </w:rPr>
              <w:t>与环评一致</w:t>
            </w:r>
          </w:p>
        </w:tc>
      </w:tr>
    </w:tbl>
    <w:p>
      <w:pPr>
        <w:pStyle w:val="7"/>
        <w:rPr>
          <w:rFonts w:ascii="Times New Roman" w:hAnsi="Times New Roman"/>
        </w:rPr>
      </w:pPr>
      <w:r>
        <w:rPr>
          <w:rFonts w:ascii="Times New Roman" w:hAnsi="Times New Roman"/>
        </w:rPr>
        <w:t>2.2.4 生产设备</w:t>
      </w:r>
      <w:bookmarkEnd w:id="78"/>
      <w:bookmarkEnd w:id="79"/>
      <w:bookmarkEnd w:id="80"/>
      <w:bookmarkEnd w:id="81"/>
      <w:bookmarkEnd w:id="82"/>
      <w:bookmarkEnd w:id="83"/>
    </w:p>
    <w:p>
      <w:pPr>
        <w:spacing w:before="156" w:beforeLines="50" w:line="360" w:lineRule="auto"/>
        <w:ind w:firstLine="480" w:firstLineChars="200"/>
        <w:textAlignment w:val="baseline"/>
        <w:rPr>
          <w:rFonts w:ascii="Times New Roman" w:hAnsi="Times New Roman"/>
          <w:sz w:val="24"/>
          <w:szCs w:val="24"/>
        </w:rPr>
      </w:pPr>
      <w:r>
        <w:rPr>
          <w:rFonts w:ascii="Times New Roman" w:hAnsi="Times New Roman"/>
          <w:sz w:val="24"/>
          <w:szCs w:val="24"/>
        </w:rPr>
        <w:t>项目</w:t>
      </w:r>
      <w:r>
        <w:rPr>
          <w:rFonts w:hint="eastAsia" w:ascii="Times New Roman" w:hAnsi="Times New Roman"/>
          <w:sz w:val="24"/>
          <w:szCs w:val="24"/>
        </w:rPr>
        <w:t>主要生产</w:t>
      </w:r>
      <w:r>
        <w:rPr>
          <w:rFonts w:ascii="Times New Roman" w:hAnsi="Times New Roman"/>
          <w:sz w:val="24"/>
          <w:szCs w:val="24"/>
        </w:rPr>
        <w:t>设备一览表见表2-4</w:t>
      </w:r>
      <w:r>
        <w:rPr>
          <w:rFonts w:hint="eastAsia" w:ascii="Times New Roman" w:hAnsi="Times New Roman"/>
          <w:sz w:val="24"/>
          <w:szCs w:val="24"/>
        </w:rPr>
        <w:t>。</w:t>
      </w:r>
    </w:p>
    <w:p>
      <w:pPr>
        <w:spacing w:line="480" w:lineRule="atLeast"/>
        <w:jc w:val="center"/>
        <w:rPr>
          <w:rFonts w:ascii="Times New Roman" w:hAnsi="Times New Roman"/>
          <w:b/>
          <w:sz w:val="24"/>
          <w:szCs w:val="24"/>
        </w:rPr>
      </w:pPr>
      <w:r>
        <w:rPr>
          <w:rFonts w:ascii="Times New Roman" w:hAnsi="Times New Roman"/>
          <w:b/>
          <w:sz w:val="24"/>
          <w:szCs w:val="24"/>
        </w:rPr>
        <w:t xml:space="preserve">表2-4  </w:t>
      </w:r>
      <w:r>
        <w:rPr>
          <w:rFonts w:hint="eastAsia" w:ascii="Times New Roman" w:hAnsi="Times New Roman"/>
          <w:b/>
          <w:sz w:val="24"/>
          <w:szCs w:val="24"/>
        </w:rPr>
        <w:t>主要</w:t>
      </w:r>
      <w:r>
        <w:rPr>
          <w:rFonts w:ascii="Times New Roman" w:hAnsi="Times New Roman"/>
          <w:b/>
          <w:sz w:val="24"/>
          <w:szCs w:val="24"/>
        </w:rPr>
        <w:t>设备一览表</w:t>
      </w:r>
    </w:p>
    <w:tbl>
      <w:tblPr>
        <w:tblStyle w:val="19"/>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2277"/>
        <w:gridCol w:w="1617"/>
        <w:gridCol w:w="1785"/>
        <w:gridCol w:w="1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widowControl/>
              <w:spacing w:line="0" w:lineRule="atLeast"/>
              <w:jc w:val="center"/>
              <w:rPr>
                <w:rFonts w:ascii="Times New Roman" w:hAnsi="Times New Roman"/>
                <w:b/>
                <w:bCs/>
                <w:kern w:val="0"/>
                <w:szCs w:val="21"/>
              </w:rPr>
            </w:pPr>
            <w:bookmarkStart w:id="84" w:name="_Toc9178"/>
            <w:bookmarkStart w:id="85" w:name="_Toc23184"/>
            <w:bookmarkStart w:id="86" w:name="_Toc376"/>
            <w:bookmarkStart w:id="87" w:name="_Toc25900"/>
            <w:r>
              <w:rPr>
                <w:rFonts w:ascii="Times New Roman" w:hAnsi="Times New Roman"/>
                <w:b/>
                <w:bCs/>
                <w:kern w:val="0"/>
                <w:szCs w:val="21"/>
              </w:rPr>
              <w:t>序号</w:t>
            </w:r>
          </w:p>
        </w:tc>
        <w:tc>
          <w:tcPr>
            <w:tcW w:w="2277" w:type="dxa"/>
            <w:tcBorders>
              <w:tl2br w:val="nil"/>
              <w:tr2bl w:val="nil"/>
            </w:tcBorders>
            <w:vAlign w:val="center"/>
          </w:tcPr>
          <w:p>
            <w:pPr>
              <w:widowControl/>
              <w:spacing w:line="0" w:lineRule="atLeast"/>
              <w:jc w:val="center"/>
              <w:rPr>
                <w:rFonts w:ascii="Times New Roman" w:hAnsi="Times New Roman"/>
                <w:b/>
                <w:bCs/>
                <w:kern w:val="0"/>
                <w:szCs w:val="21"/>
              </w:rPr>
            </w:pPr>
            <w:r>
              <w:rPr>
                <w:rFonts w:ascii="Times New Roman" w:hAnsi="Times New Roman"/>
                <w:b/>
                <w:bCs/>
                <w:kern w:val="0"/>
                <w:szCs w:val="21"/>
              </w:rPr>
              <w:t>设备名称</w:t>
            </w:r>
          </w:p>
        </w:tc>
        <w:tc>
          <w:tcPr>
            <w:tcW w:w="1617" w:type="dxa"/>
            <w:tcBorders>
              <w:tl2br w:val="nil"/>
              <w:tr2bl w:val="nil"/>
            </w:tcBorders>
            <w:vAlign w:val="center"/>
          </w:tcPr>
          <w:p>
            <w:pPr>
              <w:widowControl/>
              <w:spacing w:line="0" w:lineRule="atLeast"/>
              <w:jc w:val="center"/>
              <w:rPr>
                <w:rFonts w:ascii="Times New Roman" w:hAnsi="Times New Roman"/>
                <w:b/>
                <w:bCs/>
                <w:kern w:val="0"/>
                <w:szCs w:val="21"/>
              </w:rPr>
            </w:pPr>
            <w:r>
              <w:rPr>
                <w:rFonts w:hint="eastAsia" w:ascii="Times New Roman" w:hAnsi="Times New Roman"/>
                <w:b/>
                <w:bCs/>
                <w:kern w:val="0"/>
                <w:szCs w:val="21"/>
              </w:rPr>
              <w:t>单位</w:t>
            </w:r>
          </w:p>
        </w:tc>
        <w:tc>
          <w:tcPr>
            <w:tcW w:w="1785" w:type="dxa"/>
            <w:tcBorders>
              <w:tl2br w:val="nil"/>
              <w:tr2bl w:val="nil"/>
            </w:tcBorders>
            <w:vAlign w:val="center"/>
          </w:tcPr>
          <w:p>
            <w:pPr>
              <w:widowControl/>
              <w:spacing w:line="0" w:lineRule="atLeast"/>
              <w:jc w:val="center"/>
              <w:rPr>
                <w:rFonts w:ascii="Times New Roman" w:hAnsi="Times New Roman"/>
                <w:b/>
                <w:bCs/>
                <w:kern w:val="0"/>
                <w:szCs w:val="21"/>
              </w:rPr>
            </w:pPr>
            <w:r>
              <w:rPr>
                <w:rFonts w:hint="eastAsia" w:ascii="Times New Roman" w:hAnsi="Times New Roman"/>
                <w:b/>
                <w:bCs/>
                <w:kern w:val="0"/>
                <w:szCs w:val="21"/>
              </w:rPr>
              <w:t>环评中数量</w:t>
            </w:r>
          </w:p>
        </w:tc>
        <w:tc>
          <w:tcPr>
            <w:tcW w:w="1778" w:type="dxa"/>
            <w:tcBorders>
              <w:tl2br w:val="nil"/>
              <w:tr2bl w:val="nil"/>
            </w:tcBorders>
            <w:vAlign w:val="center"/>
          </w:tcPr>
          <w:p>
            <w:pPr>
              <w:widowControl/>
              <w:spacing w:line="0" w:lineRule="atLeast"/>
              <w:jc w:val="center"/>
              <w:rPr>
                <w:rFonts w:ascii="Times New Roman" w:hAnsi="Times New Roman"/>
                <w:b/>
                <w:bCs/>
                <w:kern w:val="0"/>
                <w:szCs w:val="21"/>
              </w:rPr>
            </w:pPr>
            <w:r>
              <w:rPr>
                <w:rFonts w:hint="eastAsia" w:ascii="Times New Roman" w:hAnsi="Times New Roman"/>
                <w:b/>
                <w:bCs/>
                <w:kern w:val="0"/>
                <w:szCs w:val="21"/>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ascii="Times New Roman" w:hAnsi="Times New Roman"/>
                <w:kern w:val="0"/>
                <w:szCs w:val="21"/>
              </w:rPr>
            </w:pPr>
            <w:r>
              <w:rPr>
                <w:rFonts w:hint="eastAsia"/>
                <w:szCs w:val="21"/>
              </w:rPr>
              <w:t>1</w:t>
            </w:r>
          </w:p>
        </w:tc>
        <w:tc>
          <w:tcPr>
            <w:tcW w:w="2277" w:type="dxa"/>
            <w:tcBorders>
              <w:tl2br w:val="nil"/>
              <w:tr2bl w:val="nil"/>
            </w:tcBorders>
            <w:vAlign w:val="center"/>
          </w:tcPr>
          <w:p>
            <w:pPr>
              <w:jc w:val="center"/>
              <w:rPr>
                <w:rFonts w:ascii="Times New Roman" w:hAnsi="Times New Roman"/>
                <w:kern w:val="0"/>
                <w:szCs w:val="21"/>
              </w:rPr>
            </w:pPr>
            <w:r>
              <w:rPr>
                <w:rFonts w:hint="eastAsia"/>
                <w:szCs w:val="21"/>
              </w:rPr>
              <w:t>天吊</w:t>
            </w:r>
          </w:p>
        </w:tc>
        <w:tc>
          <w:tcPr>
            <w:tcW w:w="1617" w:type="dxa"/>
            <w:tcBorders>
              <w:tl2br w:val="nil"/>
              <w:tr2bl w:val="nil"/>
            </w:tcBorders>
            <w:vAlign w:val="center"/>
          </w:tcPr>
          <w:p>
            <w:pPr>
              <w:jc w:val="center"/>
              <w:rPr>
                <w:rFonts w:ascii="Times New Roman" w:hAnsi="Times New Roman"/>
                <w:kern w:val="0"/>
                <w:szCs w:val="21"/>
              </w:rPr>
            </w:pPr>
            <w:r>
              <w:rPr>
                <w:szCs w:val="21"/>
              </w:rPr>
              <w:t>台</w:t>
            </w:r>
          </w:p>
        </w:tc>
        <w:tc>
          <w:tcPr>
            <w:tcW w:w="1785" w:type="dxa"/>
            <w:tcBorders>
              <w:tl2br w:val="nil"/>
              <w:tr2bl w:val="nil"/>
            </w:tcBorders>
            <w:vAlign w:val="center"/>
          </w:tcPr>
          <w:p>
            <w:pPr>
              <w:jc w:val="center"/>
              <w:rPr>
                <w:rFonts w:ascii="Times New Roman" w:hAnsi="Times New Roman"/>
                <w:kern w:val="0"/>
                <w:szCs w:val="21"/>
              </w:rPr>
            </w:pPr>
            <w:r>
              <w:rPr>
                <w:rFonts w:hint="eastAsia"/>
                <w:szCs w:val="21"/>
              </w:rPr>
              <w:t>1</w:t>
            </w:r>
          </w:p>
        </w:tc>
        <w:tc>
          <w:tcPr>
            <w:tcW w:w="1778" w:type="dxa"/>
            <w:tcBorders>
              <w:tl2br w:val="nil"/>
              <w:tr2bl w:val="nil"/>
            </w:tcBorders>
            <w:vAlign w:val="center"/>
          </w:tcPr>
          <w:p>
            <w:pPr>
              <w:adjustRightInd w:val="0"/>
              <w:snapToGrid w:val="0"/>
              <w:spacing w:line="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ascii="Times New Roman" w:hAnsi="Times New Roman"/>
                <w:kern w:val="0"/>
                <w:szCs w:val="21"/>
              </w:rPr>
            </w:pPr>
            <w:r>
              <w:rPr>
                <w:rFonts w:hint="eastAsia"/>
                <w:szCs w:val="21"/>
              </w:rPr>
              <w:t>2</w:t>
            </w:r>
          </w:p>
        </w:tc>
        <w:tc>
          <w:tcPr>
            <w:tcW w:w="2277" w:type="dxa"/>
            <w:tcBorders>
              <w:tl2br w:val="nil"/>
              <w:tr2bl w:val="nil"/>
            </w:tcBorders>
            <w:vAlign w:val="center"/>
          </w:tcPr>
          <w:p>
            <w:pPr>
              <w:jc w:val="center"/>
              <w:rPr>
                <w:rFonts w:ascii="Times New Roman" w:hAnsi="Times New Roman"/>
                <w:kern w:val="0"/>
                <w:szCs w:val="21"/>
              </w:rPr>
            </w:pPr>
            <w:r>
              <w:rPr>
                <w:rFonts w:hint="eastAsia"/>
                <w:szCs w:val="21"/>
              </w:rPr>
              <w:t>喷砂机</w:t>
            </w:r>
          </w:p>
        </w:tc>
        <w:tc>
          <w:tcPr>
            <w:tcW w:w="1617" w:type="dxa"/>
            <w:tcBorders>
              <w:tl2br w:val="nil"/>
              <w:tr2bl w:val="nil"/>
            </w:tcBorders>
            <w:vAlign w:val="center"/>
          </w:tcPr>
          <w:p>
            <w:pPr>
              <w:jc w:val="center"/>
              <w:rPr>
                <w:rFonts w:ascii="Times New Roman" w:hAnsi="Times New Roman"/>
                <w:kern w:val="0"/>
                <w:szCs w:val="21"/>
              </w:rPr>
            </w:pPr>
            <w:r>
              <w:rPr>
                <w:rFonts w:hint="eastAsia"/>
                <w:szCs w:val="21"/>
              </w:rPr>
              <w:t>台</w:t>
            </w:r>
          </w:p>
        </w:tc>
        <w:tc>
          <w:tcPr>
            <w:tcW w:w="1785" w:type="dxa"/>
            <w:tcBorders>
              <w:tl2br w:val="nil"/>
              <w:tr2bl w:val="nil"/>
            </w:tcBorders>
            <w:vAlign w:val="center"/>
          </w:tcPr>
          <w:p>
            <w:pPr>
              <w:jc w:val="center"/>
              <w:rPr>
                <w:rFonts w:ascii="Times New Roman" w:hAnsi="Times New Roman"/>
                <w:kern w:val="0"/>
                <w:szCs w:val="21"/>
              </w:rPr>
            </w:pPr>
            <w:r>
              <w:rPr>
                <w:rFonts w:hint="eastAsia"/>
                <w:szCs w:val="21"/>
              </w:rPr>
              <w:t>1</w:t>
            </w:r>
          </w:p>
        </w:tc>
        <w:tc>
          <w:tcPr>
            <w:tcW w:w="1778" w:type="dxa"/>
            <w:tcBorders>
              <w:tl2br w:val="nil"/>
              <w:tr2bl w:val="nil"/>
            </w:tcBorders>
            <w:vAlign w:val="center"/>
          </w:tcPr>
          <w:p>
            <w:pPr>
              <w:adjustRightInd w:val="0"/>
              <w:snapToGrid w:val="0"/>
              <w:spacing w:line="0" w:lineRule="atLeast"/>
              <w:jc w:val="center"/>
              <w:rPr>
                <w:rFonts w:hint="eastAsia" w:ascii="Times New Roman" w:hAnsi="Times New Roman" w:eastAsia="宋体"/>
                <w:kern w:val="0"/>
                <w:szCs w:val="21"/>
                <w:lang w:eastAsia="zh-CN"/>
              </w:rPr>
            </w:pPr>
            <w:r>
              <w:rPr>
                <w:rFonts w:hint="eastAsia" w:ascii="Times New Roman" w:hAnsi="Times New Roman"/>
                <w:kern w:val="0"/>
                <w:szCs w:val="21"/>
                <w:lang w:val="en-US" w:eastAsia="zh-CN"/>
              </w:rPr>
              <w:t>没有建设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ascii="Times New Roman" w:hAnsi="Times New Roman"/>
                <w:kern w:val="0"/>
                <w:szCs w:val="21"/>
              </w:rPr>
            </w:pPr>
            <w:r>
              <w:rPr>
                <w:rFonts w:hint="eastAsia"/>
                <w:szCs w:val="21"/>
              </w:rPr>
              <w:t>3</w:t>
            </w:r>
          </w:p>
        </w:tc>
        <w:tc>
          <w:tcPr>
            <w:tcW w:w="2277" w:type="dxa"/>
            <w:tcBorders>
              <w:tl2br w:val="nil"/>
              <w:tr2bl w:val="nil"/>
            </w:tcBorders>
            <w:vAlign w:val="center"/>
          </w:tcPr>
          <w:p>
            <w:pPr>
              <w:jc w:val="center"/>
              <w:rPr>
                <w:kern w:val="0"/>
                <w:szCs w:val="21"/>
              </w:rPr>
            </w:pPr>
            <w:r>
              <w:rPr>
                <w:rFonts w:hint="eastAsia"/>
                <w:szCs w:val="21"/>
              </w:rPr>
              <w:t>抛丸机</w:t>
            </w:r>
          </w:p>
        </w:tc>
        <w:tc>
          <w:tcPr>
            <w:tcW w:w="1617" w:type="dxa"/>
            <w:tcBorders>
              <w:tl2br w:val="nil"/>
              <w:tr2bl w:val="nil"/>
            </w:tcBorders>
            <w:vAlign w:val="center"/>
          </w:tcPr>
          <w:p>
            <w:pPr>
              <w:jc w:val="center"/>
              <w:rPr>
                <w:rFonts w:ascii="Times New Roman" w:hAnsi="Times New Roman"/>
                <w:kern w:val="0"/>
                <w:szCs w:val="21"/>
              </w:rPr>
            </w:pPr>
            <w:r>
              <w:rPr>
                <w:rFonts w:hint="eastAsia"/>
                <w:szCs w:val="21"/>
              </w:rPr>
              <w:t>台</w:t>
            </w:r>
          </w:p>
        </w:tc>
        <w:tc>
          <w:tcPr>
            <w:tcW w:w="1785" w:type="dxa"/>
            <w:tcBorders>
              <w:tl2br w:val="nil"/>
              <w:tr2bl w:val="nil"/>
            </w:tcBorders>
            <w:vAlign w:val="center"/>
          </w:tcPr>
          <w:p>
            <w:pPr>
              <w:jc w:val="center"/>
              <w:rPr>
                <w:rFonts w:ascii="Times New Roman" w:hAnsi="Times New Roman"/>
                <w:kern w:val="0"/>
                <w:szCs w:val="21"/>
              </w:rPr>
            </w:pPr>
            <w:r>
              <w:rPr>
                <w:rFonts w:hint="eastAsia"/>
                <w:szCs w:val="21"/>
              </w:rPr>
              <w:t>1</w:t>
            </w:r>
          </w:p>
        </w:tc>
        <w:tc>
          <w:tcPr>
            <w:tcW w:w="1778" w:type="dxa"/>
            <w:tcBorders>
              <w:tl2br w:val="nil"/>
              <w:tr2bl w:val="nil"/>
            </w:tcBorders>
            <w:vAlign w:val="center"/>
          </w:tcPr>
          <w:p>
            <w:pPr>
              <w:adjustRightInd w:val="0"/>
              <w:snapToGrid w:val="0"/>
              <w:spacing w:line="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ascii="Times New Roman" w:hAnsi="Times New Roman"/>
                <w:kern w:val="0"/>
                <w:szCs w:val="21"/>
              </w:rPr>
            </w:pPr>
            <w:r>
              <w:rPr>
                <w:rFonts w:hint="eastAsia"/>
                <w:szCs w:val="21"/>
              </w:rPr>
              <w:t>4</w:t>
            </w:r>
          </w:p>
        </w:tc>
        <w:tc>
          <w:tcPr>
            <w:tcW w:w="2277" w:type="dxa"/>
            <w:tcBorders>
              <w:tl2br w:val="nil"/>
              <w:tr2bl w:val="nil"/>
            </w:tcBorders>
            <w:vAlign w:val="center"/>
          </w:tcPr>
          <w:p>
            <w:pPr>
              <w:pStyle w:val="34"/>
              <w:rPr>
                <w:kern w:val="0"/>
                <w:szCs w:val="21"/>
              </w:rPr>
            </w:pPr>
            <w:r>
              <w:rPr>
                <w:rFonts w:hint="eastAsia"/>
                <w:kern w:val="2"/>
                <w:lang w:val="en-US" w:eastAsia="zh-CN"/>
              </w:rPr>
              <w:t>叉车</w:t>
            </w:r>
          </w:p>
        </w:tc>
        <w:tc>
          <w:tcPr>
            <w:tcW w:w="1617" w:type="dxa"/>
            <w:tcBorders>
              <w:tl2br w:val="nil"/>
              <w:tr2bl w:val="nil"/>
            </w:tcBorders>
            <w:vAlign w:val="center"/>
          </w:tcPr>
          <w:p>
            <w:pPr>
              <w:jc w:val="center"/>
              <w:rPr>
                <w:rFonts w:ascii="Times New Roman" w:hAnsi="Times New Roman"/>
                <w:kern w:val="0"/>
                <w:szCs w:val="21"/>
              </w:rPr>
            </w:pPr>
            <w:r>
              <w:rPr>
                <w:rFonts w:hint="eastAsia"/>
              </w:rPr>
              <w:t>台</w:t>
            </w:r>
          </w:p>
        </w:tc>
        <w:tc>
          <w:tcPr>
            <w:tcW w:w="1785" w:type="dxa"/>
            <w:tcBorders>
              <w:tl2br w:val="nil"/>
              <w:tr2bl w:val="nil"/>
            </w:tcBorders>
            <w:vAlign w:val="center"/>
          </w:tcPr>
          <w:p>
            <w:pPr>
              <w:pStyle w:val="34"/>
              <w:rPr>
                <w:rFonts w:ascii="Times New Roman" w:hAnsi="Times New Roman"/>
                <w:kern w:val="0"/>
                <w:szCs w:val="21"/>
              </w:rPr>
            </w:pPr>
            <w:r>
              <w:rPr>
                <w:rFonts w:hint="eastAsia"/>
                <w:kern w:val="2"/>
                <w:lang w:val="en-US" w:eastAsia="zh-CN"/>
              </w:rPr>
              <w:t>1</w:t>
            </w:r>
          </w:p>
        </w:tc>
        <w:tc>
          <w:tcPr>
            <w:tcW w:w="1778" w:type="dxa"/>
            <w:tcBorders>
              <w:tl2br w:val="nil"/>
              <w:tr2bl w:val="nil"/>
            </w:tcBorders>
            <w:vAlign w:val="center"/>
          </w:tcPr>
          <w:p>
            <w:pPr>
              <w:adjustRightInd w:val="0"/>
              <w:snapToGrid w:val="0"/>
              <w:spacing w:line="0" w:lineRule="atLeast"/>
              <w:jc w:val="center"/>
              <w:rPr>
                <w:rFonts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hint="eastAsia" w:ascii="Times New Roman" w:hAnsi="Times New Roman" w:eastAsia="宋体"/>
                <w:kern w:val="0"/>
                <w:szCs w:val="21"/>
                <w:lang w:val="en-US" w:eastAsia="zh-CN"/>
              </w:rPr>
            </w:pPr>
            <w:r>
              <w:rPr>
                <w:rFonts w:hint="eastAsia"/>
                <w:szCs w:val="21"/>
              </w:rPr>
              <w:t>5</w:t>
            </w:r>
          </w:p>
        </w:tc>
        <w:tc>
          <w:tcPr>
            <w:tcW w:w="2277" w:type="dxa"/>
            <w:tcBorders>
              <w:tl2br w:val="nil"/>
              <w:tr2bl w:val="nil"/>
            </w:tcBorders>
            <w:vAlign w:val="center"/>
          </w:tcPr>
          <w:p>
            <w:pPr>
              <w:pStyle w:val="34"/>
              <w:rPr>
                <w:rFonts w:hint="eastAsia" w:ascii="Times New Roman" w:hAnsi="Times New Roman"/>
                <w:color w:val="000000"/>
                <w:kern w:val="0"/>
                <w:szCs w:val="21"/>
                <w:u w:color="000000"/>
              </w:rPr>
            </w:pPr>
            <w:r>
              <w:rPr>
                <w:rFonts w:hint="eastAsia"/>
                <w:kern w:val="2"/>
                <w:lang w:val="en-US" w:eastAsia="zh-CN"/>
              </w:rPr>
              <w:t>打磨器</w:t>
            </w:r>
          </w:p>
        </w:tc>
        <w:tc>
          <w:tcPr>
            <w:tcW w:w="1617" w:type="dxa"/>
            <w:tcBorders>
              <w:tl2br w:val="nil"/>
              <w:tr2bl w:val="nil"/>
            </w:tcBorders>
            <w:vAlign w:val="center"/>
          </w:tcPr>
          <w:p>
            <w:pPr>
              <w:jc w:val="center"/>
              <w:rPr>
                <w:rFonts w:hint="eastAsia" w:ascii="Times New Roman" w:hAnsi="Times New Roman" w:eastAsia="宋体"/>
                <w:kern w:val="0"/>
                <w:szCs w:val="21"/>
                <w:lang w:val="en-US" w:eastAsia="zh-CN"/>
              </w:rPr>
            </w:pPr>
            <w:r>
              <w:rPr>
                <w:rFonts w:hint="eastAsia"/>
              </w:rPr>
              <w:t>台</w:t>
            </w:r>
          </w:p>
        </w:tc>
        <w:tc>
          <w:tcPr>
            <w:tcW w:w="1785" w:type="dxa"/>
            <w:tcBorders>
              <w:tl2br w:val="nil"/>
              <w:tr2bl w:val="nil"/>
            </w:tcBorders>
            <w:vAlign w:val="center"/>
          </w:tcPr>
          <w:p>
            <w:pPr>
              <w:pStyle w:val="34"/>
              <w:rPr>
                <w:rFonts w:hint="eastAsia" w:ascii="Times New Roman" w:hAnsi="Times New Roman"/>
                <w:kern w:val="0"/>
                <w:szCs w:val="21"/>
                <w:u w:color="000000"/>
              </w:rPr>
            </w:pPr>
            <w:r>
              <w:rPr>
                <w:rFonts w:hint="eastAsia"/>
                <w:kern w:val="2"/>
                <w:lang w:val="en-US" w:eastAsia="zh-CN"/>
              </w:rPr>
              <w:t>5</w:t>
            </w:r>
          </w:p>
        </w:tc>
        <w:tc>
          <w:tcPr>
            <w:tcW w:w="1778" w:type="dxa"/>
            <w:tcBorders>
              <w:tl2br w:val="nil"/>
              <w:tr2bl w:val="nil"/>
            </w:tcBorders>
            <w:vAlign w:val="center"/>
          </w:tcPr>
          <w:p>
            <w:pPr>
              <w:adjustRightInd w:val="0"/>
              <w:snapToGrid w:val="0"/>
              <w:spacing w:line="0" w:lineRule="atLeast"/>
              <w:jc w:val="center"/>
              <w:rPr>
                <w:rFonts w:hint="eastAsia" w:ascii="Times New Roman" w:hAnsi="Times New Roman"/>
                <w:kern w:val="0"/>
                <w:szCs w:val="21"/>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hint="eastAsia" w:ascii="Times New Roman" w:hAnsi="Times New Roman"/>
                <w:kern w:val="0"/>
                <w:szCs w:val="21"/>
                <w:lang w:val="en-US" w:eastAsia="zh-CN"/>
              </w:rPr>
            </w:pPr>
            <w:r>
              <w:rPr>
                <w:rFonts w:hint="eastAsia"/>
                <w:szCs w:val="21"/>
              </w:rPr>
              <w:t>6</w:t>
            </w:r>
          </w:p>
        </w:tc>
        <w:tc>
          <w:tcPr>
            <w:tcW w:w="2277" w:type="dxa"/>
            <w:tcBorders>
              <w:tl2br w:val="nil"/>
              <w:tr2bl w:val="nil"/>
            </w:tcBorders>
            <w:vAlign w:val="center"/>
          </w:tcPr>
          <w:p>
            <w:pPr>
              <w:pStyle w:val="34"/>
              <w:rPr>
                <w:rFonts w:hint="eastAsia"/>
                <w:szCs w:val="21"/>
              </w:rPr>
            </w:pPr>
            <w:r>
              <w:rPr>
                <w:rFonts w:hint="eastAsia"/>
                <w:kern w:val="2"/>
                <w:lang w:val="en-US" w:eastAsia="zh-CN"/>
              </w:rPr>
              <w:t>等离子切割机</w:t>
            </w:r>
          </w:p>
        </w:tc>
        <w:tc>
          <w:tcPr>
            <w:tcW w:w="1617" w:type="dxa"/>
            <w:tcBorders>
              <w:tl2br w:val="nil"/>
              <w:tr2bl w:val="nil"/>
            </w:tcBorders>
            <w:vAlign w:val="center"/>
          </w:tcPr>
          <w:p>
            <w:pPr>
              <w:jc w:val="center"/>
              <w:rPr>
                <w:rFonts w:hint="eastAsia" w:ascii="Times New Roman" w:hAnsi="Times New Roman"/>
                <w:kern w:val="0"/>
                <w:szCs w:val="21"/>
                <w:lang w:val="en-US" w:eastAsia="zh-CN"/>
              </w:rPr>
            </w:pPr>
            <w:r>
              <w:rPr>
                <w:rFonts w:hint="eastAsia"/>
              </w:rPr>
              <w:t>台</w:t>
            </w:r>
          </w:p>
        </w:tc>
        <w:tc>
          <w:tcPr>
            <w:tcW w:w="1785" w:type="dxa"/>
            <w:tcBorders>
              <w:tl2br w:val="nil"/>
              <w:tr2bl w:val="nil"/>
            </w:tcBorders>
            <w:vAlign w:val="center"/>
          </w:tcPr>
          <w:p>
            <w:pPr>
              <w:pStyle w:val="34"/>
              <w:rPr>
                <w:rFonts w:hint="eastAsia"/>
                <w:szCs w:val="21"/>
              </w:rPr>
            </w:pPr>
            <w:r>
              <w:rPr>
                <w:rFonts w:hint="eastAsia"/>
                <w:kern w:val="2"/>
                <w:lang w:val="en-US" w:eastAsia="zh-CN"/>
              </w:rPr>
              <w:t>1</w:t>
            </w:r>
          </w:p>
        </w:tc>
        <w:tc>
          <w:tcPr>
            <w:tcW w:w="1778" w:type="dxa"/>
            <w:tcBorders>
              <w:tl2br w:val="nil"/>
              <w:tr2bl w:val="nil"/>
            </w:tcBorders>
            <w:vAlign w:val="center"/>
          </w:tcPr>
          <w:p>
            <w:pPr>
              <w:adjustRightInd w:val="0"/>
              <w:snapToGrid w:val="0"/>
              <w:spacing w:line="0" w:lineRule="atLeast"/>
              <w:jc w:val="center"/>
              <w:rPr>
                <w:rFonts w:hint="eastAsia" w:ascii="Times New Roman" w:hAnsi="Times New Roman" w:eastAsia="宋体" w:cs="Times New Roman"/>
                <w:kern w:val="0"/>
                <w:sz w:val="21"/>
                <w:szCs w:val="21"/>
                <w:lang w:val="en-US" w:eastAsia="zh-CN" w:bidi="ar-SA"/>
              </w:rPr>
            </w:pPr>
            <w:r>
              <w:rPr>
                <w:rFonts w:hint="eastAsia" w:ascii="Times New Roman" w:hAnsi="Times New Roman"/>
                <w:kern w:val="0"/>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jc w:val="center"/>
              <w:rPr>
                <w:rFonts w:hint="eastAsia" w:ascii="Times New Roman" w:hAnsi="Times New Roman"/>
                <w:kern w:val="0"/>
                <w:szCs w:val="21"/>
                <w:lang w:val="en-US" w:eastAsia="zh-CN"/>
              </w:rPr>
            </w:pPr>
            <w:r>
              <w:rPr>
                <w:rFonts w:hint="eastAsia"/>
                <w:szCs w:val="21"/>
              </w:rPr>
              <w:t>7</w:t>
            </w:r>
          </w:p>
        </w:tc>
        <w:tc>
          <w:tcPr>
            <w:tcW w:w="2277" w:type="dxa"/>
            <w:tcBorders>
              <w:tl2br w:val="nil"/>
              <w:tr2bl w:val="nil"/>
            </w:tcBorders>
            <w:vAlign w:val="center"/>
          </w:tcPr>
          <w:p>
            <w:pPr>
              <w:pStyle w:val="34"/>
              <w:rPr>
                <w:rFonts w:hint="eastAsia"/>
                <w:szCs w:val="21"/>
              </w:rPr>
            </w:pPr>
            <w:r>
              <w:rPr>
                <w:rFonts w:hint="eastAsia"/>
                <w:kern w:val="2"/>
                <w:lang w:val="en-US" w:eastAsia="zh-CN"/>
              </w:rPr>
              <w:t>电焊机</w:t>
            </w:r>
          </w:p>
        </w:tc>
        <w:tc>
          <w:tcPr>
            <w:tcW w:w="1617" w:type="dxa"/>
            <w:tcBorders>
              <w:tl2br w:val="nil"/>
              <w:tr2bl w:val="nil"/>
            </w:tcBorders>
            <w:vAlign w:val="center"/>
          </w:tcPr>
          <w:p>
            <w:pPr>
              <w:jc w:val="center"/>
              <w:rPr>
                <w:rFonts w:hint="eastAsia" w:ascii="Times New Roman" w:hAnsi="Times New Roman"/>
                <w:kern w:val="0"/>
                <w:szCs w:val="21"/>
                <w:lang w:val="en-US" w:eastAsia="zh-CN"/>
              </w:rPr>
            </w:pPr>
            <w:r>
              <w:rPr>
                <w:rFonts w:hint="eastAsia"/>
              </w:rPr>
              <w:t>台</w:t>
            </w:r>
          </w:p>
        </w:tc>
        <w:tc>
          <w:tcPr>
            <w:tcW w:w="1785" w:type="dxa"/>
            <w:tcBorders>
              <w:tl2br w:val="nil"/>
              <w:tr2bl w:val="nil"/>
            </w:tcBorders>
            <w:vAlign w:val="center"/>
          </w:tcPr>
          <w:p>
            <w:pPr>
              <w:pStyle w:val="34"/>
              <w:rPr>
                <w:rFonts w:hint="eastAsia"/>
                <w:szCs w:val="21"/>
              </w:rPr>
            </w:pPr>
            <w:r>
              <w:rPr>
                <w:rFonts w:hint="eastAsia"/>
                <w:kern w:val="2"/>
                <w:lang w:val="en-US" w:eastAsia="zh-CN"/>
              </w:rPr>
              <w:t>2</w:t>
            </w:r>
          </w:p>
        </w:tc>
        <w:tc>
          <w:tcPr>
            <w:tcW w:w="1778" w:type="dxa"/>
            <w:tcBorders>
              <w:tl2br w:val="nil"/>
              <w:tr2bl w:val="nil"/>
            </w:tcBorders>
            <w:vAlign w:val="center"/>
          </w:tcPr>
          <w:p>
            <w:pPr>
              <w:adjustRightInd w:val="0"/>
              <w:snapToGrid w:val="0"/>
              <w:spacing w:line="0" w:lineRule="atLeast"/>
              <w:jc w:val="center"/>
              <w:rPr>
                <w:rFonts w:hint="eastAsia" w:ascii="Times New Roman" w:hAnsi="Times New Roman" w:eastAsia="宋体" w:cs="Times New Roman"/>
                <w:kern w:val="0"/>
                <w:sz w:val="21"/>
                <w:szCs w:val="21"/>
                <w:lang w:val="en-US" w:eastAsia="zh-CN" w:bidi="ar-SA"/>
              </w:rPr>
            </w:pPr>
            <w:r>
              <w:rPr>
                <w:rFonts w:hint="eastAsia" w:ascii="Times New Roman" w:hAnsi="Times New Roman"/>
                <w:kern w:val="0"/>
                <w:szCs w:val="21"/>
              </w:rPr>
              <w:t>与环评一致</w:t>
            </w:r>
          </w:p>
        </w:tc>
      </w:tr>
    </w:tbl>
    <w:p>
      <w:pPr>
        <w:pStyle w:val="6"/>
        <w:rPr>
          <w:rFonts w:ascii="Times New Roman" w:hAnsi="Times New Roman"/>
          <w:color w:val="000000"/>
        </w:rPr>
      </w:pPr>
      <w:r>
        <w:rPr>
          <w:rFonts w:ascii="Times New Roman" w:hAnsi="Times New Roman"/>
          <w:color w:val="000000"/>
        </w:rPr>
        <w:t>2.3 工艺流程</w:t>
      </w:r>
      <w:bookmarkEnd w:id="84"/>
      <w:bookmarkEnd w:id="85"/>
      <w:bookmarkEnd w:id="86"/>
      <w:bookmarkEnd w:id="87"/>
    </w:p>
    <w:p>
      <w:pPr>
        <w:spacing w:after="312" w:afterLines="100" w:line="480" w:lineRule="atLeast"/>
        <w:ind w:firstLine="482"/>
        <w:rPr>
          <w:rFonts w:ascii="Times New Roman" w:hAnsi="Times New Roman"/>
          <w:sz w:val="24"/>
          <w:szCs w:val="24"/>
        </w:rPr>
      </w:pPr>
      <w:r>
        <w:rPr>
          <w:rFonts w:ascii="Times New Roman" w:hAnsi="Times New Roman"/>
          <w:sz w:val="24"/>
          <w:szCs w:val="24"/>
        </w:rPr>
        <w:t>工艺流程及产污环节见图2-1。</w:t>
      </w:r>
    </w:p>
    <w:p>
      <w:pPr>
        <w:pStyle w:val="2"/>
      </w:pPr>
      <w:r>
        <w:drawing>
          <wp:inline distT="0" distB="0" distL="114300" distR="114300">
            <wp:extent cx="5219700" cy="17335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19700" cy="1733550"/>
                    </a:xfrm>
                    <a:prstGeom prst="rect">
                      <a:avLst/>
                    </a:prstGeom>
                    <a:noFill/>
                    <a:ln>
                      <a:noFill/>
                    </a:ln>
                  </pic:spPr>
                </pic:pic>
              </a:graphicData>
            </a:graphic>
          </wp:inline>
        </w:drawing>
      </w:r>
    </w:p>
    <w:p>
      <w:pPr>
        <w:widowControl/>
        <w:spacing w:line="360" w:lineRule="auto"/>
        <w:jc w:val="center"/>
        <w:textAlignment w:val="baseline"/>
        <w:rPr>
          <w:rFonts w:ascii="Times New Roman" w:hAnsi="Times New Roman"/>
          <w:b/>
          <w:color w:val="000000"/>
          <w:kern w:val="0"/>
          <w:sz w:val="24"/>
          <w:szCs w:val="20"/>
          <w:u w:color="000000"/>
        </w:rPr>
      </w:pPr>
      <w:bookmarkStart w:id="88" w:name="_Toc12629"/>
      <w:bookmarkStart w:id="89" w:name="_Toc29955"/>
      <w:bookmarkStart w:id="90" w:name="_Toc2746"/>
      <w:bookmarkStart w:id="91" w:name="_Toc12284"/>
      <w:r>
        <w:rPr>
          <w:rFonts w:hint="eastAsia" w:ascii="Times New Roman" w:hAnsi="Times New Roman"/>
          <w:b/>
          <w:color w:val="000000"/>
          <w:kern w:val="0"/>
          <w:sz w:val="24"/>
          <w:szCs w:val="20"/>
          <w:u w:color="000000"/>
        </w:rPr>
        <w:t xml:space="preserve">图2 </w:t>
      </w:r>
      <w:r>
        <w:rPr>
          <w:rFonts w:ascii="Times New Roman" w:hAnsi="Times New Roman"/>
          <w:b/>
          <w:color w:val="000000"/>
          <w:kern w:val="0"/>
          <w:sz w:val="24"/>
          <w:szCs w:val="20"/>
          <w:u w:color="000000"/>
        </w:rPr>
        <w:t>-1</w:t>
      </w:r>
      <w:r>
        <w:rPr>
          <w:rFonts w:hint="eastAsia" w:ascii="Times New Roman" w:hAnsi="Times New Roman"/>
          <w:b/>
          <w:color w:val="000000"/>
          <w:kern w:val="0"/>
          <w:sz w:val="24"/>
          <w:szCs w:val="20"/>
          <w:u w:color="000000"/>
        </w:rPr>
        <w:t xml:space="preserve">   生产工艺流程及产污节点</w:t>
      </w:r>
    </w:p>
    <w:p>
      <w:pPr>
        <w:pStyle w:val="2"/>
        <w:spacing w:line="440" w:lineRule="exact"/>
        <w:ind w:firstLine="480"/>
        <w:jc w:val="left"/>
        <w:rPr>
          <w:rFonts w:ascii="Times New Roman" w:hAnsi="Times New Roman"/>
          <w:sz w:val="24"/>
          <w:szCs w:val="22"/>
        </w:rPr>
      </w:pPr>
      <w:r>
        <w:rPr>
          <w:rFonts w:hint="eastAsia" w:ascii="Times New Roman" w:hAnsi="Times New Roman"/>
          <w:sz w:val="24"/>
        </w:rPr>
        <w:t>工艺流</w:t>
      </w:r>
      <w:r>
        <w:rPr>
          <w:rFonts w:hint="eastAsia" w:ascii="Times New Roman" w:hAnsi="Times New Roman"/>
          <w:kern w:val="28"/>
          <w:sz w:val="24"/>
          <w:szCs w:val="22"/>
        </w:rPr>
        <w:t>程</w:t>
      </w:r>
      <w:r>
        <w:rPr>
          <w:rFonts w:hint="eastAsia" w:ascii="Times New Roman" w:hAnsi="Times New Roman"/>
          <w:sz w:val="24"/>
          <w:szCs w:val="22"/>
        </w:rPr>
        <w:t>简述：</w:t>
      </w:r>
    </w:p>
    <w:p>
      <w:pPr>
        <w:pStyle w:val="6"/>
        <w:ind w:firstLine="480" w:firstLineChars="200"/>
        <w:rPr>
          <w:rFonts w:hint="eastAsia" w:ascii="Times New Roman" w:hAnsi="Times New Roman"/>
          <w:b w:val="0"/>
          <w:sz w:val="24"/>
          <w:szCs w:val="22"/>
        </w:rPr>
      </w:pPr>
      <w:r>
        <w:rPr>
          <w:rFonts w:hint="eastAsia" w:ascii="Times New Roman" w:hAnsi="Times New Roman"/>
          <w:b w:val="0"/>
          <w:sz w:val="24"/>
          <w:szCs w:val="22"/>
        </w:rPr>
        <w:t>（1）切割：部分产品需要利用等离子切割机将钢板切割成所需的形状，其他产品均外购切割好的钢板。</w:t>
      </w:r>
    </w:p>
    <w:p>
      <w:pPr>
        <w:pStyle w:val="6"/>
        <w:ind w:firstLine="480" w:firstLineChars="200"/>
        <w:rPr>
          <w:rFonts w:hint="eastAsia" w:ascii="Times New Roman" w:hAnsi="Times New Roman"/>
          <w:b w:val="0"/>
          <w:sz w:val="24"/>
          <w:szCs w:val="22"/>
        </w:rPr>
      </w:pPr>
      <w:r>
        <w:rPr>
          <w:rFonts w:hint="eastAsia" w:ascii="Times New Roman" w:hAnsi="Times New Roman"/>
          <w:b w:val="0"/>
          <w:sz w:val="24"/>
          <w:szCs w:val="22"/>
        </w:rPr>
        <w:t>（2）修磨：利用手持砂轮打磨器修磨切割好的钢板。</w:t>
      </w:r>
    </w:p>
    <w:p>
      <w:pPr>
        <w:pStyle w:val="6"/>
        <w:ind w:firstLine="480" w:firstLineChars="200"/>
        <w:rPr>
          <w:rFonts w:hint="eastAsia" w:ascii="Times New Roman" w:hAnsi="Times New Roman"/>
          <w:b w:val="0"/>
          <w:sz w:val="24"/>
          <w:szCs w:val="22"/>
        </w:rPr>
      </w:pPr>
      <w:r>
        <w:rPr>
          <w:rFonts w:hint="eastAsia" w:ascii="Times New Roman" w:hAnsi="Times New Roman"/>
          <w:b w:val="0"/>
          <w:sz w:val="24"/>
          <w:szCs w:val="22"/>
        </w:rPr>
        <w:t>（3）焊接：根据产品要求利用电焊机进行焊接。</w:t>
      </w:r>
    </w:p>
    <w:p>
      <w:pPr>
        <w:pStyle w:val="6"/>
        <w:ind w:firstLine="480" w:firstLineChars="200"/>
        <w:rPr>
          <w:rFonts w:hint="eastAsia" w:ascii="Times New Roman" w:hAnsi="Times New Roman"/>
          <w:b w:val="0"/>
          <w:sz w:val="24"/>
          <w:szCs w:val="22"/>
          <w:lang w:val="en-US" w:eastAsia="zh-CN"/>
        </w:rPr>
      </w:pPr>
      <w:r>
        <w:rPr>
          <w:rFonts w:hint="eastAsia" w:ascii="Times New Roman" w:hAnsi="Times New Roman"/>
          <w:b w:val="0"/>
          <w:sz w:val="24"/>
          <w:szCs w:val="22"/>
          <w:lang w:val="en-US" w:eastAsia="zh-CN"/>
        </w:rPr>
        <w:t>（4）喷砂：利用1台玻璃砂喷砂机和1台抛丸机进行喷砂除锈。</w:t>
      </w:r>
    </w:p>
    <w:p>
      <w:pPr>
        <w:pStyle w:val="6"/>
        <w:ind w:firstLine="480" w:firstLineChars="200"/>
        <w:rPr>
          <w:rFonts w:ascii="Times New Roman" w:hAnsi="Times New Roman"/>
          <w:b w:val="0"/>
          <w:sz w:val="24"/>
          <w:szCs w:val="22"/>
        </w:rPr>
      </w:pPr>
      <w:r>
        <w:rPr>
          <w:rFonts w:hint="eastAsia" w:ascii="Times New Roman" w:hAnsi="Times New Roman"/>
          <w:b w:val="0"/>
          <w:sz w:val="24"/>
          <w:szCs w:val="22"/>
          <w:lang w:val="en-US" w:eastAsia="zh-CN"/>
        </w:rPr>
        <w:t>（5）检验：经检验合格后即为成品入库待销</w:t>
      </w:r>
      <w:r>
        <w:rPr>
          <w:rFonts w:hint="eastAsia" w:ascii="Times New Roman" w:hAnsi="Times New Roman"/>
          <w:b w:val="0"/>
          <w:sz w:val="24"/>
          <w:szCs w:val="22"/>
        </w:rPr>
        <w:t>。</w:t>
      </w:r>
    </w:p>
    <w:p>
      <w:pPr>
        <w:pStyle w:val="6"/>
        <w:rPr>
          <w:rFonts w:ascii="Times New Roman" w:hAnsi="Times New Roman"/>
        </w:rPr>
      </w:pPr>
      <w:r>
        <w:rPr>
          <w:rFonts w:ascii="Times New Roman" w:hAnsi="Times New Roman"/>
        </w:rPr>
        <w:t>2.4 劳动定员及工作制度</w:t>
      </w:r>
      <w:bookmarkEnd w:id="88"/>
      <w:bookmarkEnd w:id="89"/>
      <w:bookmarkEnd w:id="90"/>
      <w:bookmarkEnd w:id="91"/>
    </w:p>
    <w:p>
      <w:pPr>
        <w:spacing w:line="440" w:lineRule="atLeast"/>
        <w:ind w:firstLine="480" w:firstLineChars="200"/>
        <w:rPr>
          <w:rFonts w:ascii="Times New Roman" w:hAnsi="Times New Roman"/>
          <w:sz w:val="24"/>
          <w:szCs w:val="24"/>
        </w:rPr>
      </w:pPr>
      <w:r>
        <w:rPr>
          <w:rFonts w:ascii="Times New Roman" w:hAnsi="Times New Roman"/>
          <w:sz w:val="24"/>
          <w:szCs w:val="24"/>
        </w:rPr>
        <w:t>本项目劳动定员为</w:t>
      </w:r>
      <w:r>
        <w:rPr>
          <w:rFonts w:hint="eastAsia" w:ascii="Times New Roman" w:hAnsi="Times New Roman"/>
          <w:sz w:val="24"/>
          <w:szCs w:val="24"/>
          <w:lang w:val="en-US" w:eastAsia="zh-CN"/>
        </w:rPr>
        <w:t>5</w:t>
      </w:r>
      <w:r>
        <w:rPr>
          <w:rFonts w:ascii="Times New Roman" w:hAnsi="Times New Roman"/>
          <w:sz w:val="24"/>
          <w:szCs w:val="24"/>
        </w:rPr>
        <w:t>人，年工作日为300天，</w:t>
      </w:r>
      <w:r>
        <w:rPr>
          <w:rFonts w:hint="eastAsia" w:ascii="Times New Roman" w:hAnsi="Times New Roman"/>
          <w:sz w:val="24"/>
          <w:szCs w:val="24"/>
        </w:rPr>
        <w:t>一</w:t>
      </w:r>
      <w:r>
        <w:rPr>
          <w:rFonts w:ascii="Times New Roman" w:hAnsi="Times New Roman"/>
          <w:sz w:val="24"/>
          <w:szCs w:val="24"/>
        </w:rPr>
        <w:t>班8h工作制。</w:t>
      </w:r>
    </w:p>
    <w:p>
      <w:pPr>
        <w:pStyle w:val="6"/>
        <w:rPr>
          <w:rFonts w:ascii="Times New Roman" w:hAnsi="Times New Roman"/>
        </w:rPr>
      </w:pPr>
      <w:bookmarkStart w:id="92" w:name="_Toc172"/>
      <w:bookmarkStart w:id="93" w:name="_Toc23560"/>
      <w:bookmarkStart w:id="94" w:name="_Toc18609"/>
      <w:bookmarkStart w:id="95" w:name="_Toc4180"/>
      <w:r>
        <w:rPr>
          <w:rFonts w:ascii="Times New Roman" w:hAnsi="Times New Roman"/>
        </w:rPr>
        <w:t>2.5 公用工程</w:t>
      </w:r>
      <w:bookmarkEnd w:id="92"/>
      <w:bookmarkEnd w:id="93"/>
      <w:bookmarkEnd w:id="94"/>
      <w:bookmarkEnd w:id="95"/>
    </w:p>
    <w:p>
      <w:pPr>
        <w:pStyle w:val="7"/>
        <w:spacing w:line="440" w:lineRule="atLeast"/>
        <w:rPr>
          <w:rFonts w:ascii="Times New Roman" w:hAnsi="Times New Roman"/>
        </w:rPr>
      </w:pPr>
      <w:bookmarkStart w:id="96" w:name="_Toc497001447"/>
      <w:bookmarkStart w:id="97" w:name="_Toc496979011"/>
      <w:bookmarkStart w:id="98" w:name="_Toc30661"/>
      <w:bookmarkStart w:id="99" w:name="_Toc11895"/>
      <w:bookmarkStart w:id="100" w:name="_Toc30587"/>
      <w:bookmarkStart w:id="101" w:name="_Toc23987"/>
      <w:r>
        <w:rPr>
          <w:rFonts w:ascii="Times New Roman" w:hAnsi="Times New Roman"/>
        </w:rPr>
        <w:t>2.5.1 给排水</w:t>
      </w:r>
      <w:bookmarkEnd w:id="96"/>
      <w:bookmarkEnd w:id="97"/>
      <w:bookmarkEnd w:id="98"/>
      <w:bookmarkEnd w:id="99"/>
      <w:bookmarkEnd w:id="100"/>
      <w:bookmarkEnd w:id="101"/>
    </w:p>
    <w:p>
      <w:pPr>
        <w:pStyle w:val="7"/>
        <w:spacing w:line="440" w:lineRule="atLeast"/>
        <w:ind w:firstLine="480" w:firstLineChars="200"/>
        <w:rPr>
          <w:rFonts w:ascii="Times New Roman" w:hAnsi="Times New Roman"/>
        </w:rPr>
      </w:pPr>
      <w:bookmarkStart w:id="102" w:name="_Toc496979012"/>
      <w:bookmarkStart w:id="103" w:name="_Toc497001448"/>
      <w:bookmarkStart w:id="104" w:name="_Toc922"/>
      <w:r>
        <w:rPr>
          <w:rFonts w:ascii="Times New Roman" w:hAnsi="Times New Roman"/>
        </w:rPr>
        <w:t>1）给水：项目用水由</w:t>
      </w:r>
      <w:r>
        <w:rPr>
          <w:rFonts w:hint="eastAsia" w:ascii="Times New Roman" w:hAnsi="Times New Roman"/>
          <w:lang w:val="en-US" w:eastAsia="zh-CN"/>
        </w:rPr>
        <w:t>盐山镇</w:t>
      </w:r>
      <w:r>
        <w:rPr>
          <w:rFonts w:ascii="Times New Roman" w:hAnsi="Times New Roman"/>
        </w:rPr>
        <w:t>供水管网提供。</w:t>
      </w:r>
    </w:p>
    <w:p>
      <w:pPr>
        <w:pStyle w:val="7"/>
        <w:spacing w:line="440" w:lineRule="atLeast"/>
        <w:ind w:firstLine="480" w:firstLineChars="200"/>
        <w:rPr>
          <w:rFonts w:ascii="Times New Roman" w:hAnsi="Times New Roman"/>
          <w:kern w:val="28"/>
        </w:rPr>
      </w:pPr>
      <w:bookmarkStart w:id="105" w:name="_Toc30676"/>
      <w:r>
        <w:rPr>
          <w:rFonts w:ascii="Times New Roman" w:hAnsi="Times New Roman"/>
        </w:rPr>
        <w:t>2）排水</w:t>
      </w:r>
      <w:r>
        <w:rPr>
          <w:rFonts w:ascii="Times New Roman" w:hAnsi="Times New Roman"/>
          <w:kern w:val="28"/>
        </w:rPr>
        <w:t>：</w:t>
      </w:r>
      <w:bookmarkEnd w:id="105"/>
      <w:r>
        <w:rPr>
          <w:rFonts w:hint="eastAsia" w:ascii="Times New Roman" w:hAnsi="Times New Roman"/>
          <w:kern w:val="28"/>
        </w:rPr>
        <w:t>项目无生产废水产生；废水主要为职工生活盥洗污水，用于厂区泼洒抑尘不外排</w:t>
      </w:r>
    </w:p>
    <w:p>
      <w:pPr>
        <w:pStyle w:val="7"/>
        <w:spacing w:line="440" w:lineRule="atLeast"/>
        <w:rPr>
          <w:rFonts w:ascii="Times New Roman" w:hAnsi="Times New Roman"/>
        </w:rPr>
      </w:pPr>
      <w:bookmarkStart w:id="106" w:name="_Toc26592"/>
      <w:bookmarkStart w:id="107" w:name="_Toc24223"/>
      <w:bookmarkStart w:id="108" w:name="_Toc21823"/>
      <w:r>
        <w:rPr>
          <w:rFonts w:ascii="Times New Roman" w:hAnsi="Times New Roman"/>
        </w:rPr>
        <w:t>2.5.2 供电</w:t>
      </w:r>
      <w:bookmarkEnd w:id="102"/>
      <w:bookmarkEnd w:id="103"/>
      <w:bookmarkEnd w:id="104"/>
      <w:bookmarkEnd w:id="106"/>
      <w:bookmarkEnd w:id="107"/>
      <w:bookmarkEnd w:id="108"/>
    </w:p>
    <w:p>
      <w:pPr>
        <w:spacing w:line="440" w:lineRule="atLeast"/>
        <w:ind w:firstLine="480" w:firstLineChars="200"/>
        <w:rPr>
          <w:rFonts w:ascii="Times New Roman" w:hAnsi="Times New Roman"/>
          <w:sz w:val="24"/>
          <w:szCs w:val="24"/>
        </w:rPr>
      </w:pPr>
      <w:r>
        <w:rPr>
          <w:rFonts w:ascii="Times New Roman" w:hAnsi="Times New Roman"/>
          <w:sz w:val="24"/>
          <w:szCs w:val="24"/>
        </w:rPr>
        <w:t>项目用电由当地供电管网提供</w:t>
      </w:r>
      <w:r>
        <w:rPr>
          <w:rFonts w:hint="eastAsia" w:ascii="Times New Roman" w:hAnsi="Times New Roman"/>
          <w:sz w:val="24"/>
          <w:szCs w:val="24"/>
        </w:rPr>
        <w:t>。</w:t>
      </w:r>
    </w:p>
    <w:p>
      <w:pPr>
        <w:pStyle w:val="7"/>
        <w:rPr>
          <w:rFonts w:ascii="Times New Roman" w:hAnsi="Times New Roman"/>
        </w:rPr>
      </w:pPr>
      <w:bookmarkStart w:id="109" w:name="_Toc138"/>
      <w:bookmarkStart w:id="110" w:name="_Toc2253"/>
      <w:bookmarkStart w:id="111" w:name="_Toc11980"/>
      <w:bookmarkStart w:id="112" w:name="_Toc27473"/>
      <w:r>
        <w:rPr>
          <w:rFonts w:ascii="Times New Roman" w:hAnsi="Times New Roman"/>
        </w:rPr>
        <w:t>2.5.3供暖</w:t>
      </w:r>
      <w:bookmarkEnd w:id="109"/>
      <w:bookmarkEnd w:id="110"/>
      <w:bookmarkEnd w:id="111"/>
      <w:bookmarkEnd w:id="112"/>
    </w:p>
    <w:p>
      <w:pPr>
        <w:spacing w:line="360" w:lineRule="auto"/>
        <w:ind w:firstLine="480" w:firstLineChars="200"/>
        <w:rPr>
          <w:rFonts w:ascii="Times New Roman" w:hAnsi="Times New Roman"/>
          <w:sz w:val="24"/>
          <w:szCs w:val="24"/>
        </w:rPr>
      </w:pPr>
      <w:r>
        <w:rPr>
          <w:rFonts w:ascii="Times New Roman" w:hAnsi="Times New Roman"/>
          <w:sz w:val="24"/>
          <w:szCs w:val="24"/>
        </w:rPr>
        <w:t>项目车间冬季不供暖，办公室采用电取暖。</w:t>
      </w:r>
    </w:p>
    <w:p>
      <w:pPr>
        <w:pStyle w:val="6"/>
        <w:spacing w:line="440" w:lineRule="atLeast"/>
        <w:rPr>
          <w:rFonts w:ascii="Times New Roman" w:hAnsi="Times New Roman"/>
        </w:rPr>
      </w:pPr>
      <w:bookmarkStart w:id="113" w:name="_Toc23930"/>
      <w:bookmarkStart w:id="114" w:name="_Toc21958"/>
      <w:bookmarkStart w:id="115" w:name="_Toc12064"/>
      <w:bookmarkStart w:id="116" w:name="_Toc14595"/>
      <w:r>
        <w:rPr>
          <w:rFonts w:ascii="Times New Roman" w:hAnsi="Times New Roman"/>
        </w:rPr>
        <w:t>2.6 环评审批情况</w:t>
      </w:r>
      <w:bookmarkEnd w:id="113"/>
      <w:bookmarkEnd w:id="114"/>
      <w:bookmarkEnd w:id="115"/>
      <w:bookmarkEnd w:id="116"/>
    </w:p>
    <w:p>
      <w:pPr>
        <w:spacing w:line="360" w:lineRule="auto"/>
        <w:ind w:firstLine="480" w:firstLineChars="200"/>
        <w:rPr>
          <w:rFonts w:ascii="Times New Roman" w:hAnsi="Times New Roman"/>
          <w:sz w:val="24"/>
          <w:szCs w:val="24"/>
        </w:rPr>
      </w:pPr>
      <w:r>
        <w:rPr>
          <w:rFonts w:hint="eastAsia" w:ascii="Times New Roman" w:hAnsi="Times New Roman"/>
          <w:sz w:val="24"/>
          <w:szCs w:val="24"/>
          <w:lang w:val="en-US" w:eastAsia="zh-CN"/>
        </w:rPr>
        <w:t>湖北黄环环保科技有限公司</w:t>
      </w:r>
      <w:r>
        <w:rPr>
          <w:rFonts w:hint="eastAsia" w:ascii="Times New Roman" w:hAnsi="Times New Roman"/>
          <w:sz w:val="24"/>
        </w:rPr>
        <w:t>于</w:t>
      </w:r>
      <w:r>
        <w:rPr>
          <w:rFonts w:ascii="Times New Roman" w:hAnsi="Times New Roman"/>
          <w:sz w:val="24"/>
          <w:szCs w:val="24"/>
        </w:rPr>
        <w:t>201</w:t>
      </w:r>
      <w:r>
        <w:rPr>
          <w:rFonts w:hint="eastAsia" w:ascii="Times New Roman" w:hAnsi="Times New Roman"/>
          <w:sz w:val="24"/>
          <w:szCs w:val="24"/>
        </w:rPr>
        <w:t>9</w:t>
      </w:r>
      <w:r>
        <w:rPr>
          <w:rFonts w:ascii="Times New Roman" w:hAnsi="Times New Roman"/>
          <w:sz w:val="24"/>
          <w:szCs w:val="24"/>
        </w:rPr>
        <w:t>年</w:t>
      </w:r>
      <w:r>
        <w:rPr>
          <w:rFonts w:hint="eastAsia" w:ascii="Times New Roman" w:hAnsi="Times New Roman"/>
          <w:sz w:val="24"/>
          <w:szCs w:val="24"/>
          <w:lang w:val="en-US" w:eastAsia="zh-CN"/>
        </w:rPr>
        <w:t>9</w:t>
      </w:r>
      <w:r>
        <w:rPr>
          <w:rFonts w:ascii="Times New Roman" w:hAnsi="Times New Roman"/>
          <w:sz w:val="24"/>
          <w:szCs w:val="24"/>
        </w:rPr>
        <w:t>月</w:t>
      </w:r>
      <w:r>
        <w:rPr>
          <w:rFonts w:hint="eastAsia" w:ascii="Times New Roman" w:hAnsi="Times New Roman"/>
          <w:sz w:val="24"/>
          <w:szCs w:val="24"/>
        </w:rPr>
        <w:t>编制完成了</w:t>
      </w:r>
      <w:r>
        <w:rPr>
          <w:rFonts w:ascii="Times New Roman" w:hAnsi="Times New Roman"/>
          <w:color w:val="000000"/>
          <w:sz w:val="24"/>
          <w:szCs w:val="24"/>
        </w:rPr>
        <w:t>《</w:t>
      </w:r>
      <w:r>
        <w:rPr>
          <w:rFonts w:hint="eastAsia" w:ascii="Times New Roman" w:hAnsi="Times New Roman"/>
          <w:sz w:val="24"/>
          <w:szCs w:val="24"/>
          <w:lang w:eastAsia="zh-CN"/>
        </w:rPr>
        <w:t>盐山县贵新管件厂三通生产项目</w:t>
      </w:r>
      <w:r>
        <w:rPr>
          <w:rFonts w:hint="eastAsia" w:ascii="Times New Roman" w:hAnsi="Times New Roman"/>
          <w:kern w:val="0"/>
          <w:sz w:val="24"/>
          <w:szCs w:val="24"/>
        </w:rPr>
        <w:t>环境影响报告表</w:t>
      </w:r>
      <w:r>
        <w:rPr>
          <w:rFonts w:ascii="Times New Roman" w:hAnsi="Times New Roman"/>
          <w:color w:val="000000"/>
          <w:sz w:val="24"/>
          <w:szCs w:val="24"/>
        </w:rPr>
        <w:t>》</w:t>
      </w:r>
      <w:r>
        <w:rPr>
          <w:rFonts w:hint="eastAsia" w:ascii="Times New Roman" w:hAnsi="Times New Roman"/>
          <w:color w:val="000000"/>
          <w:sz w:val="24"/>
          <w:szCs w:val="24"/>
        </w:rPr>
        <w:t>，并于</w:t>
      </w:r>
      <w:r>
        <w:rPr>
          <w:rFonts w:ascii="Times New Roman" w:hAnsi="Times New Roman"/>
          <w:sz w:val="24"/>
          <w:szCs w:val="24"/>
        </w:rPr>
        <w:t>20</w:t>
      </w:r>
      <w:r>
        <w:rPr>
          <w:rFonts w:hint="eastAsia" w:ascii="Times New Roman" w:hAnsi="Times New Roman"/>
          <w:sz w:val="24"/>
          <w:szCs w:val="24"/>
        </w:rPr>
        <w:t>19</w:t>
      </w:r>
      <w:r>
        <w:rPr>
          <w:rFonts w:ascii="Times New Roman" w:hAnsi="Times New Roman"/>
          <w:sz w:val="24"/>
          <w:szCs w:val="24"/>
        </w:rPr>
        <w:t>年</w:t>
      </w:r>
      <w:r>
        <w:rPr>
          <w:rFonts w:hint="eastAsia" w:ascii="Times New Roman" w:hAnsi="Times New Roman"/>
          <w:sz w:val="24"/>
          <w:szCs w:val="24"/>
          <w:lang w:val="en-US" w:eastAsia="zh-CN"/>
        </w:rPr>
        <w:t>11</w:t>
      </w:r>
      <w:r>
        <w:rPr>
          <w:rFonts w:ascii="Times New Roman" w:hAnsi="Times New Roman"/>
          <w:sz w:val="24"/>
          <w:szCs w:val="24"/>
        </w:rPr>
        <w:t>月</w:t>
      </w:r>
      <w:r>
        <w:rPr>
          <w:rFonts w:hint="eastAsia" w:ascii="Times New Roman" w:hAnsi="Times New Roman"/>
          <w:sz w:val="24"/>
          <w:szCs w:val="24"/>
          <w:lang w:val="en-US" w:eastAsia="zh-CN"/>
        </w:rPr>
        <w:t>1</w:t>
      </w:r>
      <w:r>
        <w:rPr>
          <w:rFonts w:ascii="Times New Roman" w:hAnsi="Times New Roman"/>
          <w:sz w:val="24"/>
          <w:szCs w:val="24"/>
        </w:rPr>
        <w:t>日</w:t>
      </w:r>
      <w:r>
        <w:rPr>
          <w:rFonts w:hint="eastAsia" w:ascii="Times New Roman" w:hAnsi="Times New Roman"/>
          <w:sz w:val="24"/>
          <w:szCs w:val="24"/>
        </w:rPr>
        <w:t>取得了沧州市生态环境局</w:t>
      </w:r>
      <w:r>
        <w:rPr>
          <w:rFonts w:hint="eastAsia" w:ascii="Times New Roman" w:hAnsi="Times New Roman"/>
          <w:sz w:val="24"/>
          <w:szCs w:val="24"/>
          <w:lang w:val="en-US" w:eastAsia="zh-CN"/>
        </w:rPr>
        <w:t>盐山</w:t>
      </w:r>
      <w:r>
        <w:rPr>
          <w:rFonts w:hint="eastAsia" w:ascii="Times New Roman" w:hAnsi="Times New Roman"/>
          <w:sz w:val="24"/>
          <w:szCs w:val="24"/>
        </w:rPr>
        <w:t>分局</w:t>
      </w:r>
      <w:r>
        <w:rPr>
          <w:rFonts w:ascii="Times New Roman" w:hAnsi="Times New Roman"/>
          <w:sz w:val="24"/>
          <w:szCs w:val="24"/>
        </w:rPr>
        <w:t>关于《</w:t>
      </w:r>
      <w:r>
        <w:rPr>
          <w:rFonts w:hint="eastAsia" w:ascii="Times New Roman" w:hAnsi="Times New Roman"/>
          <w:sz w:val="24"/>
          <w:szCs w:val="24"/>
          <w:lang w:eastAsia="zh-CN"/>
        </w:rPr>
        <w:t>盐山县贵新管件厂三通生产项目</w:t>
      </w:r>
      <w:r>
        <w:rPr>
          <w:rFonts w:ascii="Times New Roman" w:hAnsi="Times New Roman"/>
          <w:sz w:val="24"/>
          <w:szCs w:val="24"/>
        </w:rPr>
        <w:t>》的审批意见</w:t>
      </w:r>
      <w:r>
        <w:rPr>
          <w:rFonts w:hint="eastAsia" w:ascii="Times New Roman" w:hAnsi="Times New Roman"/>
          <w:sz w:val="24"/>
          <w:szCs w:val="24"/>
        </w:rPr>
        <w:t>，审批文号为</w:t>
      </w:r>
      <w:r>
        <w:rPr>
          <w:rFonts w:hint="eastAsia" w:ascii="Times New Roman" w:hAnsi="Times New Roman"/>
          <w:kern w:val="0"/>
          <w:sz w:val="24"/>
          <w:szCs w:val="24"/>
          <w:lang w:val="en-US" w:eastAsia="zh-CN"/>
        </w:rPr>
        <w:t>盐环评</w:t>
      </w:r>
      <w:r>
        <w:rPr>
          <w:rFonts w:hint="eastAsia" w:ascii="Times New Roman" w:hAnsi="Times New Roman"/>
          <w:kern w:val="0"/>
          <w:sz w:val="24"/>
          <w:szCs w:val="24"/>
        </w:rPr>
        <w:t>[2019]</w:t>
      </w:r>
      <w:r>
        <w:rPr>
          <w:rFonts w:hint="eastAsia" w:ascii="Times New Roman" w:hAnsi="Times New Roman"/>
          <w:kern w:val="0"/>
          <w:sz w:val="24"/>
          <w:szCs w:val="24"/>
          <w:lang w:val="en-US" w:eastAsia="zh-CN"/>
        </w:rPr>
        <w:t>143</w:t>
      </w:r>
      <w:r>
        <w:rPr>
          <w:rFonts w:hint="eastAsia" w:ascii="Times New Roman" w:hAnsi="Times New Roman"/>
          <w:kern w:val="0"/>
          <w:sz w:val="24"/>
          <w:szCs w:val="24"/>
        </w:rPr>
        <w:t>号</w:t>
      </w:r>
      <w:r>
        <w:rPr>
          <w:rFonts w:hint="eastAsia" w:ascii="Times New Roman" w:hAnsi="Times New Roman"/>
          <w:sz w:val="24"/>
          <w:szCs w:val="24"/>
        </w:rPr>
        <w:t>。</w:t>
      </w:r>
    </w:p>
    <w:p>
      <w:pPr>
        <w:pStyle w:val="6"/>
        <w:spacing w:before="156" w:beforeLines="50" w:line="440" w:lineRule="atLeast"/>
        <w:rPr>
          <w:rFonts w:ascii="Times New Roman" w:hAnsi="Times New Roman"/>
          <w:szCs w:val="22"/>
        </w:rPr>
      </w:pPr>
      <w:bookmarkStart w:id="117" w:name="_Toc31951"/>
      <w:bookmarkStart w:id="118" w:name="_Toc29987"/>
      <w:bookmarkStart w:id="119" w:name="_Toc27205"/>
      <w:bookmarkStart w:id="120" w:name="_Toc6019"/>
      <w:r>
        <w:rPr>
          <w:rFonts w:ascii="Times New Roman" w:hAnsi="Times New Roman"/>
          <w:szCs w:val="22"/>
        </w:rPr>
        <w:t>2.7 项目投资</w:t>
      </w:r>
      <w:bookmarkEnd w:id="117"/>
      <w:bookmarkEnd w:id="118"/>
      <w:bookmarkEnd w:id="119"/>
      <w:bookmarkEnd w:id="120"/>
    </w:p>
    <w:p>
      <w:pPr>
        <w:pStyle w:val="6"/>
        <w:ind w:firstLine="480" w:firstLineChars="200"/>
        <w:rPr>
          <w:rFonts w:ascii="Times New Roman" w:hAnsi="Times New Roman"/>
          <w:b w:val="0"/>
          <w:bCs/>
          <w:sz w:val="24"/>
          <w:szCs w:val="24"/>
        </w:rPr>
      </w:pPr>
      <w:bookmarkStart w:id="121" w:name="_Toc21008"/>
      <w:bookmarkStart w:id="122" w:name="_Toc3229"/>
      <w:bookmarkStart w:id="123" w:name="_Toc15687"/>
      <w:r>
        <w:rPr>
          <w:rFonts w:ascii="Times New Roman" w:hAnsi="Times New Roman"/>
          <w:b w:val="0"/>
          <w:bCs/>
          <w:sz w:val="24"/>
          <w:szCs w:val="24"/>
        </w:rPr>
        <w:t>本项目</w:t>
      </w:r>
      <w:r>
        <w:rPr>
          <w:rFonts w:hint="eastAsia" w:ascii="Times New Roman" w:hAnsi="Times New Roman"/>
          <w:b w:val="0"/>
          <w:bCs/>
          <w:sz w:val="24"/>
          <w:szCs w:val="24"/>
        </w:rPr>
        <w:t>设计</w:t>
      </w:r>
      <w:r>
        <w:rPr>
          <w:rFonts w:ascii="Times New Roman" w:hAnsi="Times New Roman"/>
          <w:b w:val="0"/>
          <w:bCs/>
          <w:sz w:val="24"/>
          <w:szCs w:val="24"/>
        </w:rPr>
        <w:t>总投资为</w:t>
      </w:r>
      <w:r>
        <w:rPr>
          <w:rFonts w:hint="eastAsia" w:ascii="Times New Roman" w:hAnsi="Times New Roman"/>
          <w:b w:val="0"/>
          <w:bCs/>
          <w:sz w:val="24"/>
          <w:szCs w:val="24"/>
          <w:lang w:val="en-US" w:eastAsia="zh-CN"/>
        </w:rPr>
        <w:t>170</w:t>
      </w:r>
      <w:r>
        <w:rPr>
          <w:rFonts w:ascii="Times New Roman" w:hAnsi="Times New Roman"/>
          <w:b w:val="0"/>
          <w:bCs/>
          <w:sz w:val="24"/>
          <w:szCs w:val="24"/>
        </w:rPr>
        <w:t>万元，其中</w:t>
      </w:r>
      <w:r>
        <w:rPr>
          <w:rFonts w:hint="eastAsia" w:ascii="Times New Roman" w:hAnsi="Times New Roman"/>
          <w:b w:val="0"/>
          <w:bCs/>
          <w:sz w:val="24"/>
          <w:szCs w:val="24"/>
        </w:rPr>
        <w:t>设计</w:t>
      </w:r>
      <w:r>
        <w:rPr>
          <w:rFonts w:ascii="Times New Roman" w:hAnsi="Times New Roman"/>
          <w:b w:val="0"/>
          <w:bCs/>
          <w:sz w:val="24"/>
          <w:szCs w:val="24"/>
        </w:rPr>
        <w:t>环境保护总投资</w:t>
      </w:r>
      <w:r>
        <w:rPr>
          <w:rFonts w:hint="eastAsia" w:ascii="Times New Roman" w:hAnsi="Times New Roman"/>
          <w:b w:val="0"/>
          <w:bCs/>
          <w:sz w:val="24"/>
          <w:szCs w:val="24"/>
          <w:lang w:val="en-US" w:eastAsia="zh-CN"/>
        </w:rPr>
        <w:t>5</w:t>
      </w:r>
      <w:r>
        <w:rPr>
          <w:rFonts w:ascii="Times New Roman" w:hAnsi="Times New Roman"/>
          <w:b w:val="0"/>
          <w:bCs/>
          <w:sz w:val="24"/>
          <w:szCs w:val="24"/>
        </w:rPr>
        <w:t>万元，占总投资的</w:t>
      </w:r>
      <w:r>
        <w:rPr>
          <w:rFonts w:hint="eastAsia" w:ascii="Times New Roman" w:hAnsi="Times New Roman"/>
          <w:b w:val="0"/>
          <w:bCs/>
          <w:sz w:val="24"/>
          <w:szCs w:val="24"/>
          <w:lang w:val="en-US" w:eastAsia="zh-CN"/>
        </w:rPr>
        <w:t>2.94</w:t>
      </w:r>
      <w:r>
        <w:rPr>
          <w:rFonts w:ascii="Times New Roman" w:hAnsi="Times New Roman"/>
          <w:b w:val="0"/>
          <w:bCs/>
          <w:sz w:val="24"/>
          <w:szCs w:val="24"/>
        </w:rPr>
        <w:t>%。</w:t>
      </w:r>
      <w:bookmarkStart w:id="124" w:name="_Toc15491"/>
      <w:r>
        <w:rPr>
          <w:rFonts w:hint="eastAsia" w:ascii="Times New Roman" w:hAnsi="Times New Roman"/>
          <w:b w:val="0"/>
          <w:bCs/>
          <w:sz w:val="24"/>
          <w:szCs w:val="24"/>
        </w:rPr>
        <w:t>实际总投资为</w:t>
      </w:r>
      <w:r>
        <w:rPr>
          <w:rFonts w:hint="eastAsia" w:ascii="Times New Roman" w:hAnsi="Times New Roman"/>
          <w:b w:val="0"/>
          <w:bCs/>
          <w:sz w:val="24"/>
          <w:szCs w:val="24"/>
          <w:lang w:val="en-US" w:eastAsia="zh-CN"/>
        </w:rPr>
        <w:t>170</w:t>
      </w:r>
      <w:r>
        <w:rPr>
          <w:rFonts w:hint="eastAsia" w:ascii="Times New Roman" w:hAnsi="Times New Roman"/>
          <w:b w:val="0"/>
          <w:bCs/>
          <w:sz w:val="24"/>
          <w:szCs w:val="24"/>
        </w:rPr>
        <w:t>万元，其中环境保护总投资</w:t>
      </w:r>
      <w:r>
        <w:rPr>
          <w:rFonts w:hint="eastAsia" w:ascii="Times New Roman" w:hAnsi="Times New Roman"/>
          <w:b w:val="0"/>
          <w:bCs/>
          <w:sz w:val="24"/>
          <w:szCs w:val="24"/>
          <w:lang w:val="en-US" w:eastAsia="zh-CN"/>
        </w:rPr>
        <w:t>5</w:t>
      </w:r>
      <w:r>
        <w:rPr>
          <w:rFonts w:hint="eastAsia" w:ascii="Times New Roman" w:hAnsi="Times New Roman"/>
          <w:b w:val="0"/>
          <w:bCs/>
          <w:sz w:val="24"/>
          <w:szCs w:val="24"/>
        </w:rPr>
        <w:t>万元，占总投资的</w:t>
      </w:r>
      <w:r>
        <w:rPr>
          <w:rFonts w:hint="eastAsia" w:ascii="Times New Roman" w:hAnsi="Times New Roman"/>
          <w:b w:val="0"/>
          <w:bCs/>
          <w:sz w:val="24"/>
          <w:szCs w:val="24"/>
          <w:lang w:val="en-US" w:eastAsia="zh-CN"/>
        </w:rPr>
        <w:t>2.94</w:t>
      </w:r>
      <w:r>
        <w:rPr>
          <w:rFonts w:hint="eastAsia" w:ascii="Times New Roman" w:hAnsi="Times New Roman"/>
          <w:b w:val="0"/>
          <w:bCs/>
          <w:sz w:val="24"/>
          <w:szCs w:val="24"/>
        </w:rPr>
        <w:t>%。</w:t>
      </w:r>
      <w:bookmarkEnd w:id="121"/>
      <w:bookmarkEnd w:id="122"/>
      <w:bookmarkEnd w:id="123"/>
    </w:p>
    <w:p>
      <w:pPr>
        <w:pStyle w:val="6"/>
        <w:spacing w:before="156" w:beforeLines="50"/>
        <w:rPr>
          <w:rFonts w:ascii="Times New Roman" w:hAnsi="Times New Roman"/>
        </w:rPr>
      </w:pPr>
      <w:bookmarkStart w:id="125" w:name="_Toc22160"/>
      <w:bookmarkStart w:id="126" w:name="_Toc2981"/>
      <w:bookmarkStart w:id="127" w:name="_Toc3625"/>
      <w:r>
        <w:rPr>
          <w:rFonts w:ascii="Times New Roman" w:hAnsi="Times New Roman"/>
        </w:rPr>
        <w:t>2.8 项目变更情况说明</w:t>
      </w:r>
      <w:bookmarkEnd w:id="124"/>
      <w:bookmarkEnd w:id="125"/>
      <w:bookmarkEnd w:id="126"/>
      <w:bookmarkEnd w:id="127"/>
    </w:p>
    <w:p>
      <w:pPr>
        <w:spacing w:line="480" w:lineRule="atLeast"/>
        <w:ind w:firstLine="480" w:firstLineChars="200"/>
        <w:rPr>
          <w:rFonts w:ascii="Times New Roman" w:hAnsi="Times New Roman"/>
          <w:sz w:val="24"/>
          <w:szCs w:val="24"/>
        </w:rPr>
      </w:pPr>
      <w:r>
        <w:rPr>
          <w:rFonts w:hint="eastAsia" w:ascii="Times New Roman" w:hAnsi="Times New Roman"/>
          <w:sz w:val="24"/>
          <w:szCs w:val="24"/>
          <w:lang w:val="en-US" w:eastAsia="zh-CN"/>
        </w:rPr>
        <w:t>项目1台喷砂机没有建设，其他</w:t>
      </w:r>
      <w:r>
        <w:rPr>
          <w:rFonts w:hint="eastAsia" w:ascii="Times New Roman" w:hAnsi="Times New Roman"/>
          <w:sz w:val="24"/>
          <w:szCs w:val="24"/>
        </w:rPr>
        <w:t>建设内容与环评及批复文件要求基本一致</w:t>
      </w:r>
      <w:r>
        <w:rPr>
          <w:rFonts w:ascii="Times New Roman" w:hAnsi="Times New Roman"/>
          <w:sz w:val="24"/>
          <w:szCs w:val="24"/>
        </w:rPr>
        <w:t>。</w:t>
      </w:r>
    </w:p>
    <w:p>
      <w:pPr>
        <w:rPr>
          <w:rFonts w:ascii="Times New Roman" w:hAnsi="Times New Roman"/>
        </w:rPr>
      </w:pPr>
      <w:bookmarkStart w:id="128" w:name="_Toc18868"/>
      <w:bookmarkStart w:id="129" w:name="_Toc30604"/>
      <w:bookmarkStart w:id="130" w:name="_Toc3130"/>
      <w:bookmarkStart w:id="131" w:name="_Toc7013"/>
      <w:r>
        <w:rPr>
          <w:rFonts w:ascii="Times New Roman" w:hAnsi="Times New Roman"/>
        </w:rPr>
        <w:br w:type="page"/>
      </w:r>
    </w:p>
    <w:p>
      <w:pPr>
        <w:pStyle w:val="6"/>
        <w:spacing w:before="156" w:beforeLines="50"/>
        <w:rPr>
          <w:rFonts w:ascii="Times New Roman" w:hAnsi="Times New Roman"/>
          <w:color w:val="auto"/>
        </w:rPr>
      </w:pPr>
      <w:r>
        <w:rPr>
          <w:rFonts w:ascii="Times New Roman" w:hAnsi="Times New Roman"/>
          <w:color w:val="auto"/>
        </w:rPr>
        <w:t>2.9 环境保护“三同时”落实情况</w:t>
      </w:r>
      <w:bookmarkEnd w:id="128"/>
      <w:bookmarkEnd w:id="129"/>
      <w:bookmarkEnd w:id="130"/>
      <w:bookmarkEnd w:id="131"/>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表2-</w:t>
      </w:r>
      <w:bookmarkStart w:id="132" w:name="_Hlk496992852"/>
      <w:r>
        <w:rPr>
          <w:rFonts w:hint="eastAsia" w:ascii="Times New Roman" w:hAnsi="Times New Roman"/>
          <w:b/>
          <w:color w:val="auto"/>
          <w:sz w:val="24"/>
          <w:szCs w:val="24"/>
        </w:rPr>
        <w:t>5</w:t>
      </w:r>
      <w:r>
        <w:rPr>
          <w:rFonts w:ascii="Times New Roman" w:hAnsi="Times New Roman"/>
          <w:b/>
          <w:color w:val="auto"/>
          <w:sz w:val="24"/>
          <w:szCs w:val="24"/>
        </w:rPr>
        <w:t>环境保护“三同时”落实情况</w:t>
      </w:r>
      <w:bookmarkEnd w:id="132"/>
    </w:p>
    <w:tbl>
      <w:tblPr>
        <w:tblStyle w:val="19"/>
        <w:tblW w:w="999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713"/>
        <w:gridCol w:w="913"/>
        <w:gridCol w:w="916"/>
        <w:gridCol w:w="832"/>
        <w:gridCol w:w="582"/>
        <w:gridCol w:w="585"/>
        <w:gridCol w:w="1922"/>
        <w:gridCol w:w="2668"/>
        <w:gridCol w:w="86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55" w:hRule="atLeast"/>
          <w:jc w:val="center"/>
        </w:trPr>
        <w:tc>
          <w:tcPr>
            <w:tcW w:w="713" w:type="dxa"/>
            <w:noWrap w:val="0"/>
            <w:vAlign w:val="center"/>
          </w:tcPr>
          <w:p>
            <w:pPr>
              <w:tabs>
                <w:tab w:val="left" w:pos="6405"/>
              </w:tabs>
              <w:adjustRightInd w:val="0"/>
              <w:snapToGrid w:val="0"/>
              <w:jc w:val="center"/>
              <w:rPr>
                <w:szCs w:val="21"/>
              </w:rPr>
            </w:pPr>
            <w:r>
              <w:rPr>
                <w:szCs w:val="21"/>
              </w:rPr>
              <w:t>时期</w:t>
            </w:r>
          </w:p>
        </w:tc>
        <w:tc>
          <w:tcPr>
            <w:tcW w:w="913" w:type="dxa"/>
            <w:noWrap w:val="0"/>
            <w:vAlign w:val="center"/>
          </w:tcPr>
          <w:p>
            <w:pPr>
              <w:tabs>
                <w:tab w:val="left" w:pos="6405"/>
              </w:tabs>
              <w:adjustRightInd w:val="0"/>
              <w:snapToGrid w:val="0"/>
              <w:jc w:val="center"/>
              <w:rPr>
                <w:szCs w:val="21"/>
              </w:rPr>
            </w:pPr>
            <w:r>
              <w:rPr>
                <w:szCs w:val="21"/>
              </w:rPr>
              <w:t>项目</w:t>
            </w:r>
          </w:p>
        </w:tc>
        <w:tc>
          <w:tcPr>
            <w:tcW w:w="916" w:type="dxa"/>
            <w:noWrap w:val="0"/>
            <w:vAlign w:val="center"/>
          </w:tcPr>
          <w:p>
            <w:pPr>
              <w:tabs>
                <w:tab w:val="left" w:pos="6405"/>
              </w:tabs>
              <w:adjustRightInd w:val="0"/>
              <w:snapToGrid w:val="0"/>
              <w:jc w:val="center"/>
              <w:rPr>
                <w:szCs w:val="21"/>
              </w:rPr>
            </w:pPr>
            <w:r>
              <w:rPr>
                <w:szCs w:val="21"/>
              </w:rPr>
              <w:t>污染源</w:t>
            </w:r>
          </w:p>
        </w:tc>
        <w:tc>
          <w:tcPr>
            <w:tcW w:w="1999" w:type="dxa"/>
            <w:gridSpan w:val="3"/>
            <w:noWrap w:val="0"/>
            <w:vAlign w:val="center"/>
          </w:tcPr>
          <w:p>
            <w:pPr>
              <w:tabs>
                <w:tab w:val="left" w:pos="6405"/>
              </w:tabs>
              <w:adjustRightInd w:val="0"/>
              <w:snapToGrid w:val="0"/>
              <w:jc w:val="center"/>
              <w:rPr>
                <w:szCs w:val="21"/>
              </w:rPr>
            </w:pPr>
            <w:r>
              <w:rPr>
                <w:szCs w:val="21"/>
              </w:rPr>
              <w:t>环保设施</w:t>
            </w:r>
          </w:p>
          <w:p>
            <w:pPr>
              <w:tabs>
                <w:tab w:val="left" w:pos="6405"/>
              </w:tabs>
              <w:adjustRightInd w:val="0"/>
              <w:snapToGrid w:val="0"/>
              <w:jc w:val="center"/>
              <w:rPr>
                <w:szCs w:val="21"/>
              </w:rPr>
            </w:pPr>
            <w:r>
              <w:rPr>
                <w:szCs w:val="21"/>
              </w:rPr>
              <w:t>措施</w:t>
            </w:r>
          </w:p>
        </w:tc>
        <w:tc>
          <w:tcPr>
            <w:tcW w:w="1922" w:type="dxa"/>
            <w:noWrap w:val="0"/>
            <w:vAlign w:val="center"/>
          </w:tcPr>
          <w:p>
            <w:pPr>
              <w:pStyle w:val="31"/>
              <w:tabs>
                <w:tab w:val="left" w:pos="6405"/>
              </w:tabs>
              <w:adjustRightInd w:val="0"/>
              <w:snapToGrid w:val="0"/>
              <w:jc w:val="center"/>
              <w:rPr>
                <w:rFonts w:ascii="Times New Roman" w:hAnsi="Times New Roman"/>
                <w:color w:val="auto"/>
                <w:kern w:val="2"/>
                <w:sz w:val="21"/>
                <w:szCs w:val="21"/>
              </w:rPr>
            </w:pPr>
            <w:r>
              <w:rPr>
                <w:rFonts w:ascii="Times New Roman" w:hAnsi="Times New Roman"/>
                <w:color w:val="auto"/>
                <w:kern w:val="2"/>
                <w:sz w:val="21"/>
                <w:szCs w:val="21"/>
              </w:rPr>
              <w:t>验收指标</w:t>
            </w:r>
          </w:p>
        </w:tc>
        <w:tc>
          <w:tcPr>
            <w:tcW w:w="2668" w:type="dxa"/>
            <w:noWrap w:val="0"/>
            <w:vAlign w:val="center"/>
          </w:tcPr>
          <w:p>
            <w:pPr>
              <w:tabs>
                <w:tab w:val="left" w:pos="6405"/>
              </w:tabs>
              <w:adjustRightInd w:val="0"/>
              <w:snapToGrid w:val="0"/>
              <w:jc w:val="center"/>
              <w:rPr>
                <w:szCs w:val="21"/>
              </w:rPr>
            </w:pPr>
            <w:r>
              <w:rPr>
                <w:szCs w:val="21"/>
              </w:rPr>
              <w:t>验收标准</w:t>
            </w:r>
          </w:p>
        </w:tc>
        <w:tc>
          <w:tcPr>
            <w:tcW w:w="866" w:type="dxa"/>
            <w:noWrap w:val="0"/>
            <w:vAlign w:val="center"/>
          </w:tcPr>
          <w:p>
            <w:pPr>
              <w:tabs>
                <w:tab w:val="left" w:pos="6405"/>
              </w:tabs>
              <w:adjustRightInd w:val="0"/>
              <w:snapToGrid w:val="0"/>
              <w:jc w:val="center"/>
              <w:rPr>
                <w:rFonts w:hint="default" w:eastAsia="宋体"/>
                <w:szCs w:val="21"/>
                <w:lang w:val="en-US" w:eastAsia="zh-CN"/>
              </w:rPr>
            </w:pPr>
            <w:r>
              <w:rPr>
                <w:rFonts w:hint="eastAsia"/>
                <w:szCs w:val="21"/>
                <w:lang w:val="en-US" w:eastAsia="zh-CN"/>
              </w:rPr>
              <w:t>落实情况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93" w:hRule="atLeast"/>
          <w:jc w:val="center"/>
        </w:trPr>
        <w:tc>
          <w:tcPr>
            <w:tcW w:w="713" w:type="dxa"/>
            <w:vMerge w:val="restart"/>
            <w:noWrap w:val="0"/>
            <w:vAlign w:val="center"/>
          </w:tcPr>
          <w:p>
            <w:pPr>
              <w:tabs>
                <w:tab w:val="left" w:pos="6405"/>
              </w:tabs>
              <w:adjustRightInd w:val="0"/>
              <w:snapToGrid w:val="0"/>
              <w:jc w:val="center"/>
              <w:rPr>
                <w:szCs w:val="21"/>
              </w:rPr>
            </w:pPr>
            <w:r>
              <w:rPr>
                <w:szCs w:val="21"/>
              </w:rPr>
              <w:t>运营期</w:t>
            </w:r>
          </w:p>
        </w:tc>
        <w:tc>
          <w:tcPr>
            <w:tcW w:w="913" w:type="dxa"/>
            <w:vMerge w:val="restart"/>
            <w:noWrap w:val="0"/>
            <w:vAlign w:val="center"/>
          </w:tcPr>
          <w:p>
            <w:pPr>
              <w:jc w:val="center"/>
              <w:rPr>
                <w:szCs w:val="21"/>
              </w:rPr>
            </w:pPr>
            <w:r>
              <w:rPr>
                <w:rFonts w:hint="eastAsia"/>
                <w:szCs w:val="21"/>
              </w:rPr>
              <w:t>废气</w:t>
            </w:r>
          </w:p>
        </w:tc>
        <w:tc>
          <w:tcPr>
            <w:tcW w:w="916" w:type="dxa"/>
            <w:noWrap w:val="0"/>
            <w:vAlign w:val="center"/>
          </w:tcPr>
          <w:p>
            <w:pPr>
              <w:jc w:val="center"/>
              <w:rPr>
                <w:szCs w:val="21"/>
              </w:rPr>
            </w:pPr>
            <w:r>
              <w:rPr>
                <w:rFonts w:hint="eastAsia"/>
                <w:szCs w:val="21"/>
              </w:rPr>
              <w:t>切割、修磨、焊接</w:t>
            </w:r>
          </w:p>
        </w:tc>
        <w:tc>
          <w:tcPr>
            <w:tcW w:w="832" w:type="dxa"/>
            <w:noWrap w:val="0"/>
            <w:vAlign w:val="center"/>
          </w:tcPr>
          <w:p>
            <w:pPr>
              <w:snapToGrid w:val="0"/>
              <w:spacing w:line="240" w:lineRule="exact"/>
              <w:jc w:val="center"/>
              <w:rPr>
                <w:lang w:val="en-GB"/>
              </w:rPr>
            </w:pPr>
            <w:r>
              <w:rPr>
                <w:rFonts w:hint="eastAsia"/>
                <w:lang w:val="en-GB"/>
              </w:rPr>
              <w:t>集气罩</w:t>
            </w:r>
          </w:p>
        </w:tc>
        <w:tc>
          <w:tcPr>
            <w:tcW w:w="582" w:type="dxa"/>
            <w:vMerge w:val="restart"/>
            <w:noWrap w:val="0"/>
            <w:vAlign w:val="center"/>
          </w:tcPr>
          <w:p>
            <w:pPr>
              <w:snapToGrid w:val="0"/>
              <w:spacing w:line="240" w:lineRule="exact"/>
              <w:jc w:val="center"/>
              <w:rPr>
                <w:lang w:val="en-GB"/>
              </w:rPr>
            </w:pPr>
            <w:r>
              <w:rPr>
                <w:lang w:val="en-GB"/>
              </w:rPr>
              <w:t>布袋除尘器</w:t>
            </w:r>
          </w:p>
        </w:tc>
        <w:tc>
          <w:tcPr>
            <w:tcW w:w="585" w:type="dxa"/>
            <w:vMerge w:val="restart"/>
            <w:noWrap w:val="0"/>
            <w:vAlign w:val="center"/>
          </w:tcPr>
          <w:p>
            <w:pPr>
              <w:snapToGrid w:val="0"/>
              <w:spacing w:line="240" w:lineRule="exact"/>
              <w:jc w:val="center"/>
              <w:rPr>
                <w:lang w:val="en-GB"/>
              </w:rPr>
            </w:pPr>
            <w:r>
              <w:rPr>
                <w:rFonts w:hint="eastAsia"/>
              </w:rPr>
              <w:t>1根</w:t>
            </w:r>
            <w:r>
              <w:rPr>
                <w:lang w:val="en-GB"/>
              </w:rPr>
              <w:t>15m排气筒（</w:t>
            </w:r>
            <w:r>
              <w:rPr>
                <w:rFonts w:hint="eastAsia"/>
                <w:lang w:val="en-GB"/>
              </w:rPr>
              <w:t>P1</w:t>
            </w:r>
            <w:r>
              <w:rPr>
                <w:lang w:val="en-GB"/>
              </w:rPr>
              <w:t>）</w:t>
            </w:r>
          </w:p>
        </w:tc>
        <w:tc>
          <w:tcPr>
            <w:tcW w:w="1922" w:type="dxa"/>
            <w:vMerge w:val="restart"/>
            <w:noWrap w:val="0"/>
            <w:vAlign w:val="center"/>
          </w:tcPr>
          <w:p>
            <w:pPr>
              <w:adjustRightInd w:val="0"/>
              <w:snapToGrid w:val="0"/>
              <w:spacing w:line="240" w:lineRule="exact"/>
              <w:jc w:val="center"/>
              <w:rPr>
                <w:rFonts w:hint="eastAsia"/>
                <w:szCs w:val="21"/>
              </w:rPr>
            </w:pPr>
            <w:r>
              <w:rPr>
                <w:rFonts w:hint="eastAsia"/>
                <w:szCs w:val="21"/>
              </w:rPr>
              <w:t>颗粒物：</w:t>
            </w:r>
          </w:p>
          <w:p>
            <w:pPr>
              <w:adjustRightInd w:val="0"/>
              <w:snapToGrid w:val="0"/>
              <w:spacing w:line="240" w:lineRule="exact"/>
              <w:jc w:val="center"/>
              <w:rPr>
                <w:szCs w:val="21"/>
              </w:rPr>
            </w:pPr>
            <w:r>
              <w:rPr>
                <w:rFonts w:hint="eastAsia"/>
                <w:szCs w:val="21"/>
              </w:rPr>
              <w:t>排放浓度：</w:t>
            </w:r>
            <w:r>
              <w:rPr>
                <w:szCs w:val="21"/>
              </w:rPr>
              <w:t>120 mg/m³</w:t>
            </w:r>
          </w:p>
          <w:p>
            <w:pPr>
              <w:adjustRightInd w:val="0"/>
              <w:snapToGrid w:val="0"/>
              <w:spacing w:line="240" w:lineRule="exact"/>
              <w:jc w:val="center"/>
              <w:rPr>
                <w:rFonts w:hint="eastAsia"/>
                <w:szCs w:val="21"/>
              </w:rPr>
            </w:pPr>
            <w:r>
              <w:rPr>
                <w:rFonts w:hint="eastAsia"/>
                <w:szCs w:val="21"/>
              </w:rPr>
              <w:t>排放速率：</w:t>
            </w:r>
            <w:r>
              <w:rPr>
                <w:szCs w:val="21"/>
              </w:rPr>
              <w:t>3.5kg/h</w:t>
            </w:r>
          </w:p>
          <w:p>
            <w:pPr>
              <w:pStyle w:val="2"/>
              <w:ind w:firstLine="0"/>
            </w:pPr>
            <w:r>
              <w:rPr>
                <w:rFonts w:hint="eastAsia"/>
                <w:sz w:val="21"/>
                <w:szCs w:val="21"/>
              </w:rPr>
              <w:t>排气筒高度：15m</w:t>
            </w:r>
          </w:p>
        </w:tc>
        <w:tc>
          <w:tcPr>
            <w:tcW w:w="2668" w:type="dxa"/>
            <w:vMerge w:val="restart"/>
            <w:noWrap w:val="0"/>
            <w:vAlign w:val="center"/>
          </w:tcPr>
          <w:p>
            <w:pPr>
              <w:adjustRightInd w:val="0"/>
              <w:snapToGrid w:val="0"/>
              <w:spacing w:line="240" w:lineRule="exact"/>
              <w:ind w:left="24" w:hanging="23" w:hangingChars="13"/>
              <w:jc w:val="center"/>
              <w:rPr>
                <w:bCs/>
                <w:szCs w:val="21"/>
              </w:rPr>
            </w:pPr>
            <w:r>
              <w:rPr>
                <w:bCs/>
                <w:spacing w:val="-14"/>
              </w:rPr>
              <w:t>《大气污染物综合排放标准》（GB16297-1996）表2颗粒物二级排放标准</w:t>
            </w:r>
          </w:p>
        </w:tc>
        <w:tc>
          <w:tcPr>
            <w:tcW w:w="866" w:type="dxa"/>
            <w:noWrap w:val="0"/>
            <w:vAlign w:val="center"/>
          </w:tcPr>
          <w:p>
            <w:pPr>
              <w:adjustRightInd w:val="0"/>
              <w:snapToGrid w:val="0"/>
              <w:spacing w:line="240" w:lineRule="exact"/>
              <w:ind w:left="24" w:hanging="23" w:hangingChars="13"/>
              <w:jc w:val="center"/>
              <w:rPr>
                <w:rFonts w:hint="eastAsia" w:eastAsia="宋体"/>
                <w:bCs/>
                <w:spacing w:val="-14"/>
                <w:lang w:val="en-US" w:eastAsia="zh-CN"/>
              </w:rPr>
            </w:pPr>
            <w:r>
              <w:rPr>
                <w:rFonts w:hint="eastAsia"/>
                <w:bCs/>
                <w:spacing w:val="-14"/>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13"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jc w:val="center"/>
              <w:rPr>
                <w:rFonts w:hint="eastAsia"/>
                <w:szCs w:val="21"/>
              </w:rPr>
            </w:pPr>
          </w:p>
        </w:tc>
        <w:tc>
          <w:tcPr>
            <w:tcW w:w="916" w:type="dxa"/>
            <w:noWrap w:val="0"/>
            <w:vAlign w:val="center"/>
          </w:tcPr>
          <w:p>
            <w:pPr>
              <w:jc w:val="center"/>
              <w:rPr>
                <w:szCs w:val="21"/>
              </w:rPr>
            </w:pPr>
            <w:r>
              <w:rPr>
                <w:rFonts w:hint="eastAsia"/>
                <w:szCs w:val="21"/>
              </w:rPr>
              <w:t>玻璃砂喷砂机</w:t>
            </w:r>
          </w:p>
        </w:tc>
        <w:tc>
          <w:tcPr>
            <w:tcW w:w="832" w:type="dxa"/>
            <w:noWrap w:val="0"/>
            <w:vAlign w:val="center"/>
          </w:tcPr>
          <w:p>
            <w:pPr>
              <w:snapToGrid w:val="0"/>
              <w:spacing w:line="240" w:lineRule="exact"/>
              <w:jc w:val="center"/>
              <w:rPr>
                <w:lang w:val="en-GB"/>
              </w:rPr>
            </w:pPr>
            <w:r>
              <w:rPr>
                <w:rFonts w:hint="eastAsia"/>
                <w:lang w:val="en-GB"/>
              </w:rPr>
              <w:t>管道</w:t>
            </w:r>
          </w:p>
        </w:tc>
        <w:tc>
          <w:tcPr>
            <w:tcW w:w="582" w:type="dxa"/>
            <w:vMerge w:val="continue"/>
            <w:tcBorders/>
            <w:noWrap w:val="0"/>
            <w:vAlign w:val="center"/>
          </w:tcPr>
          <w:p>
            <w:pPr>
              <w:snapToGrid w:val="0"/>
              <w:spacing w:line="240" w:lineRule="exact"/>
              <w:jc w:val="center"/>
              <w:rPr>
                <w:lang w:val="en-GB"/>
              </w:rPr>
            </w:pPr>
          </w:p>
        </w:tc>
        <w:tc>
          <w:tcPr>
            <w:tcW w:w="585" w:type="dxa"/>
            <w:vMerge w:val="continue"/>
            <w:noWrap w:val="0"/>
            <w:vAlign w:val="center"/>
          </w:tcPr>
          <w:p>
            <w:pPr>
              <w:snapToGrid w:val="0"/>
              <w:spacing w:line="240" w:lineRule="exact"/>
              <w:jc w:val="center"/>
              <w:rPr>
                <w:rFonts w:hint="eastAsia"/>
              </w:rPr>
            </w:pPr>
          </w:p>
        </w:tc>
        <w:tc>
          <w:tcPr>
            <w:tcW w:w="1922" w:type="dxa"/>
            <w:vMerge w:val="continue"/>
            <w:noWrap w:val="0"/>
            <w:vAlign w:val="center"/>
          </w:tcPr>
          <w:p>
            <w:pPr>
              <w:adjustRightInd w:val="0"/>
              <w:snapToGrid w:val="0"/>
              <w:spacing w:line="240" w:lineRule="exact"/>
              <w:jc w:val="center"/>
              <w:rPr>
                <w:szCs w:val="21"/>
              </w:rPr>
            </w:pPr>
          </w:p>
        </w:tc>
        <w:tc>
          <w:tcPr>
            <w:tcW w:w="2668" w:type="dxa"/>
            <w:vMerge w:val="continue"/>
            <w:noWrap w:val="0"/>
            <w:vAlign w:val="center"/>
          </w:tcPr>
          <w:p>
            <w:pPr>
              <w:adjustRightInd w:val="0"/>
              <w:snapToGrid w:val="0"/>
              <w:spacing w:line="240" w:lineRule="exact"/>
              <w:ind w:left="24" w:hanging="23" w:hangingChars="13"/>
              <w:jc w:val="center"/>
              <w:rPr>
                <w:bCs/>
                <w:spacing w:val="-14"/>
              </w:rPr>
            </w:pPr>
          </w:p>
        </w:tc>
        <w:tc>
          <w:tcPr>
            <w:tcW w:w="866" w:type="dxa"/>
            <w:noWrap w:val="0"/>
            <w:vAlign w:val="center"/>
          </w:tcPr>
          <w:p>
            <w:pPr>
              <w:adjustRightInd w:val="0"/>
              <w:snapToGrid w:val="0"/>
              <w:spacing w:line="240" w:lineRule="exact"/>
              <w:ind w:left="24" w:hanging="23" w:hangingChars="13"/>
              <w:jc w:val="center"/>
              <w:rPr>
                <w:rFonts w:hint="default" w:eastAsia="宋体"/>
                <w:bCs/>
                <w:spacing w:val="-14"/>
                <w:lang w:val="en-US" w:eastAsia="zh-CN"/>
              </w:rPr>
            </w:pPr>
            <w:r>
              <w:rPr>
                <w:rFonts w:hint="eastAsia"/>
                <w:bCs/>
                <w:spacing w:val="-14"/>
                <w:lang w:val="en-US" w:eastAsia="zh-CN"/>
              </w:rPr>
              <w:t>未建设</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57"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jc w:val="center"/>
              <w:rPr>
                <w:rFonts w:hint="eastAsia"/>
                <w:szCs w:val="21"/>
              </w:rPr>
            </w:pPr>
          </w:p>
        </w:tc>
        <w:tc>
          <w:tcPr>
            <w:tcW w:w="916" w:type="dxa"/>
            <w:noWrap w:val="0"/>
            <w:vAlign w:val="center"/>
          </w:tcPr>
          <w:p>
            <w:pPr>
              <w:jc w:val="center"/>
              <w:rPr>
                <w:rFonts w:hint="eastAsia"/>
                <w:szCs w:val="21"/>
              </w:rPr>
            </w:pPr>
            <w:r>
              <w:rPr>
                <w:rFonts w:hint="eastAsia"/>
                <w:szCs w:val="21"/>
              </w:rPr>
              <w:t>喷砂抛丸机</w:t>
            </w:r>
          </w:p>
        </w:tc>
        <w:tc>
          <w:tcPr>
            <w:tcW w:w="832" w:type="dxa"/>
            <w:noWrap w:val="0"/>
            <w:vAlign w:val="center"/>
          </w:tcPr>
          <w:p>
            <w:pPr>
              <w:snapToGrid w:val="0"/>
              <w:spacing w:line="240" w:lineRule="exact"/>
              <w:jc w:val="center"/>
              <w:rPr>
                <w:rFonts w:hint="eastAsia"/>
                <w:lang w:val="en-GB"/>
              </w:rPr>
            </w:pPr>
            <w:r>
              <w:rPr>
                <w:rFonts w:hint="eastAsia"/>
                <w:lang w:val="en-GB"/>
              </w:rPr>
              <w:t>管道</w:t>
            </w:r>
          </w:p>
        </w:tc>
        <w:tc>
          <w:tcPr>
            <w:tcW w:w="582" w:type="dxa"/>
            <w:vMerge w:val="continue"/>
            <w:tcBorders/>
            <w:noWrap w:val="0"/>
            <w:vAlign w:val="center"/>
          </w:tcPr>
          <w:p>
            <w:pPr>
              <w:snapToGrid w:val="0"/>
              <w:spacing w:line="240" w:lineRule="exact"/>
              <w:jc w:val="center"/>
              <w:rPr>
                <w:lang w:val="en-GB"/>
              </w:rPr>
            </w:pPr>
          </w:p>
        </w:tc>
        <w:tc>
          <w:tcPr>
            <w:tcW w:w="585" w:type="dxa"/>
            <w:vMerge w:val="continue"/>
            <w:noWrap w:val="0"/>
            <w:vAlign w:val="center"/>
          </w:tcPr>
          <w:p>
            <w:pPr>
              <w:snapToGrid w:val="0"/>
              <w:spacing w:line="240" w:lineRule="exact"/>
              <w:jc w:val="center"/>
              <w:rPr>
                <w:lang w:val="en-GB"/>
              </w:rPr>
            </w:pPr>
          </w:p>
        </w:tc>
        <w:tc>
          <w:tcPr>
            <w:tcW w:w="1922" w:type="dxa"/>
            <w:vMerge w:val="continue"/>
            <w:noWrap w:val="0"/>
            <w:vAlign w:val="center"/>
          </w:tcPr>
          <w:p>
            <w:pPr>
              <w:adjustRightInd w:val="0"/>
              <w:snapToGrid w:val="0"/>
              <w:spacing w:line="240" w:lineRule="exact"/>
              <w:jc w:val="center"/>
              <w:rPr>
                <w:szCs w:val="21"/>
              </w:rPr>
            </w:pPr>
          </w:p>
        </w:tc>
        <w:tc>
          <w:tcPr>
            <w:tcW w:w="2668" w:type="dxa"/>
            <w:vMerge w:val="continue"/>
            <w:noWrap w:val="0"/>
            <w:vAlign w:val="center"/>
          </w:tcPr>
          <w:p>
            <w:pPr>
              <w:adjustRightInd w:val="0"/>
              <w:snapToGrid w:val="0"/>
              <w:spacing w:line="240" w:lineRule="exact"/>
              <w:ind w:left="24" w:hanging="23" w:hangingChars="13"/>
              <w:jc w:val="center"/>
              <w:rPr>
                <w:bCs/>
                <w:spacing w:val="-14"/>
              </w:rPr>
            </w:pPr>
          </w:p>
        </w:tc>
        <w:tc>
          <w:tcPr>
            <w:tcW w:w="866" w:type="dxa"/>
            <w:noWrap w:val="0"/>
            <w:vAlign w:val="center"/>
          </w:tcPr>
          <w:p>
            <w:pPr>
              <w:adjustRightInd w:val="0"/>
              <w:snapToGrid w:val="0"/>
              <w:spacing w:line="240" w:lineRule="exact"/>
              <w:ind w:left="24" w:hanging="23" w:hangingChars="13"/>
              <w:jc w:val="center"/>
              <w:rPr>
                <w:rFonts w:hint="eastAsia" w:eastAsia="宋体"/>
                <w:bCs/>
                <w:spacing w:val="-14"/>
                <w:lang w:val="en-US" w:eastAsia="zh-CN"/>
              </w:rPr>
            </w:pPr>
            <w:r>
              <w:rPr>
                <w:rFonts w:hint="eastAsia"/>
                <w:bCs/>
                <w:spacing w:val="-14"/>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620"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jc w:val="center"/>
              <w:rPr>
                <w:szCs w:val="21"/>
              </w:rPr>
            </w:pPr>
          </w:p>
        </w:tc>
        <w:tc>
          <w:tcPr>
            <w:tcW w:w="916" w:type="dxa"/>
            <w:noWrap w:val="0"/>
            <w:vAlign w:val="center"/>
          </w:tcPr>
          <w:p>
            <w:pPr>
              <w:jc w:val="center"/>
              <w:rPr>
                <w:szCs w:val="21"/>
              </w:rPr>
            </w:pPr>
            <w:r>
              <w:rPr>
                <w:szCs w:val="21"/>
              </w:rPr>
              <w:t>颗粒物（集气罩未收集）</w:t>
            </w:r>
          </w:p>
        </w:tc>
        <w:tc>
          <w:tcPr>
            <w:tcW w:w="1999" w:type="dxa"/>
            <w:gridSpan w:val="3"/>
            <w:noWrap w:val="0"/>
            <w:vAlign w:val="center"/>
          </w:tcPr>
          <w:p>
            <w:pPr>
              <w:jc w:val="center"/>
              <w:rPr>
                <w:szCs w:val="21"/>
              </w:rPr>
            </w:pPr>
            <w:r>
              <w:rPr>
                <w:bCs/>
                <w:szCs w:val="21"/>
              </w:rPr>
              <w:t>无组织排放</w:t>
            </w:r>
          </w:p>
        </w:tc>
        <w:tc>
          <w:tcPr>
            <w:tcW w:w="1922" w:type="dxa"/>
            <w:noWrap w:val="0"/>
            <w:vAlign w:val="center"/>
          </w:tcPr>
          <w:p>
            <w:pPr>
              <w:autoSpaceDE w:val="0"/>
              <w:autoSpaceDN w:val="0"/>
              <w:jc w:val="center"/>
              <w:rPr>
                <w:szCs w:val="21"/>
              </w:rPr>
            </w:pPr>
            <w:r>
              <w:rPr>
                <w:szCs w:val="21"/>
              </w:rPr>
              <w:t>颗粒物周界外浓度最高点≤1.0mg/m</w:t>
            </w:r>
            <w:r>
              <w:rPr>
                <w:szCs w:val="21"/>
                <w:vertAlign w:val="superscript"/>
              </w:rPr>
              <w:t>3</w:t>
            </w:r>
          </w:p>
        </w:tc>
        <w:tc>
          <w:tcPr>
            <w:tcW w:w="2668" w:type="dxa"/>
            <w:noWrap w:val="0"/>
            <w:vAlign w:val="center"/>
          </w:tcPr>
          <w:p>
            <w:pPr>
              <w:jc w:val="center"/>
              <w:rPr>
                <w:szCs w:val="21"/>
              </w:rPr>
            </w:pPr>
            <w:r>
              <w:rPr>
                <w:szCs w:val="21"/>
              </w:rPr>
              <w:t>《大气污染物综合排放标准》（GB16297-1996）表2无组织排放监控浓度限值</w:t>
            </w:r>
          </w:p>
        </w:tc>
        <w:tc>
          <w:tcPr>
            <w:tcW w:w="866" w:type="dxa"/>
            <w:noWrap w:val="0"/>
            <w:vAlign w:val="center"/>
          </w:tcPr>
          <w:p>
            <w:pPr>
              <w:jc w:val="center"/>
              <w:rPr>
                <w:rFonts w:hint="eastAsia" w:eastAsia="宋体"/>
                <w:szCs w:val="21"/>
                <w:lang w:val="en-US" w:eastAsia="zh-CN"/>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770"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noWrap w:val="0"/>
            <w:vAlign w:val="center"/>
          </w:tcPr>
          <w:p>
            <w:pPr>
              <w:tabs>
                <w:tab w:val="left" w:pos="6405"/>
              </w:tabs>
              <w:adjustRightInd w:val="0"/>
              <w:snapToGrid w:val="0"/>
              <w:jc w:val="center"/>
              <w:rPr>
                <w:szCs w:val="21"/>
              </w:rPr>
            </w:pPr>
            <w:r>
              <w:rPr>
                <w:szCs w:val="21"/>
              </w:rPr>
              <w:t>废</w:t>
            </w:r>
          </w:p>
          <w:p>
            <w:pPr>
              <w:tabs>
                <w:tab w:val="left" w:pos="6405"/>
              </w:tabs>
              <w:adjustRightInd w:val="0"/>
              <w:snapToGrid w:val="0"/>
              <w:jc w:val="center"/>
              <w:rPr>
                <w:szCs w:val="21"/>
              </w:rPr>
            </w:pPr>
            <w:r>
              <w:rPr>
                <w:szCs w:val="21"/>
              </w:rPr>
              <w:t>水</w:t>
            </w:r>
          </w:p>
        </w:tc>
        <w:tc>
          <w:tcPr>
            <w:tcW w:w="916" w:type="dxa"/>
            <w:noWrap w:val="0"/>
            <w:vAlign w:val="center"/>
          </w:tcPr>
          <w:p>
            <w:pPr>
              <w:tabs>
                <w:tab w:val="left" w:pos="6405"/>
              </w:tabs>
              <w:adjustRightInd w:val="0"/>
              <w:snapToGrid w:val="0"/>
              <w:jc w:val="center"/>
              <w:rPr>
                <w:szCs w:val="21"/>
              </w:rPr>
            </w:pPr>
            <w:r>
              <w:rPr>
                <w:szCs w:val="21"/>
              </w:rPr>
              <w:t>生活污水</w:t>
            </w:r>
          </w:p>
        </w:tc>
        <w:tc>
          <w:tcPr>
            <w:tcW w:w="1999" w:type="dxa"/>
            <w:gridSpan w:val="3"/>
            <w:noWrap w:val="0"/>
            <w:vAlign w:val="center"/>
          </w:tcPr>
          <w:p>
            <w:pPr>
              <w:tabs>
                <w:tab w:val="left" w:pos="6405"/>
              </w:tabs>
              <w:adjustRightInd w:val="0"/>
              <w:snapToGrid w:val="0"/>
              <w:jc w:val="center"/>
              <w:rPr>
                <w:bCs/>
                <w:szCs w:val="21"/>
              </w:rPr>
            </w:pPr>
            <w:r>
              <w:rPr>
                <w:szCs w:val="21"/>
              </w:rPr>
              <w:t>厂区设旱厕，定期清掏，生活污水泼洒厂区抑尘</w:t>
            </w:r>
          </w:p>
        </w:tc>
        <w:tc>
          <w:tcPr>
            <w:tcW w:w="1922" w:type="dxa"/>
            <w:noWrap w:val="0"/>
            <w:vAlign w:val="center"/>
          </w:tcPr>
          <w:p>
            <w:pPr>
              <w:adjustRightInd w:val="0"/>
              <w:snapToGrid w:val="0"/>
              <w:jc w:val="center"/>
              <w:rPr>
                <w:bCs/>
                <w:szCs w:val="21"/>
              </w:rPr>
            </w:pPr>
            <w:r>
              <w:rPr>
                <w:bCs/>
                <w:szCs w:val="21"/>
              </w:rPr>
              <w:t>定期清掏，生活污水泼洒厂区不外排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943" w:hRule="exac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restart"/>
            <w:noWrap w:val="0"/>
            <w:vAlign w:val="center"/>
          </w:tcPr>
          <w:p>
            <w:pPr>
              <w:tabs>
                <w:tab w:val="left" w:pos="6405"/>
              </w:tabs>
              <w:adjustRightInd w:val="0"/>
              <w:snapToGrid w:val="0"/>
              <w:jc w:val="center"/>
              <w:rPr>
                <w:szCs w:val="21"/>
              </w:rPr>
            </w:pPr>
            <w:r>
              <w:rPr>
                <w:szCs w:val="21"/>
              </w:rPr>
              <w:t>噪</w:t>
            </w:r>
          </w:p>
          <w:p>
            <w:pPr>
              <w:tabs>
                <w:tab w:val="left" w:pos="6405"/>
              </w:tabs>
              <w:adjustRightInd w:val="0"/>
              <w:snapToGrid w:val="0"/>
              <w:jc w:val="center"/>
              <w:rPr>
                <w:szCs w:val="21"/>
              </w:rPr>
            </w:pPr>
            <w:r>
              <w:rPr>
                <w:szCs w:val="21"/>
              </w:rPr>
              <w:t>声</w:t>
            </w:r>
          </w:p>
        </w:tc>
        <w:tc>
          <w:tcPr>
            <w:tcW w:w="916" w:type="dxa"/>
            <w:vMerge w:val="restart"/>
            <w:noWrap w:val="0"/>
            <w:vAlign w:val="center"/>
          </w:tcPr>
          <w:p>
            <w:pPr>
              <w:pStyle w:val="4"/>
              <w:adjustRightInd w:val="0"/>
              <w:jc w:val="center"/>
              <w:rPr>
                <w:szCs w:val="21"/>
              </w:rPr>
            </w:pPr>
            <w:r>
              <w:rPr>
                <w:szCs w:val="21"/>
              </w:rPr>
              <w:t>生产设备运行噪声</w:t>
            </w:r>
          </w:p>
        </w:tc>
        <w:tc>
          <w:tcPr>
            <w:tcW w:w="1999" w:type="dxa"/>
            <w:gridSpan w:val="3"/>
            <w:vMerge w:val="restart"/>
            <w:noWrap w:val="0"/>
            <w:vAlign w:val="center"/>
          </w:tcPr>
          <w:p>
            <w:pPr>
              <w:pStyle w:val="4"/>
              <w:adjustRightInd w:val="0"/>
              <w:jc w:val="center"/>
              <w:rPr>
                <w:szCs w:val="21"/>
              </w:rPr>
            </w:pPr>
            <w:r>
              <w:rPr>
                <w:szCs w:val="21"/>
              </w:rPr>
              <w:t>选用低噪声设备，产噪设备加装减振垫、厂房内合理布设</w:t>
            </w:r>
          </w:p>
        </w:tc>
        <w:tc>
          <w:tcPr>
            <w:tcW w:w="1922" w:type="dxa"/>
            <w:noWrap w:val="0"/>
            <w:vAlign w:val="center"/>
          </w:tcPr>
          <w:p>
            <w:pPr>
              <w:tabs>
                <w:tab w:val="left" w:pos="6405"/>
              </w:tabs>
              <w:adjustRightInd w:val="0"/>
              <w:snapToGrid w:val="0"/>
              <w:jc w:val="center"/>
              <w:rPr>
                <w:rFonts w:hint="eastAsia"/>
                <w:szCs w:val="21"/>
              </w:rPr>
            </w:pPr>
            <w:r>
              <w:rPr>
                <w:rFonts w:hint="eastAsia"/>
                <w:szCs w:val="21"/>
              </w:rPr>
              <w:t>东、西、北厂界：</w:t>
            </w:r>
          </w:p>
          <w:p>
            <w:pPr>
              <w:tabs>
                <w:tab w:val="left" w:pos="6405"/>
              </w:tabs>
              <w:adjustRightInd w:val="0"/>
              <w:snapToGrid w:val="0"/>
              <w:jc w:val="center"/>
              <w:rPr>
                <w:szCs w:val="21"/>
              </w:rPr>
            </w:pPr>
            <w:r>
              <w:rPr>
                <w:szCs w:val="21"/>
              </w:rPr>
              <w:t>昼间：60B（A）</w:t>
            </w:r>
          </w:p>
          <w:p>
            <w:pPr>
              <w:tabs>
                <w:tab w:val="left" w:pos="6405"/>
              </w:tabs>
              <w:adjustRightInd w:val="0"/>
              <w:snapToGrid w:val="0"/>
              <w:jc w:val="center"/>
              <w:rPr>
                <w:szCs w:val="21"/>
              </w:rPr>
            </w:pPr>
            <w:r>
              <w:rPr>
                <w:szCs w:val="21"/>
              </w:rPr>
              <w:t>夜间：50dB（A）</w:t>
            </w:r>
          </w:p>
        </w:tc>
        <w:tc>
          <w:tcPr>
            <w:tcW w:w="2668" w:type="dxa"/>
            <w:noWrap w:val="0"/>
            <w:vAlign w:val="center"/>
          </w:tcPr>
          <w:p>
            <w:pPr>
              <w:jc w:val="center"/>
              <w:rPr>
                <w:szCs w:val="21"/>
              </w:rPr>
            </w:pPr>
            <w:r>
              <w:rPr>
                <w:szCs w:val="21"/>
              </w:rPr>
              <w:t>《工业企业厂界环境噪声排放标准》（GB12348-2008）</w:t>
            </w:r>
          </w:p>
          <w:p>
            <w:pPr>
              <w:adjustRightInd w:val="0"/>
              <w:snapToGrid w:val="0"/>
              <w:jc w:val="center"/>
              <w:rPr>
                <w:szCs w:val="21"/>
                <w:highlight w:val="red"/>
              </w:rPr>
            </w:pPr>
            <w:r>
              <w:rPr>
                <w:szCs w:val="21"/>
              </w:rPr>
              <w:t>中2类标准</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937" w:hRule="exac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vMerge w:val="continue"/>
            <w:noWrap w:val="0"/>
            <w:vAlign w:val="center"/>
          </w:tcPr>
          <w:p>
            <w:pPr>
              <w:pStyle w:val="4"/>
              <w:adjustRightInd w:val="0"/>
              <w:jc w:val="center"/>
              <w:rPr>
                <w:szCs w:val="21"/>
              </w:rPr>
            </w:pPr>
          </w:p>
        </w:tc>
        <w:tc>
          <w:tcPr>
            <w:tcW w:w="1999" w:type="dxa"/>
            <w:gridSpan w:val="3"/>
            <w:vMerge w:val="continue"/>
            <w:noWrap w:val="0"/>
            <w:vAlign w:val="center"/>
          </w:tcPr>
          <w:p>
            <w:pPr>
              <w:pStyle w:val="4"/>
              <w:adjustRightInd w:val="0"/>
              <w:jc w:val="center"/>
              <w:rPr>
                <w:szCs w:val="21"/>
              </w:rPr>
            </w:pPr>
          </w:p>
        </w:tc>
        <w:tc>
          <w:tcPr>
            <w:tcW w:w="1922" w:type="dxa"/>
            <w:noWrap w:val="0"/>
            <w:vAlign w:val="center"/>
          </w:tcPr>
          <w:p>
            <w:pPr>
              <w:tabs>
                <w:tab w:val="left" w:pos="6405"/>
              </w:tabs>
              <w:adjustRightInd w:val="0"/>
              <w:snapToGrid w:val="0"/>
              <w:jc w:val="center"/>
              <w:rPr>
                <w:rFonts w:hint="eastAsia"/>
                <w:szCs w:val="21"/>
              </w:rPr>
            </w:pPr>
            <w:r>
              <w:rPr>
                <w:rFonts w:hint="eastAsia"/>
                <w:szCs w:val="21"/>
              </w:rPr>
              <w:t>南厂界：</w:t>
            </w:r>
          </w:p>
          <w:p>
            <w:pPr>
              <w:tabs>
                <w:tab w:val="left" w:pos="6405"/>
              </w:tabs>
              <w:adjustRightInd w:val="0"/>
              <w:snapToGrid w:val="0"/>
              <w:jc w:val="center"/>
              <w:rPr>
                <w:szCs w:val="21"/>
              </w:rPr>
            </w:pPr>
            <w:r>
              <w:rPr>
                <w:szCs w:val="21"/>
              </w:rPr>
              <w:t>昼间：60B（A）</w:t>
            </w:r>
          </w:p>
          <w:p>
            <w:pPr>
              <w:tabs>
                <w:tab w:val="left" w:pos="6405"/>
              </w:tabs>
              <w:adjustRightInd w:val="0"/>
              <w:snapToGrid w:val="0"/>
              <w:jc w:val="center"/>
              <w:rPr>
                <w:szCs w:val="21"/>
              </w:rPr>
            </w:pPr>
            <w:r>
              <w:rPr>
                <w:szCs w:val="21"/>
              </w:rPr>
              <w:t>夜间：50dB（A）</w:t>
            </w:r>
          </w:p>
        </w:tc>
        <w:tc>
          <w:tcPr>
            <w:tcW w:w="2668" w:type="dxa"/>
            <w:noWrap w:val="0"/>
            <w:vAlign w:val="center"/>
          </w:tcPr>
          <w:p>
            <w:pPr>
              <w:jc w:val="center"/>
              <w:rPr>
                <w:szCs w:val="21"/>
              </w:rPr>
            </w:pPr>
            <w:r>
              <w:rPr>
                <w:szCs w:val="21"/>
              </w:rPr>
              <w:t>《工业企业厂界环境噪声排放标准》（GB12348-2008）</w:t>
            </w:r>
          </w:p>
          <w:p>
            <w:pPr>
              <w:adjustRightInd w:val="0"/>
              <w:snapToGrid w:val="0"/>
              <w:jc w:val="center"/>
              <w:rPr>
                <w:szCs w:val="21"/>
                <w:highlight w:val="red"/>
              </w:rPr>
            </w:pPr>
            <w:r>
              <w:rPr>
                <w:szCs w:val="21"/>
              </w:rPr>
              <w:t>中</w:t>
            </w:r>
            <w:r>
              <w:rPr>
                <w:rFonts w:hint="eastAsia"/>
                <w:szCs w:val="21"/>
              </w:rPr>
              <w:t>4</w:t>
            </w:r>
            <w:r>
              <w:rPr>
                <w:szCs w:val="21"/>
              </w:rPr>
              <w:t>类标准</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08"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restart"/>
            <w:noWrap w:val="0"/>
            <w:vAlign w:val="center"/>
          </w:tcPr>
          <w:p>
            <w:pPr>
              <w:tabs>
                <w:tab w:val="left" w:pos="6405"/>
              </w:tabs>
              <w:adjustRightInd w:val="0"/>
              <w:snapToGrid w:val="0"/>
              <w:jc w:val="center"/>
              <w:rPr>
                <w:szCs w:val="21"/>
              </w:rPr>
            </w:pPr>
            <w:r>
              <w:rPr>
                <w:szCs w:val="21"/>
              </w:rPr>
              <w:t>固</w:t>
            </w:r>
          </w:p>
          <w:p>
            <w:pPr>
              <w:tabs>
                <w:tab w:val="left" w:pos="6405"/>
              </w:tabs>
              <w:adjustRightInd w:val="0"/>
              <w:snapToGrid w:val="0"/>
              <w:jc w:val="center"/>
              <w:rPr>
                <w:szCs w:val="21"/>
              </w:rPr>
            </w:pPr>
            <w:r>
              <w:rPr>
                <w:szCs w:val="21"/>
              </w:rPr>
              <w:t>废</w:t>
            </w:r>
          </w:p>
        </w:tc>
        <w:tc>
          <w:tcPr>
            <w:tcW w:w="916" w:type="dxa"/>
            <w:noWrap w:val="0"/>
            <w:vAlign w:val="center"/>
          </w:tcPr>
          <w:p>
            <w:pPr>
              <w:tabs>
                <w:tab w:val="left" w:pos="6405"/>
              </w:tabs>
              <w:adjustRightInd w:val="0"/>
              <w:snapToGrid w:val="0"/>
              <w:jc w:val="center"/>
              <w:rPr>
                <w:szCs w:val="21"/>
              </w:rPr>
            </w:pPr>
            <w:r>
              <w:rPr>
                <w:szCs w:val="21"/>
              </w:rPr>
              <w:t>生活垃圾</w:t>
            </w:r>
          </w:p>
        </w:tc>
        <w:tc>
          <w:tcPr>
            <w:tcW w:w="1999" w:type="dxa"/>
            <w:gridSpan w:val="3"/>
            <w:vMerge w:val="restart"/>
            <w:noWrap w:val="0"/>
            <w:vAlign w:val="center"/>
          </w:tcPr>
          <w:p>
            <w:pPr>
              <w:adjustRightInd w:val="0"/>
              <w:snapToGrid w:val="0"/>
              <w:jc w:val="center"/>
              <w:rPr>
                <w:szCs w:val="21"/>
              </w:rPr>
            </w:pPr>
            <w:r>
              <w:rPr>
                <w:szCs w:val="21"/>
              </w:rPr>
              <w:t>垃圾箱收集，由环卫工人运至垃圾处理厂处理</w:t>
            </w: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758"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noWrap w:val="0"/>
            <w:vAlign w:val="center"/>
          </w:tcPr>
          <w:p>
            <w:pPr>
              <w:tabs>
                <w:tab w:val="left" w:pos="6405"/>
              </w:tabs>
              <w:adjustRightInd w:val="0"/>
              <w:snapToGrid w:val="0"/>
              <w:jc w:val="center"/>
              <w:rPr>
                <w:szCs w:val="21"/>
              </w:rPr>
            </w:pPr>
            <w:r>
              <w:rPr>
                <w:bCs/>
              </w:rPr>
              <w:t>设备维护</w:t>
            </w:r>
            <w:r>
              <w:rPr>
                <w:szCs w:val="21"/>
              </w:rPr>
              <w:t>含油抹布</w:t>
            </w:r>
          </w:p>
        </w:tc>
        <w:tc>
          <w:tcPr>
            <w:tcW w:w="1999" w:type="dxa"/>
            <w:gridSpan w:val="3"/>
            <w:vMerge w:val="continue"/>
            <w:noWrap w:val="0"/>
            <w:vAlign w:val="center"/>
          </w:tcPr>
          <w:p>
            <w:pPr>
              <w:adjustRightInd w:val="0"/>
              <w:snapToGrid w:val="0"/>
              <w:jc w:val="center"/>
              <w:rPr>
                <w:szCs w:val="21"/>
              </w:rPr>
            </w:pP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1007"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noWrap w:val="0"/>
            <w:vAlign w:val="center"/>
          </w:tcPr>
          <w:p>
            <w:pPr>
              <w:tabs>
                <w:tab w:val="left" w:pos="6405"/>
              </w:tabs>
              <w:adjustRightInd w:val="0"/>
              <w:snapToGrid w:val="0"/>
              <w:jc w:val="center"/>
              <w:rPr>
                <w:szCs w:val="21"/>
              </w:rPr>
            </w:pPr>
            <w:r>
              <w:rPr>
                <w:szCs w:val="21"/>
              </w:rPr>
              <w:t>检验</w:t>
            </w:r>
            <w:r>
              <w:rPr>
                <w:rFonts w:hint="eastAsia"/>
                <w:szCs w:val="21"/>
              </w:rPr>
              <w:t>工序产生的不合格</w:t>
            </w:r>
          </w:p>
        </w:tc>
        <w:tc>
          <w:tcPr>
            <w:tcW w:w="1999" w:type="dxa"/>
            <w:gridSpan w:val="3"/>
            <w:noWrap w:val="0"/>
            <w:vAlign w:val="center"/>
          </w:tcPr>
          <w:p>
            <w:pPr>
              <w:jc w:val="center"/>
            </w:pPr>
            <w:r>
              <w:rPr>
                <w:szCs w:val="21"/>
              </w:rPr>
              <w:t>收集后外售</w:t>
            </w: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1007"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noWrap w:val="0"/>
            <w:vAlign w:val="center"/>
          </w:tcPr>
          <w:p>
            <w:pPr>
              <w:tabs>
                <w:tab w:val="left" w:pos="6405"/>
              </w:tabs>
              <w:adjustRightInd w:val="0"/>
              <w:snapToGrid w:val="0"/>
              <w:jc w:val="center"/>
              <w:rPr>
                <w:szCs w:val="21"/>
              </w:rPr>
            </w:pPr>
            <w:r>
              <w:rPr>
                <w:rFonts w:hint="eastAsia"/>
                <w:szCs w:val="21"/>
              </w:rPr>
              <w:t>焊接工序产生的废焊条</w:t>
            </w:r>
          </w:p>
        </w:tc>
        <w:tc>
          <w:tcPr>
            <w:tcW w:w="1999" w:type="dxa"/>
            <w:gridSpan w:val="3"/>
            <w:noWrap w:val="0"/>
            <w:vAlign w:val="center"/>
          </w:tcPr>
          <w:p>
            <w:pPr>
              <w:jc w:val="center"/>
            </w:pPr>
            <w:r>
              <w:rPr>
                <w:szCs w:val="21"/>
              </w:rPr>
              <w:t>收集后外售</w:t>
            </w: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758"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noWrap w:val="0"/>
            <w:vAlign w:val="center"/>
          </w:tcPr>
          <w:p>
            <w:pPr>
              <w:tabs>
                <w:tab w:val="left" w:pos="6405"/>
              </w:tabs>
              <w:adjustRightInd w:val="0"/>
              <w:snapToGrid w:val="0"/>
              <w:jc w:val="center"/>
              <w:rPr>
                <w:szCs w:val="21"/>
              </w:rPr>
            </w:pPr>
            <w:r>
              <w:rPr>
                <w:rFonts w:hint="eastAsia"/>
                <w:szCs w:val="21"/>
              </w:rPr>
              <w:t>切割工序</w:t>
            </w:r>
            <w:r>
              <w:rPr>
                <w:szCs w:val="21"/>
              </w:rPr>
              <w:t>边角料</w:t>
            </w:r>
          </w:p>
        </w:tc>
        <w:tc>
          <w:tcPr>
            <w:tcW w:w="1999" w:type="dxa"/>
            <w:gridSpan w:val="3"/>
            <w:noWrap w:val="0"/>
            <w:vAlign w:val="center"/>
          </w:tcPr>
          <w:p>
            <w:pPr>
              <w:adjustRightInd w:val="0"/>
              <w:snapToGrid w:val="0"/>
              <w:jc w:val="center"/>
              <w:rPr>
                <w:szCs w:val="21"/>
              </w:rPr>
            </w:pPr>
            <w:r>
              <w:rPr>
                <w:szCs w:val="21"/>
              </w:rPr>
              <w:t>收集后外售</w:t>
            </w: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788"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noWrap w:val="0"/>
            <w:vAlign w:val="center"/>
          </w:tcPr>
          <w:p>
            <w:pPr>
              <w:tabs>
                <w:tab w:val="left" w:pos="6405"/>
              </w:tabs>
              <w:adjustRightInd w:val="0"/>
              <w:snapToGrid w:val="0"/>
              <w:jc w:val="center"/>
              <w:rPr>
                <w:rFonts w:hint="eastAsia"/>
                <w:szCs w:val="21"/>
              </w:rPr>
            </w:pPr>
            <w:r>
              <w:rPr>
                <w:rFonts w:hint="eastAsia"/>
                <w:szCs w:val="21"/>
              </w:rPr>
              <w:t>喷砂工序产生的废砂</w:t>
            </w:r>
          </w:p>
        </w:tc>
        <w:tc>
          <w:tcPr>
            <w:tcW w:w="1999" w:type="dxa"/>
            <w:gridSpan w:val="3"/>
            <w:noWrap w:val="0"/>
            <w:vAlign w:val="center"/>
          </w:tcPr>
          <w:p>
            <w:pPr>
              <w:adjustRightInd w:val="0"/>
              <w:snapToGrid w:val="0"/>
              <w:jc w:val="center"/>
              <w:rPr>
                <w:szCs w:val="21"/>
              </w:rPr>
            </w:pPr>
            <w:r>
              <w:rPr>
                <w:szCs w:val="21"/>
              </w:rPr>
              <w:t>收集后外售</w:t>
            </w: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785" w:hRule="atLeast"/>
          <w:jc w:val="center"/>
        </w:trPr>
        <w:tc>
          <w:tcPr>
            <w:tcW w:w="713" w:type="dxa"/>
            <w:vMerge w:val="continue"/>
            <w:noWrap w:val="0"/>
            <w:vAlign w:val="center"/>
          </w:tcPr>
          <w:p>
            <w:pPr>
              <w:tabs>
                <w:tab w:val="left" w:pos="6405"/>
              </w:tabs>
              <w:adjustRightInd w:val="0"/>
              <w:snapToGrid w:val="0"/>
              <w:jc w:val="center"/>
              <w:rPr>
                <w:szCs w:val="21"/>
              </w:rPr>
            </w:pPr>
          </w:p>
        </w:tc>
        <w:tc>
          <w:tcPr>
            <w:tcW w:w="913" w:type="dxa"/>
            <w:vMerge w:val="continue"/>
            <w:noWrap w:val="0"/>
            <w:vAlign w:val="center"/>
          </w:tcPr>
          <w:p>
            <w:pPr>
              <w:tabs>
                <w:tab w:val="left" w:pos="6405"/>
              </w:tabs>
              <w:adjustRightInd w:val="0"/>
              <w:snapToGrid w:val="0"/>
              <w:jc w:val="center"/>
              <w:rPr>
                <w:szCs w:val="21"/>
              </w:rPr>
            </w:pPr>
          </w:p>
        </w:tc>
        <w:tc>
          <w:tcPr>
            <w:tcW w:w="916" w:type="dxa"/>
            <w:noWrap w:val="0"/>
            <w:vAlign w:val="center"/>
          </w:tcPr>
          <w:p>
            <w:pPr>
              <w:tabs>
                <w:tab w:val="left" w:pos="6405"/>
              </w:tabs>
              <w:adjustRightInd w:val="0"/>
              <w:snapToGrid w:val="0"/>
              <w:jc w:val="center"/>
              <w:rPr>
                <w:szCs w:val="21"/>
              </w:rPr>
            </w:pPr>
            <w:r>
              <w:rPr>
                <w:szCs w:val="21"/>
              </w:rPr>
              <w:t>除尘器收集烟尘</w:t>
            </w:r>
          </w:p>
        </w:tc>
        <w:tc>
          <w:tcPr>
            <w:tcW w:w="1999" w:type="dxa"/>
            <w:gridSpan w:val="3"/>
            <w:noWrap w:val="0"/>
            <w:vAlign w:val="center"/>
          </w:tcPr>
          <w:p>
            <w:pPr>
              <w:adjustRightInd w:val="0"/>
              <w:snapToGrid w:val="0"/>
              <w:jc w:val="center"/>
              <w:rPr>
                <w:szCs w:val="21"/>
              </w:rPr>
            </w:pPr>
            <w:r>
              <w:rPr>
                <w:szCs w:val="21"/>
              </w:rPr>
              <w:t>收集后外售</w:t>
            </w:r>
          </w:p>
        </w:tc>
        <w:tc>
          <w:tcPr>
            <w:tcW w:w="1922" w:type="dxa"/>
            <w:noWrap w:val="0"/>
            <w:vAlign w:val="center"/>
          </w:tcPr>
          <w:p>
            <w:pPr>
              <w:adjustRightInd w:val="0"/>
              <w:snapToGrid w:val="0"/>
              <w:jc w:val="center"/>
              <w:rPr>
                <w:szCs w:val="21"/>
              </w:rPr>
            </w:pPr>
            <w:r>
              <w:rPr>
                <w:szCs w:val="21"/>
              </w:rPr>
              <w:t>不外排</w:t>
            </w:r>
          </w:p>
        </w:tc>
        <w:tc>
          <w:tcPr>
            <w:tcW w:w="2668" w:type="dxa"/>
            <w:noWrap w:val="0"/>
            <w:vAlign w:val="center"/>
          </w:tcPr>
          <w:p>
            <w:pPr>
              <w:adjustRightInd w:val="0"/>
              <w:snapToGrid w:val="0"/>
              <w:jc w:val="center"/>
              <w:rPr>
                <w:szCs w:val="21"/>
              </w:rPr>
            </w:pPr>
            <w:r>
              <w:rPr>
                <w:szCs w:val="21"/>
              </w:rPr>
              <w:t>—</w:t>
            </w:r>
          </w:p>
        </w:tc>
        <w:tc>
          <w:tcPr>
            <w:tcW w:w="866" w:type="dxa"/>
            <w:noWrap w:val="0"/>
            <w:vAlign w:val="center"/>
          </w:tcPr>
          <w:p>
            <w:pPr>
              <w:adjustRightInd w:val="0"/>
              <w:snapToGrid w:val="0"/>
              <w:jc w:val="center"/>
              <w:rPr>
                <w:szCs w:val="21"/>
              </w:rPr>
            </w:pPr>
            <w:r>
              <w:rPr>
                <w:rFonts w:hint="eastAsia"/>
                <w:szCs w:val="21"/>
                <w:lang w:val="en-US" w:eastAsia="zh-CN"/>
              </w:rPr>
              <w:t>已落实</w:t>
            </w:r>
          </w:p>
        </w:tc>
      </w:tr>
    </w:tbl>
    <w:p>
      <w:pPr>
        <w:widowControl/>
        <w:spacing w:before="156" w:beforeLines="50"/>
        <w:ind w:firstLine="140" w:firstLineChars="58"/>
        <w:jc w:val="center"/>
        <w:rPr>
          <w:rFonts w:ascii="Times New Roman" w:hAnsi="Times New Roman"/>
          <w:b/>
          <w:color w:val="FF0000"/>
          <w:sz w:val="24"/>
          <w:szCs w:val="24"/>
        </w:rPr>
      </w:pPr>
    </w:p>
    <w:p>
      <w:pPr>
        <w:rPr>
          <w:rFonts w:ascii="Times New Roman" w:hAnsi="Times New Roman"/>
          <w:color w:val="auto"/>
        </w:rPr>
      </w:pPr>
      <w:bookmarkStart w:id="133" w:name="_Toc24447"/>
      <w:bookmarkStart w:id="134" w:name="_Toc1554"/>
      <w:bookmarkStart w:id="135" w:name="_Toc1887"/>
      <w:bookmarkStart w:id="136" w:name="_Toc5108"/>
      <w:r>
        <w:rPr>
          <w:rFonts w:ascii="Times New Roman" w:hAnsi="Times New Roman"/>
          <w:color w:val="FF0000"/>
        </w:rPr>
        <w:br w:type="page"/>
      </w:r>
      <w:r>
        <w:rPr>
          <w:rFonts w:ascii="Times New Roman" w:hAnsi="Times New Roman"/>
          <w:color w:val="auto"/>
        </w:rPr>
        <w:t>2.10 验收范围及内容</w:t>
      </w:r>
      <w:bookmarkEnd w:id="133"/>
      <w:bookmarkEnd w:id="134"/>
      <w:bookmarkEnd w:id="135"/>
      <w:bookmarkEnd w:id="136"/>
    </w:p>
    <w:p>
      <w:pPr>
        <w:adjustRightInd w:val="0"/>
        <w:snapToGrid w:val="0"/>
        <w:spacing w:line="480" w:lineRule="atLeast"/>
        <w:ind w:firstLine="480" w:firstLineChars="200"/>
        <w:rPr>
          <w:rFonts w:ascii="Times New Roman" w:hAnsi="Times New Roman"/>
          <w:color w:val="auto"/>
        </w:rPr>
      </w:pPr>
      <w:r>
        <w:rPr>
          <w:rFonts w:ascii="Times New Roman" w:hAnsi="Times New Roman"/>
          <w:color w:val="auto"/>
          <w:sz w:val="24"/>
          <w:szCs w:val="24"/>
        </w:rPr>
        <w:t>项目位于</w:t>
      </w:r>
      <w:r>
        <w:rPr>
          <w:rFonts w:hint="eastAsia" w:ascii="Times New Roman" w:hAnsi="Times New Roman"/>
          <w:color w:val="auto"/>
          <w:kern w:val="0"/>
          <w:sz w:val="24"/>
          <w:szCs w:val="24"/>
          <w:lang w:eastAsia="zh-CN"/>
        </w:rPr>
        <w:t>盐山县盐山镇沧乐线供销加油站斜对面</w:t>
      </w:r>
      <w:r>
        <w:rPr>
          <w:rFonts w:hint="eastAsia" w:ascii="Times New Roman" w:hAnsi="Times New Roman"/>
          <w:color w:val="auto"/>
          <w:kern w:val="0"/>
          <w:sz w:val="24"/>
          <w:szCs w:val="24"/>
        </w:rPr>
        <w:t>，</w:t>
      </w:r>
      <w:r>
        <w:rPr>
          <w:rFonts w:hint="eastAsia" w:ascii="Times New Roman" w:hAnsi="Times New Roman"/>
          <w:color w:val="auto"/>
          <w:sz w:val="24"/>
          <w:szCs w:val="24"/>
        </w:rPr>
        <w:t>总投资</w:t>
      </w:r>
      <w:r>
        <w:rPr>
          <w:rFonts w:hint="eastAsia" w:ascii="Times New Roman" w:hAnsi="Times New Roman"/>
          <w:color w:val="auto"/>
          <w:sz w:val="24"/>
          <w:szCs w:val="24"/>
          <w:lang w:val="en-US" w:eastAsia="zh-CN"/>
        </w:rPr>
        <w:t>170</w:t>
      </w:r>
      <w:r>
        <w:rPr>
          <w:rFonts w:hint="eastAsia" w:ascii="Times New Roman" w:hAnsi="Times New Roman"/>
          <w:color w:val="auto"/>
          <w:sz w:val="24"/>
          <w:szCs w:val="24"/>
        </w:rPr>
        <w:t>万元，本项目占地面积</w:t>
      </w:r>
      <w:r>
        <w:rPr>
          <w:rFonts w:hint="eastAsia" w:ascii="Times New Roman" w:hAnsi="Times New Roman"/>
          <w:color w:val="auto"/>
          <w:sz w:val="24"/>
          <w:szCs w:val="24"/>
          <w:lang w:val="en-US" w:eastAsia="zh-CN"/>
        </w:rPr>
        <w:t>1066</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，主要建设车间、仓库及附属设施等。项目新建完成后，</w:t>
      </w:r>
      <w:r>
        <w:rPr>
          <w:rFonts w:hint="eastAsia"/>
          <w:color w:val="auto"/>
          <w:sz w:val="24"/>
          <w:lang w:eastAsia="zh-CN"/>
        </w:rPr>
        <w:t>年产300吨弯头</w:t>
      </w:r>
      <w:r>
        <w:rPr>
          <w:rFonts w:hint="eastAsia" w:ascii="Times New Roman" w:hAnsi="Times New Roman"/>
          <w:color w:val="auto"/>
          <w:sz w:val="24"/>
          <w:szCs w:val="24"/>
        </w:rPr>
        <w:t>。建设单位按照环评要求落实各项污染防治措施。</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环保设施已经建设完成工程有：</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①废气—</w:t>
      </w:r>
      <w:r>
        <w:rPr>
          <w:rFonts w:hint="default" w:ascii="Times New Roman" w:hAnsi="Times New Roman"/>
          <w:color w:val="auto"/>
          <w:sz w:val="24"/>
          <w:szCs w:val="24"/>
          <w:lang w:val="en-US" w:eastAsia="zh-CN"/>
        </w:rPr>
        <w:t>切割、修磨、焊接、喷砂工序</w:t>
      </w:r>
      <w:r>
        <w:rPr>
          <w:rFonts w:hint="eastAsia" w:ascii="Times New Roman" w:hAnsi="Times New Roman"/>
          <w:color w:val="auto"/>
          <w:sz w:val="24"/>
          <w:szCs w:val="24"/>
          <w:lang w:val="en-US" w:eastAsia="zh-CN"/>
        </w:rPr>
        <w:t>固定工位</w:t>
      </w:r>
      <w:r>
        <w:rPr>
          <w:rFonts w:hint="default" w:ascii="Times New Roman" w:hAnsi="Times New Roman"/>
          <w:color w:val="auto"/>
          <w:sz w:val="24"/>
          <w:szCs w:val="24"/>
          <w:lang w:val="en-US" w:eastAsia="zh-CN"/>
        </w:rPr>
        <w:t>，</w:t>
      </w:r>
      <w:r>
        <w:rPr>
          <w:rFonts w:hint="eastAsia" w:ascii="Times New Roman" w:hAnsi="Times New Roman"/>
          <w:color w:val="auto"/>
          <w:sz w:val="24"/>
          <w:szCs w:val="24"/>
          <w:lang w:val="en-US" w:eastAsia="zh-CN"/>
        </w:rPr>
        <w:t>产生的废气</w:t>
      </w:r>
      <w:r>
        <w:rPr>
          <w:rFonts w:hint="default" w:ascii="Times New Roman" w:hAnsi="Times New Roman"/>
          <w:color w:val="auto"/>
          <w:sz w:val="24"/>
          <w:szCs w:val="24"/>
          <w:lang w:val="en-US" w:eastAsia="zh-CN"/>
        </w:rPr>
        <w:t>经集气罩收集</w:t>
      </w:r>
      <w:r>
        <w:rPr>
          <w:rFonts w:hint="eastAsia" w:ascii="Times New Roman" w:hAnsi="Times New Roman"/>
          <w:color w:val="auto"/>
          <w:sz w:val="24"/>
          <w:szCs w:val="24"/>
          <w:lang w:val="en-US" w:eastAsia="zh-CN"/>
        </w:rPr>
        <w:t>后</w:t>
      </w:r>
      <w:r>
        <w:rPr>
          <w:rFonts w:hint="default" w:ascii="Times New Roman" w:hAnsi="Times New Roman"/>
          <w:color w:val="auto"/>
          <w:sz w:val="24"/>
          <w:szCs w:val="24"/>
          <w:lang w:val="en-US" w:eastAsia="zh-CN"/>
        </w:rPr>
        <w:t>与</w:t>
      </w:r>
      <w:r>
        <w:rPr>
          <w:rFonts w:hint="eastAsia" w:ascii="Times New Roman" w:hAnsi="Times New Roman"/>
          <w:color w:val="auto"/>
          <w:sz w:val="24"/>
          <w:szCs w:val="24"/>
          <w:lang w:val="en-US" w:eastAsia="zh-CN"/>
        </w:rPr>
        <w:t>1台抛丸机废气经除尘器处理</w:t>
      </w:r>
      <w:r>
        <w:rPr>
          <w:rFonts w:hint="default" w:ascii="Times New Roman" w:hAnsi="Times New Roman"/>
          <w:color w:val="auto"/>
          <w:sz w:val="24"/>
          <w:szCs w:val="24"/>
          <w:lang w:val="en-US" w:eastAsia="zh-CN"/>
        </w:rPr>
        <w:t>，处理</w:t>
      </w:r>
      <w:r>
        <w:rPr>
          <w:rFonts w:hint="eastAsia" w:ascii="Times New Roman" w:hAnsi="Times New Roman"/>
          <w:color w:val="auto"/>
          <w:sz w:val="24"/>
          <w:szCs w:val="24"/>
          <w:lang w:val="en-US" w:eastAsia="zh-CN"/>
        </w:rPr>
        <w:t>后</w:t>
      </w:r>
      <w:r>
        <w:rPr>
          <w:rFonts w:hint="default" w:ascii="Times New Roman" w:hAnsi="Times New Roman"/>
          <w:color w:val="auto"/>
          <w:sz w:val="24"/>
          <w:szCs w:val="24"/>
          <w:lang w:val="en-US" w:eastAsia="zh-CN"/>
        </w:rPr>
        <w:t>由1根15m高排气筒排放</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②废水—</w:t>
      </w:r>
      <w:r>
        <w:rPr>
          <w:rFonts w:hint="eastAsia" w:ascii="Times New Roman" w:hAnsi="Times New Roman"/>
          <w:color w:val="auto"/>
          <w:sz w:val="24"/>
          <w:szCs w:val="24"/>
        </w:rPr>
        <w:t>项目无生产废水产生；废水主要为职工生活污水，</w:t>
      </w:r>
      <w:r>
        <w:rPr>
          <w:rFonts w:ascii="Times New Roman" w:hAnsi="宋体"/>
          <w:color w:val="auto"/>
          <w:sz w:val="24"/>
          <w:szCs w:val="24"/>
        </w:rPr>
        <w:t>生活污水</w:t>
      </w:r>
      <w:r>
        <w:rPr>
          <w:rFonts w:hint="eastAsia" w:ascii="Times New Roman" w:hAnsi="宋体"/>
          <w:color w:val="auto"/>
          <w:sz w:val="24"/>
          <w:szCs w:val="24"/>
        </w:rPr>
        <w:t>排入化粪池，定期清掏</w:t>
      </w:r>
      <w:r>
        <w:rPr>
          <w:rFonts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③噪声—</w:t>
      </w:r>
      <w:r>
        <w:rPr>
          <w:rFonts w:hint="eastAsia" w:ascii="Times New Roman" w:hAnsi="Times New Roman"/>
          <w:color w:val="auto"/>
          <w:sz w:val="24"/>
          <w:szCs w:val="24"/>
        </w:rPr>
        <w:t>设备运行过程产生的设备噪声</w:t>
      </w:r>
      <w:r>
        <w:rPr>
          <w:rFonts w:ascii="Times New Roman" w:hAnsi="Times New Roman"/>
          <w:color w:val="auto"/>
          <w:sz w:val="24"/>
          <w:szCs w:val="24"/>
        </w:rPr>
        <w:t>，为具体检测内容。</w:t>
      </w:r>
    </w:p>
    <w:p>
      <w:pPr>
        <w:pStyle w:val="10"/>
        <w:spacing w:line="360" w:lineRule="auto"/>
        <w:ind w:firstLine="480" w:firstLineChars="200"/>
        <w:jc w:val="left"/>
        <w:rPr>
          <w:rFonts w:ascii="Times New Roman" w:hAnsi="Times New Roman"/>
          <w:color w:val="auto"/>
          <w:sz w:val="24"/>
          <w:szCs w:val="24"/>
        </w:rPr>
      </w:pPr>
      <w:r>
        <w:rPr>
          <w:rFonts w:ascii="Times New Roman" w:hAnsi="Times New Roman"/>
          <w:color w:val="auto"/>
          <w:sz w:val="24"/>
          <w:szCs w:val="24"/>
        </w:rPr>
        <w:t>④固体废物—</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lang w:val="en-US" w:eastAsia="zh-CN"/>
        </w:rPr>
        <w:t>切割工序产生的边角料、焊接工序产生废焊条、检验工序产生不合格品、布袋除尘器收集粉尘收集后外售，机油循环利用，设备维护过程中产生的含油废抹布与生活办公产生生活垃圾由垃圾箱收集，环卫部门定期清运</w:t>
      </w:r>
      <w:r>
        <w:rPr>
          <w:rFonts w:hint="eastAsia" w:ascii="Times New Roman" w:hAnsi="Times New Roman"/>
          <w:color w:val="auto"/>
          <w:sz w:val="24"/>
          <w:szCs w:val="24"/>
        </w:rPr>
        <w:t>。</w:t>
      </w:r>
    </w:p>
    <w:p>
      <w:pPr>
        <w:spacing w:line="440" w:lineRule="atLeast"/>
        <w:ind w:firstLine="480" w:firstLineChars="200"/>
        <w:rPr>
          <w:rFonts w:ascii="Times New Roman" w:hAnsi="Times New Roman"/>
          <w:color w:val="auto"/>
          <w:sz w:val="24"/>
          <w:szCs w:val="24"/>
        </w:rPr>
      </w:pPr>
      <w:r>
        <w:rPr>
          <w:rFonts w:hint="eastAsia" w:ascii="宋体" w:hAnsi="宋体" w:cs="宋体"/>
          <w:color w:val="auto"/>
          <w:sz w:val="24"/>
          <w:szCs w:val="24"/>
        </w:rPr>
        <w:t>⑤</w:t>
      </w:r>
      <w:r>
        <w:rPr>
          <w:rFonts w:ascii="Times New Roman" w:hAnsi="Times New Roman"/>
          <w:color w:val="auto"/>
          <w:sz w:val="24"/>
          <w:szCs w:val="24"/>
        </w:rPr>
        <w:t>工程环评及环评审批意见落实情况、环保设施的建设运行情况、环保机构及规章制度建设情况等，为本工程验收报告的检查内容。</w:t>
      </w:r>
    </w:p>
    <w:p>
      <w:pPr>
        <w:pStyle w:val="5"/>
        <w:rPr>
          <w:rFonts w:ascii="Times New Roman" w:hAnsi="Times New Roman"/>
          <w:color w:val="FF0000"/>
        </w:rPr>
      </w:pPr>
      <w:bookmarkStart w:id="137" w:name="_Toc21809"/>
      <w:r>
        <w:rPr>
          <w:rFonts w:ascii="Times New Roman" w:hAnsi="Times New Roman"/>
          <w:color w:val="FF0000"/>
        </w:rPr>
        <w:br w:type="page"/>
      </w:r>
    </w:p>
    <w:p>
      <w:pPr>
        <w:pStyle w:val="5"/>
        <w:rPr>
          <w:rFonts w:ascii="Times New Roman" w:hAnsi="Times New Roman"/>
          <w:color w:val="auto"/>
        </w:rPr>
      </w:pPr>
      <w:bookmarkStart w:id="138" w:name="_Toc12475"/>
      <w:bookmarkStart w:id="139" w:name="_Toc2185"/>
      <w:bookmarkStart w:id="140" w:name="_Toc8056"/>
      <w:r>
        <w:rPr>
          <w:rFonts w:ascii="Times New Roman" w:hAnsi="Times New Roman"/>
          <w:color w:val="auto"/>
        </w:rPr>
        <w:t>3 主要污染源及治理措施</w:t>
      </w:r>
      <w:bookmarkEnd w:id="137"/>
      <w:bookmarkEnd w:id="138"/>
      <w:bookmarkEnd w:id="139"/>
      <w:bookmarkEnd w:id="140"/>
    </w:p>
    <w:p>
      <w:pPr>
        <w:pStyle w:val="6"/>
        <w:rPr>
          <w:rFonts w:ascii="Times New Roman" w:hAnsi="Times New Roman"/>
          <w:color w:val="auto"/>
        </w:rPr>
      </w:pPr>
      <w:bookmarkStart w:id="141" w:name="_Toc12186"/>
      <w:bookmarkStart w:id="142" w:name="_Toc10538"/>
      <w:bookmarkStart w:id="143" w:name="_Toc31233"/>
      <w:bookmarkStart w:id="144" w:name="_Toc381"/>
      <w:r>
        <w:rPr>
          <w:rFonts w:ascii="Times New Roman" w:hAnsi="Times New Roman"/>
          <w:color w:val="auto"/>
        </w:rPr>
        <w:t>3.1 施工期主要污染源及治理措施</w:t>
      </w:r>
      <w:bookmarkEnd w:id="141"/>
      <w:bookmarkEnd w:id="142"/>
      <w:bookmarkEnd w:id="143"/>
      <w:bookmarkEnd w:id="144"/>
    </w:p>
    <w:p>
      <w:pPr>
        <w:adjustRightInd w:val="0"/>
        <w:snapToGrid w:val="0"/>
        <w:spacing w:line="360" w:lineRule="auto"/>
        <w:ind w:firstLine="480" w:firstLineChars="200"/>
        <w:jc w:val="left"/>
        <w:rPr>
          <w:color w:val="auto"/>
          <w:sz w:val="24"/>
          <w:szCs w:val="24"/>
        </w:rPr>
      </w:pPr>
      <w:r>
        <w:rPr>
          <w:rFonts w:hint="eastAsia"/>
          <w:color w:val="auto"/>
          <w:sz w:val="24"/>
          <w:szCs w:val="24"/>
          <w:lang w:eastAsia="zh-CN"/>
        </w:rPr>
        <w:t>盐山县贵新管件厂三通生产项目</w:t>
      </w:r>
      <w:r>
        <w:rPr>
          <w:color w:val="auto"/>
          <w:sz w:val="24"/>
          <w:szCs w:val="24"/>
        </w:rPr>
        <w:t>施工过程中对区域大气环境的影响主要是地面扬尘污染，污染因子为TSP，污染源主要来自以下几个方面：土地平整等施工过程产生的施工垃圾随意堆放，如遇大风天气，会造成扬尘污染；物料运输车辆在施工便道运行过程中将产生尘土；原料堆存、装卸过程产生尘土。工程施工期间扬尘会对周围居民产生影响，本评价要求建设及施工单位严格执行《关于印发河北省&lt;施工场地扬尘排放标准&gt;的通知》(DB 13/ 2934—2019)、《防治城市扬尘污染技术规范》(HJ/T 393-2007)、《河北省大气污染防治实施行动计划》 (冀发[2013]23号)、《河北省大气污染防治条例》(2016年1月13日)、《关于印发&lt;关于进一步加强建筑工程施工扬尘治理的若干规定&gt;的通知》(冀建法[2013]28号)、《沧州市重污染天气应急预案》及同类施工场地采取的抑尘措施，建设单位施工过程中采取以下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（1）加强管理，文明施工，轻装轻卸，并避免大风天气作业</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（2）施工现场出入口、主要道路、加工区等采取硬化处理措施；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（3）施工场地内堆放水泥、砂石等易产生扬尘污染的物料，以及工地堆存的建筑垃圾、工程渣土等应采取遮盖、密闭或其它抑尘措施；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（4）装卸和运输渣土、砂石、建筑垃圾等物料的，应当采取完全密闭措施；</w:t>
      </w:r>
    </w:p>
    <w:p>
      <w:pPr>
        <w:pStyle w:val="10"/>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（5）施工场地扬尘排放应符合下表规定的浓度限值</w:t>
      </w:r>
    </w:p>
    <w:p>
      <w:pPr>
        <w:spacing w:line="360" w:lineRule="auto"/>
        <w:ind w:firstLine="422" w:firstLineChars="200"/>
        <w:jc w:val="center"/>
        <w:rPr>
          <w:b/>
          <w:color w:val="auto"/>
          <w:szCs w:val="21"/>
        </w:rPr>
      </w:pPr>
      <w:r>
        <w:rPr>
          <w:b/>
          <w:color w:val="auto"/>
          <w:szCs w:val="21"/>
        </w:rPr>
        <w:t>表6 扬尘排放浓度限值</w:t>
      </w:r>
    </w:p>
    <w:tbl>
      <w:tblPr>
        <w:tblStyle w:val="19"/>
        <w:tblW w:w="844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82"/>
        <w:gridCol w:w="2780"/>
        <w:gridCol w:w="278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82" w:type="dxa"/>
          </w:tcPr>
          <w:p>
            <w:pPr>
              <w:pStyle w:val="10"/>
              <w:spacing w:line="0" w:lineRule="atLeast"/>
              <w:jc w:val="center"/>
              <w:rPr>
                <w:rFonts w:ascii="Times New Roman" w:hAnsi="Times New Roman"/>
                <w:color w:val="auto"/>
                <w:szCs w:val="21"/>
              </w:rPr>
            </w:pPr>
            <w:r>
              <w:rPr>
                <w:rFonts w:ascii="Times New Roman" w:hAnsi="Times New Roman"/>
                <w:color w:val="auto"/>
                <w:szCs w:val="21"/>
              </w:rPr>
              <w:t>控制项目</w:t>
            </w:r>
          </w:p>
        </w:tc>
        <w:tc>
          <w:tcPr>
            <w:tcW w:w="2780" w:type="dxa"/>
          </w:tcPr>
          <w:p>
            <w:pPr>
              <w:pStyle w:val="10"/>
              <w:spacing w:line="0" w:lineRule="atLeast"/>
              <w:rPr>
                <w:rFonts w:ascii="Times New Roman" w:hAnsi="Times New Roman"/>
                <w:color w:val="auto"/>
                <w:szCs w:val="21"/>
              </w:rPr>
            </w:pPr>
            <w:r>
              <w:rPr>
                <w:rFonts w:ascii="Times New Roman" w:hAnsi="Times New Roman"/>
                <w:color w:val="auto"/>
                <w:szCs w:val="21"/>
              </w:rPr>
              <w:t xml:space="preserve"> 监测点浓度限值（µg/m</w:t>
            </w:r>
            <w:r>
              <w:rPr>
                <w:rFonts w:ascii="Times New Roman" w:hAnsi="Times New Roman"/>
                <w:color w:val="auto"/>
                <w:szCs w:val="21"/>
                <w:vertAlign w:val="superscript"/>
              </w:rPr>
              <w:t>3</w:t>
            </w:r>
            <w:r>
              <w:rPr>
                <w:rFonts w:ascii="Times New Roman" w:hAnsi="Times New Roman"/>
                <w:color w:val="auto"/>
                <w:szCs w:val="21"/>
              </w:rPr>
              <w:t>）</w:t>
            </w:r>
          </w:p>
        </w:tc>
        <w:tc>
          <w:tcPr>
            <w:tcW w:w="2780" w:type="dxa"/>
          </w:tcPr>
          <w:p>
            <w:pPr>
              <w:pStyle w:val="10"/>
              <w:spacing w:line="0" w:lineRule="atLeast"/>
              <w:jc w:val="center"/>
              <w:rPr>
                <w:rFonts w:ascii="Times New Roman" w:hAnsi="Times New Roman"/>
                <w:color w:val="auto"/>
                <w:szCs w:val="21"/>
              </w:rPr>
            </w:pPr>
            <w:r>
              <w:rPr>
                <w:rFonts w:ascii="Times New Roman" w:hAnsi="Times New Roman"/>
                <w:color w:val="auto"/>
                <w:szCs w:val="21"/>
              </w:rPr>
              <w:t>达标判定依据（次/天）</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882" w:type="dxa"/>
          </w:tcPr>
          <w:p>
            <w:pPr>
              <w:pStyle w:val="10"/>
              <w:jc w:val="center"/>
              <w:rPr>
                <w:rFonts w:ascii="Times New Roman" w:hAnsi="Times New Roman"/>
                <w:color w:val="auto"/>
                <w:szCs w:val="21"/>
              </w:rPr>
            </w:pPr>
            <w:r>
              <w:rPr>
                <w:rFonts w:ascii="Times New Roman" w:hAnsi="Times New Roman"/>
                <w:color w:val="auto"/>
                <w:szCs w:val="21"/>
              </w:rPr>
              <w:t>PM</w:t>
            </w:r>
            <w:r>
              <w:rPr>
                <w:rFonts w:ascii="Times New Roman" w:hAnsi="Times New Roman"/>
                <w:color w:val="auto"/>
                <w:szCs w:val="21"/>
                <w:vertAlign w:val="subscript"/>
              </w:rPr>
              <w:t>10</w:t>
            </w:r>
          </w:p>
        </w:tc>
        <w:tc>
          <w:tcPr>
            <w:tcW w:w="2780" w:type="dxa"/>
          </w:tcPr>
          <w:p>
            <w:pPr>
              <w:pStyle w:val="10"/>
              <w:jc w:val="center"/>
              <w:rPr>
                <w:rFonts w:ascii="Times New Roman" w:hAnsi="Times New Roman"/>
                <w:color w:val="auto"/>
                <w:szCs w:val="21"/>
              </w:rPr>
            </w:pPr>
            <w:r>
              <w:rPr>
                <w:rFonts w:ascii="Times New Roman" w:hAnsi="Times New Roman"/>
                <w:color w:val="auto"/>
                <w:szCs w:val="21"/>
              </w:rPr>
              <w:t>80</w:t>
            </w:r>
          </w:p>
        </w:tc>
        <w:tc>
          <w:tcPr>
            <w:tcW w:w="2780" w:type="dxa"/>
          </w:tcPr>
          <w:p>
            <w:pPr>
              <w:pStyle w:val="10"/>
              <w:ind w:firstLine="420" w:firstLineChars="200"/>
              <w:jc w:val="center"/>
              <w:rPr>
                <w:rFonts w:ascii="Times New Roman" w:hAnsi="Times New Roman"/>
                <w:color w:val="auto"/>
                <w:szCs w:val="21"/>
              </w:rPr>
            </w:pPr>
            <w:r>
              <w:rPr>
                <w:rFonts w:ascii="Times New Roman" w:hAnsi="Times New Roman"/>
                <w:color w:val="auto"/>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442" w:type="dxa"/>
            <w:gridSpan w:val="3"/>
          </w:tcPr>
          <w:p>
            <w:pPr>
              <w:pStyle w:val="10"/>
              <w:ind w:firstLine="420" w:firstLineChars="200"/>
              <w:rPr>
                <w:rFonts w:ascii="Times New Roman" w:hAnsi="Times New Roman"/>
                <w:color w:val="auto"/>
                <w:szCs w:val="21"/>
              </w:rPr>
            </w:pPr>
            <w:r>
              <w:rPr>
                <w:rFonts w:ascii="Times New Roman" w:hAnsi="Times New Roman"/>
                <w:color w:val="auto"/>
                <w:szCs w:val="21"/>
              </w:rPr>
              <w:t>指监测点PM</w:t>
            </w:r>
            <w:r>
              <w:rPr>
                <w:rFonts w:ascii="Times New Roman" w:hAnsi="Times New Roman"/>
                <w:color w:val="auto"/>
                <w:szCs w:val="21"/>
                <w:vertAlign w:val="subscript"/>
              </w:rPr>
              <w:t>10</w:t>
            </w:r>
            <w:r>
              <w:rPr>
                <w:rFonts w:ascii="Times New Roman" w:hAnsi="Times New Roman"/>
                <w:color w:val="auto"/>
                <w:szCs w:val="21"/>
              </w:rPr>
              <w:t>小时平均浓度实测值与同时段所属县（市、区）PM</w:t>
            </w:r>
            <w:r>
              <w:rPr>
                <w:rFonts w:ascii="Times New Roman" w:hAnsi="Times New Roman"/>
                <w:color w:val="auto"/>
                <w:szCs w:val="21"/>
                <w:vertAlign w:val="subscript"/>
              </w:rPr>
              <w:t>10</w:t>
            </w:r>
            <w:r>
              <w:rPr>
                <w:rFonts w:ascii="Times New Roman" w:hAnsi="Times New Roman"/>
                <w:color w:val="auto"/>
                <w:szCs w:val="21"/>
              </w:rPr>
              <w:t>小时平均浓度的差值。当县（市、区）PM</w:t>
            </w:r>
            <w:r>
              <w:rPr>
                <w:rFonts w:ascii="Times New Roman" w:hAnsi="Times New Roman"/>
                <w:color w:val="auto"/>
                <w:szCs w:val="21"/>
                <w:vertAlign w:val="subscript"/>
              </w:rPr>
              <w:t>10</w:t>
            </w:r>
            <w:r>
              <w:rPr>
                <w:rFonts w:ascii="Times New Roman" w:hAnsi="Times New Roman"/>
                <w:color w:val="auto"/>
                <w:szCs w:val="21"/>
              </w:rPr>
              <w:t>小时平均浓度值大于150µg/m</w:t>
            </w:r>
            <w:r>
              <w:rPr>
                <w:rFonts w:ascii="Times New Roman" w:hAnsi="Times New Roman"/>
                <w:color w:val="auto"/>
                <w:szCs w:val="21"/>
                <w:vertAlign w:val="superscript"/>
              </w:rPr>
              <w:t>3</w:t>
            </w:r>
            <w:r>
              <w:rPr>
                <w:rFonts w:ascii="Times New Roman" w:hAnsi="Times New Roman"/>
                <w:color w:val="auto"/>
                <w:szCs w:val="21"/>
              </w:rPr>
              <w:t>时，以150µg/m</w:t>
            </w:r>
            <w:r>
              <w:rPr>
                <w:rFonts w:ascii="Times New Roman" w:hAnsi="Times New Roman"/>
                <w:color w:val="auto"/>
                <w:szCs w:val="21"/>
                <w:vertAlign w:val="superscript"/>
              </w:rPr>
              <w:t>3</w:t>
            </w:r>
            <w:r>
              <w:rPr>
                <w:rFonts w:ascii="Times New Roman" w:hAnsi="Times New Roman"/>
                <w:color w:val="auto"/>
                <w:szCs w:val="21"/>
              </w:rPr>
              <w:t>计</w:t>
            </w:r>
          </w:p>
        </w:tc>
      </w:tr>
    </w:tbl>
    <w:p>
      <w:pPr>
        <w:adjustRightInd w:val="0"/>
        <w:snapToGrid w:val="0"/>
        <w:spacing w:line="360" w:lineRule="auto"/>
        <w:ind w:firstLine="480" w:firstLineChars="200"/>
        <w:jc w:val="left"/>
        <w:rPr>
          <w:color w:val="auto"/>
          <w:sz w:val="24"/>
          <w:szCs w:val="24"/>
        </w:rPr>
      </w:pPr>
      <w:r>
        <w:rPr>
          <w:color w:val="auto"/>
          <w:sz w:val="24"/>
          <w:szCs w:val="24"/>
        </w:rPr>
        <w:t>在采取上述措施后，扬尘及粉尘污染程度会明显减轻，又因施工期只是短期的、暂时的，随着施工期的结束，以上污染也会随之结束，所以对周围环境影响不大。</w:t>
      </w:r>
    </w:p>
    <w:p>
      <w:pPr>
        <w:adjustRightInd w:val="0"/>
        <w:snapToGrid w:val="0"/>
        <w:spacing w:line="360" w:lineRule="auto"/>
        <w:ind w:firstLine="480" w:firstLineChars="200"/>
        <w:jc w:val="left"/>
        <w:rPr>
          <w:color w:val="auto"/>
          <w:sz w:val="24"/>
          <w:szCs w:val="24"/>
        </w:rPr>
      </w:pPr>
      <w:r>
        <w:rPr>
          <w:color w:val="auto"/>
          <w:sz w:val="24"/>
          <w:szCs w:val="24"/>
        </w:rPr>
        <w:t>各类燃油动力机械在土地平整、物料运输等施工作业时，会排出各类燃油废气，排放的主要污染物为CO、NO</w:t>
      </w:r>
      <w:r>
        <w:rPr>
          <w:color w:val="auto"/>
          <w:sz w:val="24"/>
          <w:szCs w:val="24"/>
          <w:vertAlign w:val="subscript"/>
        </w:rPr>
        <w:t>X</w:t>
      </w:r>
      <w:r>
        <w:rPr>
          <w:color w:val="auto"/>
          <w:sz w:val="24"/>
          <w:szCs w:val="24"/>
        </w:rPr>
        <w:t>、SO</w:t>
      </w:r>
      <w:r>
        <w:rPr>
          <w:color w:val="auto"/>
          <w:sz w:val="24"/>
          <w:szCs w:val="24"/>
          <w:vertAlign w:val="subscript"/>
        </w:rPr>
        <w:t>2</w:t>
      </w:r>
      <w:r>
        <w:rPr>
          <w:color w:val="auto"/>
          <w:sz w:val="24"/>
          <w:szCs w:val="24"/>
        </w:rPr>
        <w:t>，项目开工后要选用性能好的先进设备及使用清洁燃料，可以减少污染物的排放，对周围环境影响较小。</w:t>
      </w:r>
    </w:p>
    <w:p>
      <w:pPr>
        <w:adjustRightInd w:val="0"/>
        <w:snapToGrid w:val="0"/>
        <w:spacing w:line="360" w:lineRule="auto"/>
        <w:ind w:firstLine="480" w:firstLineChars="200"/>
        <w:jc w:val="left"/>
        <w:rPr>
          <w:color w:val="auto"/>
          <w:sz w:val="24"/>
          <w:szCs w:val="24"/>
        </w:rPr>
      </w:pPr>
      <w:r>
        <w:rPr>
          <w:color w:val="auto"/>
          <w:sz w:val="24"/>
          <w:szCs w:val="24"/>
        </w:rPr>
        <w:t>2.施工期废水影响分析</w:t>
      </w:r>
    </w:p>
    <w:p>
      <w:pPr>
        <w:adjustRightInd w:val="0"/>
        <w:snapToGrid w:val="0"/>
        <w:spacing w:line="360" w:lineRule="auto"/>
        <w:ind w:firstLine="480" w:firstLineChars="200"/>
        <w:jc w:val="left"/>
        <w:rPr>
          <w:color w:val="auto"/>
          <w:sz w:val="24"/>
          <w:szCs w:val="24"/>
        </w:rPr>
      </w:pPr>
      <w:r>
        <w:rPr>
          <w:color w:val="auto"/>
          <w:sz w:val="24"/>
          <w:szCs w:val="24"/>
        </w:rPr>
        <w:t>施工机械机修及工作时跑、冒、漏产生的污油及露天机械被雨水冲刷产生的含油污水，工程施工期间采用先进设备以避免跑、冒、漏产生油污，避免机械露天放置，可避免上述含油污水的产生；施工单位不设施工驻地，施工人员产生少量生活污水，泼洒场地不外排。</w:t>
      </w:r>
    </w:p>
    <w:p>
      <w:pPr>
        <w:adjustRightInd w:val="0"/>
        <w:snapToGrid w:val="0"/>
        <w:spacing w:line="360" w:lineRule="auto"/>
        <w:ind w:firstLine="480" w:firstLineChars="200"/>
        <w:jc w:val="left"/>
        <w:rPr>
          <w:color w:val="auto"/>
          <w:sz w:val="24"/>
          <w:szCs w:val="24"/>
        </w:rPr>
      </w:pPr>
      <w:r>
        <w:rPr>
          <w:color w:val="auto"/>
          <w:sz w:val="24"/>
          <w:szCs w:val="24"/>
        </w:rPr>
        <w:t>综上所述，施工期间产生的废水对周围环境影响较小。</w:t>
      </w:r>
    </w:p>
    <w:p>
      <w:pPr>
        <w:adjustRightInd w:val="0"/>
        <w:snapToGrid w:val="0"/>
        <w:spacing w:line="360" w:lineRule="auto"/>
        <w:ind w:firstLine="480" w:firstLineChars="200"/>
        <w:jc w:val="left"/>
        <w:rPr>
          <w:color w:val="auto"/>
          <w:sz w:val="24"/>
          <w:szCs w:val="24"/>
        </w:rPr>
      </w:pPr>
      <w:r>
        <w:rPr>
          <w:color w:val="auto"/>
          <w:sz w:val="24"/>
          <w:szCs w:val="24"/>
        </w:rPr>
        <w:t>3.施工期噪声影响分析</w:t>
      </w:r>
    </w:p>
    <w:p>
      <w:pPr>
        <w:adjustRightInd w:val="0"/>
        <w:snapToGrid w:val="0"/>
        <w:spacing w:line="360" w:lineRule="auto"/>
        <w:ind w:firstLine="480" w:firstLineChars="200"/>
        <w:jc w:val="left"/>
        <w:rPr>
          <w:color w:val="auto"/>
          <w:sz w:val="24"/>
          <w:szCs w:val="24"/>
        </w:rPr>
      </w:pPr>
      <w:r>
        <w:rPr>
          <w:color w:val="auto"/>
          <w:sz w:val="24"/>
          <w:szCs w:val="24"/>
        </w:rPr>
        <w:t>确保高噪声施工工序夜间和午休时间不施工，并在施工工地合理安排施工时间，合理布局施工现场，对高噪声作业采取控制施工时间的方法来使其对敏感点的干扰减小到最低程度；建立临时声障，采用建筑等隔声措施。通过采取以上措施，则可大大减少噪声影响。施工场界噪声可以达到《建筑施工场界环境噪声排放标准》（GB12523-2011）的要求，而且将随着施工的结束而消失。</w:t>
      </w:r>
    </w:p>
    <w:p>
      <w:pPr>
        <w:adjustRightInd w:val="0"/>
        <w:snapToGrid w:val="0"/>
        <w:spacing w:line="360" w:lineRule="auto"/>
        <w:ind w:firstLine="480" w:firstLineChars="200"/>
        <w:jc w:val="left"/>
        <w:rPr>
          <w:color w:val="auto"/>
          <w:sz w:val="24"/>
          <w:szCs w:val="24"/>
        </w:rPr>
      </w:pPr>
      <w:r>
        <w:rPr>
          <w:color w:val="auto"/>
          <w:sz w:val="24"/>
          <w:szCs w:val="24"/>
        </w:rPr>
        <w:t>4.施工期固体废物影响分析</w:t>
      </w:r>
    </w:p>
    <w:p>
      <w:pPr>
        <w:adjustRightInd w:val="0"/>
        <w:snapToGrid w:val="0"/>
        <w:spacing w:line="360" w:lineRule="auto"/>
        <w:ind w:firstLine="480" w:firstLineChars="200"/>
        <w:jc w:val="left"/>
        <w:rPr>
          <w:color w:val="auto"/>
          <w:sz w:val="24"/>
          <w:szCs w:val="24"/>
        </w:rPr>
      </w:pPr>
      <w:r>
        <w:rPr>
          <w:color w:val="auto"/>
          <w:sz w:val="24"/>
          <w:szCs w:val="24"/>
        </w:rPr>
        <w:t>施工期产生的固体废物主要有废建材、撒落的沙石料、废工程土以及少量生活垃圾等。施工中要加强对这些固体废物的管理，工程废弃物应及时清运，要求按规定路线运输，运输车辆必须按有关要求配装密闭装置。施工队的生活垃圾要收集到指定的垃圾箱内，及时清运至垃圾处理场。</w:t>
      </w:r>
    </w:p>
    <w:p>
      <w:pPr>
        <w:adjustRightInd w:val="0"/>
        <w:snapToGrid w:val="0"/>
        <w:spacing w:line="360" w:lineRule="auto"/>
        <w:ind w:firstLine="480" w:firstLineChars="200"/>
        <w:jc w:val="left"/>
        <w:rPr>
          <w:color w:val="auto"/>
          <w:sz w:val="24"/>
          <w:szCs w:val="24"/>
        </w:rPr>
      </w:pPr>
      <w:r>
        <w:rPr>
          <w:color w:val="auto"/>
          <w:sz w:val="24"/>
          <w:szCs w:val="24"/>
        </w:rPr>
        <w:t>施工期对周围环境的影响是局部的，暂时的，随着工程的建成完工而消失。</w:t>
      </w:r>
    </w:p>
    <w:p>
      <w:pPr>
        <w:pStyle w:val="6"/>
        <w:rPr>
          <w:rFonts w:ascii="Times New Roman" w:hAnsi="Times New Roman"/>
          <w:color w:val="auto"/>
        </w:rPr>
      </w:pPr>
      <w:bookmarkStart w:id="145" w:name="_Toc22056"/>
      <w:bookmarkStart w:id="146" w:name="_Toc28537"/>
      <w:bookmarkStart w:id="147" w:name="_Toc25292"/>
      <w:bookmarkStart w:id="148" w:name="_Toc23781"/>
      <w:r>
        <w:rPr>
          <w:rFonts w:ascii="Times New Roman" w:hAnsi="Times New Roman"/>
          <w:color w:val="auto"/>
        </w:rPr>
        <w:t>3.2 运行期主要污染源及治理措施</w:t>
      </w:r>
      <w:bookmarkEnd w:id="145"/>
      <w:bookmarkEnd w:id="146"/>
      <w:bookmarkEnd w:id="147"/>
      <w:bookmarkEnd w:id="148"/>
    </w:p>
    <w:p>
      <w:pPr>
        <w:pStyle w:val="7"/>
        <w:spacing w:line="360" w:lineRule="auto"/>
        <w:rPr>
          <w:rFonts w:ascii="Times New Roman" w:hAnsi="Times New Roman"/>
          <w:color w:val="auto"/>
        </w:rPr>
      </w:pPr>
      <w:bookmarkStart w:id="149" w:name="_Toc497001461"/>
      <w:bookmarkStart w:id="150" w:name="_Toc496979024"/>
      <w:bookmarkStart w:id="151" w:name="_Toc8094"/>
      <w:bookmarkStart w:id="152" w:name="_Toc8524"/>
      <w:bookmarkStart w:id="153" w:name="_Toc3760"/>
      <w:bookmarkStart w:id="154" w:name="_Toc3932"/>
      <w:r>
        <w:rPr>
          <w:rFonts w:ascii="Times New Roman" w:hAnsi="Times New Roman"/>
          <w:color w:val="auto"/>
        </w:rPr>
        <w:t>3.2.1 废</w:t>
      </w:r>
      <w:bookmarkEnd w:id="149"/>
      <w:bookmarkEnd w:id="150"/>
      <w:r>
        <w:rPr>
          <w:rFonts w:ascii="Times New Roman" w:hAnsi="Times New Roman"/>
          <w:color w:val="auto"/>
        </w:rPr>
        <w:t>气</w:t>
      </w:r>
      <w:bookmarkEnd w:id="151"/>
      <w:bookmarkEnd w:id="152"/>
      <w:bookmarkEnd w:id="153"/>
      <w:bookmarkEnd w:id="154"/>
    </w:p>
    <w:p>
      <w:pPr>
        <w:pStyle w:val="7"/>
        <w:spacing w:before="156" w:beforeLines="50" w:line="360" w:lineRule="auto"/>
        <w:ind w:firstLine="480" w:firstLineChars="200"/>
        <w:rPr>
          <w:rFonts w:ascii="Times New Roman" w:hAnsi="Times New Roman"/>
          <w:color w:val="auto"/>
        </w:rPr>
      </w:pPr>
      <w:bookmarkStart w:id="155" w:name="_Toc18379"/>
      <w:bookmarkStart w:id="156" w:name="_Toc6473"/>
      <w:bookmarkStart w:id="157" w:name="_Toc6853"/>
      <w:bookmarkStart w:id="158" w:name="_Toc22928"/>
      <w:r>
        <w:rPr>
          <w:rFonts w:hint="eastAsia" w:ascii="Times New Roman" w:hAnsi="Times New Roman"/>
          <w:color w:val="auto"/>
          <w:lang w:val="en-US" w:eastAsia="zh-CN"/>
        </w:rPr>
        <w:t>切割、修磨、焊接、喷砂工序固定工位，产生的废气经集气罩收集后与1台抛丸机废气经除尘器处理，处理后由1根15m高排气筒排放</w:t>
      </w:r>
      <w:r>
        <w:rPr>
          <w:rFonts w:hint="eastAsia" w:ascii="Times New Roman" w:hAnsi="Times New Roman"/>
          <w:color w:val="auto"/>
        </w:rPr>
        <w:t>，未收集的无组织排放。</w:t>
      </w:r>
    </w:p>
    <w:p>
      <w:pPr>
        <w:pStyle w:val="7"/>
        <w:spacing w:before="156" w:beforeLines="50"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2</w:t>
      </w:r>
      <w:r>
        <w:rPr>
          <w:rFonts w:ascii="Times New Roman" w:hAnsi="Times New Roman"/>
          <w:color w:val="auto"/>
        </w:rPr>
        <w:t xml:space="preserve"> 废水</w:t>
      </w:r>
      <w:bookmarkEnd w:id="155"/>
      <w:bookmarkEnd w:id="156"/>
      <w:bookmarkEnd w:id="157"/>
      <w:bookmarkEnd w:id="158"/>
    </w:p>
    <w:p>
      <w:pPr>
        <w:pStyle w:val="7"/>
        <w:spacing w:line="360" w:lineRule="auto"/>
        <w:ind w:firstLine="480" w:firstLineChars="200"/>
        <w:rPr>
          <w:rFonts w:ascii="Times New Roman" w:hAnsi="Times New Roman"/>
          <w:color w:val="auto"/>
        </w:rPr>
      </w:pPr>
      <w:bookmarkStart w:id="159" w:name="_Toc571"/>
      <w:bookmarkStart w:id="160" w:name="_Toc30198"/>
      <w:bookmarkStart w:id="161" w:name="_Toc32691"/>
      <w:bookmarkStart w:id="162" w:name="_Toc18436"/>
      <w:bookmarkStart w:id="163" w:name="_Toc497001462"/>
      <w:bookmarkStart w:id="164" w:name="_Toc496979025"/>
      <w:r>
        <w:rPr>
          <w:rFonts w:hint="eastAsia" w:ascii="Times New Roman" w:hAnsi="Times New Roman"/>
          <w:color w:val="auto"/>
        </w:rPr>
        <w:t>项目无生产废水产生；废水主要为职工生活污水，</w:t>
      </w:r>
      <w:r>
        <w:rPr>
          <w:rFonts w:ascii="Times New Roman"/>
          <w:color w:val="auto"/>
        </w:rPr>
        <w:t>生活污水</w:t>
      </w:r>
      <w:r>
        <w:rPr>
          <w:rFonts w:hint="eastAsia" w:ascii="Times New Roman"/>
          <w:color w:val="auto"/>
        </w:rPr>
        <w:t>排入化粪池，定期清掏</w:t>
      </w:r>
      <w:r>
        <w:rPr>
          <w:rFonts w:ascii="Times New Roman" w:hAnsi="Times New Roman"/>
          <w:color w:val="auto"/>
        </w:rPr>
        <w:t>。</w:t>
      </w:r>
    </w:p>
    <w:p>
      <w:pPr>
        <w:pStyle w:val="7"/>
        <w:spacing w:line="360" w:lineRule="auto"/>
        <w:rPr>
          <w:rFonts w:ascii="Times New Roman" w:hAnsi="Times New Roman"/>
          <w:color w:val="auto"/>
        </w:rPr>
      </w:pPr>
      <w:r>
        <w:rPr>
          <w:rFonts w:ascii="Times New Roman" w:hAnsi="Times New Roman"/>
          <w:color w:val="auto"/>
        </w:rPr>
        <w:t>3.2.</w:t>
      </w:r>
      <w:r>
        <w:rPr>
          <w:rFonts w:hint="eastAsia" w:ascii="Times New Roman" w:hAnsi="Times New Roman"/>
          <w:color w:val="auto"/>
        </w:rPr>
        <w:t>3</w:t>
      </w:r>
      <w:r>
        <w:rPr>
          <w:rFonts w:ascii="Times New Roman" w:hAnsi="Times New Roman"/>
          <w:color w:val="auto"/>
        </w:rPr>
        <w:t xml:space="preserve"> 噪声</w:t>
      </w:r>
      <w:bookmarkEnd w:id="159"/>
      <w:bookmarkEnd w:id="160"/>
      <w:bookmarkEnd w:id="161"/>
      <w:bookmarkEnd w:id="162"/>
    </w:p>
    <w:p>
      <w:pPr>
        <w:pStyle w:val="7"/>
        <w:spacing w:line="360" w:lineRule="auto"/>
        <w:ind w:firstLine="480" w:firstLineChars="200"/>
        <w:rPr>
          <w:rFonts w:ascii="Times New Roman" w:hAnsi="Times New Roman"/>
          <w:color w:val="auto"/>
        </w:rPr>
      </w:pPr>
      <w:r>
        <w:rPr>
          <w:rFonts w:hint="eastAsia" w:ascii="Times New Roman" w:hAnsi="Times New Roman"/>
          <w:color w:val="auto"/>
        </w:rPr>
        <w:t>该项目</w:t>
      </w:r>
      <w:r>
        <w:rPr>
          <w:color w:val="auto"/>
        </w:rPr>
        <w:t>噪声主要是</w:t>
      </w:r>
      <w:r>
        <w:rPr>
          <w:rFonts w:hint="eastAsia"/>
          <w:color w:val="auto"/>
          <w:sz w:val="24"/>
          <w:szCs w:val="24"/>
          <w:lang w:val="en-US" w:eastAsia="zh-CN"/>
        </w:rPr>
        <w:t>生产</w:t>
      </w:r>
      <w:r>
        <w:rPr>
          <w:color w:val="auto"/>
        </w:rPr>
        <w:t>设备运转时产生的噪声，</w:t>
      </w:r>
      <w:r>
        <w:rPr>
          <w:rFonts w:ascii="Times New Roman" w:hAnsi="Times New Roman"/>
          <w:color w:val="auto"/>
        </w:rPr>
        <w:t>生产设备合理布局，设置减振垫，车间隔声；对设备进行定期检修，加强润滑作用，保持良好的运转状态，降低噪声；加强管理，杜绝野蛮操作</w:t>
      </w:r>
      <w:r>
        <w:rPr>
          <w:rFonts w:hint="eastAsia" w:ascii="Times New Roman" w:hAnsi="Times New Roman"/>
          <w:color w:val="auto"/>
        </w:rPr>
        <w:t>。</w:t>
      </w:r>
    </w:p>
    <w:p>
      <w:pPr>
        <w:pStyle w:val="7"/>
        <w:spacing w:line="360" w:lineRule="auto"/>
        <w:rPr>
          <w:rFonts w:ascii="Times New Roman" w:hAnsi="Times New Roman"/>
          <w:color w:val="auto"/>
        </w:rPr>
      </w:pPr>
      <w:bookmarkStart w:id="165" w:name="_Toc5318"/>
      <w:bookmarkStart w:id="166" w:name="_Toc2397"/>
      <w:bookmarkStart w:id="167" w:name="_Toc1473"/>
      <w:bookmarkStart w:id="168" w:name="_Toc16750"/>
      <w:r>
        <w:rPr>
          <w:rFonts w:ascii="Times New Roman" w:hAnsi="Times New Roman"/>
          <w:color w:val="auto"/>
        </w:rPr>
        <w:t>3.2.</w:t>
      </w:r>
      <w:r>
        <w:rPr>
          <w:rFonts w:hint="eastAsia" w:ascii="Times New Roman" w:hAnsi="Times New Roman"/>
          <w:color w:val="auto"/>
        </w:rPr>
        <w:t xml:space="preserve">4 </w:t>
      </w:r>
      <w:r>
        <w:rPr>
          <w:rFonts w:ascii="Times New Roman" w:hAnsi="Times New Roman"/>
          <w:color w:val="auto"/>
        </w:rPr>
        <w:t>固体废物</w:t>
      </w:r>
      <w:bookmarkEnd w:id="165"/>
      <w:bookmarkEnd w:id="166"/>
      <w:bookmarkEnd w:id="167"/>
      <w:bookmarkEnd w:id="168"/>
    </w:p>
    <w:p>
      <w:pPr>
        <w:pStyle w:val="10"/>
        <w:spacing w:line="360" w:lineRule="auto"/>
        <w:ind w:firstLine="480" w:firstLineChars="200"/>
        <w:jc w:val="left"/>
        <w:rPr>
          <w:rFonts w:ascii="Times New Roman" w:hAnsi="Times New Roman"/>
          <w:color w:val="FF0000"/>
        </w:rPr>
      </w:pPr>
      <w:bookmarkStart w:id="169" w:name="_Toc4008"/>
      <w:bookmarkStart w:id="170" w:name="_Toc9823"/>
      <w:r>
        <w:rPr>
          <w:rFonts w:hint="eastAsia" w:ascii="Times New Roman" w:hAnsi="Times New Roman"/>
          <w:color w:val="auto"/>
          <w:sz w:val="24"/>
          <w:szCs w:val="24"/>
          <w:lang w:val="en-US" w:eastAsia="zh-CN"/>
        </w:rPr>
        <w:t>切割工序产生的边角料、焊接工序产生废焊条、检验工序产生不合格品、布袋除尘器收集粉尘收集后外售，机油循环利用，设备维护过程中产生的含油废抹布与生活办公产生生活垃圾由垃圾箱收集，环卫部门定期清运</w:t>
      </w:r>
      <w:r>
        <w:rPr>
          <w:rFonts w:hint="eastAsia" w:ascii="Times New Roman" w:hAnsi="Times New Roman"/>
          <w:color w:val="auto"/>
          <w:sz w:val="24"/>
          <w:szCs w:val="24"/>
        </w:rPr>
        <w:t>。</w:t>
      </w:r>
      <w:bookmarkEnd w:id="163"/>
      <w:bookmarkEnd w:id="164"/>
      <w:bookmarkEnd w:id="169"/>
      <w:bookmarkEnd w:id="170"/>
      <w:bookmarkStart w:id="171" w:name="_Toc14411"/>
      <w:bookmarkStart w:id="172" w:name="_Toc19788"/>
      <w:r>
        <w:rPr>
          <w:rFonts w:ascii="Times New Roman" w:hAnsi="Times New Roman"/>
          <w:color w:val="FF0000"/>
        </w:rPr>
        <w:br w:type="page"/>
      </w:r>
    </w:p>
    <w:p>
      <w:pPr>
        <w:pStyle w:val="5"/>
        <w:spacing w:before="156" w:beforeLines="50"/>
        <w:rPr>
          <w:rFonts w:ascii="Times New Roman" w:hAnsi="Times New Roman"/>
          <w:color w:val="auto"/>
        </w:rPr>
      </w:pPr>
      <w:bookmarkStart w:id="173" w:name="_Toc32061"/>
      <w:bookmarkStart w:id="174" w:name="_Toc25824"/>
      <w:r>
        <w:rPr>
          <w:rFonts w:ascii="Times New Roman" w:hAnsi="Times New Roman"/>
          <w:color w:val="auto"/>
        </w:rPr>
        <w:t>4 环评主要结论及环评批复要求</w:t>
      </w:r>
      <w:bookmarkEnd w:id="171"/>
      <w:bookmarkEnd w:id="172"/>
      <w:bookmarkEnd w:id="173"/>
      <w:bookmarkEnd w:id="174"/>
    </w:p>
    <w:p>
      <w:pPr>
        <w:pStyle w:val="6"/>
        <w:rPr>
          <w:rFonts w:ascii="Times New Roman" w:hAnsi="Times New Roman"/>
          <w:color w:val="auto"/>
          <w:sz w:val="24"/>
          <w:szCs w:val="24"/>
        </w:rPr>
      </w:pPr>
      <w:bookmarkStart w:id="175" w:name="_Toc19580"/>
      <w:bookmarkStart w:id="176" w:name="_Toc25915"/>
      <w:bookmarkStart w:id="177" w:name="_Toc21108"/>
      <w:bookmarkStart w:id="178" w:name="_Toc17594"/>
      <w:r>
        <w:rPr>
          <w:rFonts w:ascii="Times New Roman" w:hAnsi="Times New Roman"/>
          <w:color w:val="auto"/>
          <w:sz w:val="24"/>
          <w:szCs w:val="24"/>
        </w:rPr>
        <w:t>4.1 建设项目环评报告表的主要结论与建议</w:t>
      </w:r>
      <w:bookmarkEnd w:id="175"/>
      <w:bookmarkEnd w:id="176"/>
      <w:bookmarkEnd w:id="177"/>
      <w:bookmarkEnd w:id="178"/>
    </w:p>
    <w:p>
      <w:pPr>
        <w:pStyle w:val="7"/>
        <w:spacing w:before="156" w:beforeLines="50" w:line="360" w:lineRule="auto"/>
        <w:rPr>
          <w:rFonts w:ascii="Times New Roman" w:hAnsi="Times New Roman"/>
          <w:b/>
          <w:bCs/>
          <w:color w:val="auto"/>
        </w:rPr>
      </w:pPr>
      <w:bookmarkStart w:id="179" w:name="_Toc22609"/>
      <w:bookmarkStart w:id="180" w:name="_Toc496979030"/>
      <w:bookmarkStart w:id="181" w:name="_Toc17583"/>
      <w:bookmarkStart w:id="182" w:name="_Toc497001467"/>
      <w:bookmarkStart w:id="183" w:name="_Toc29423"/>
      <w:bookmarkStart w:id="184" w:name="_Toc26870"/>
      <w:r>
        <w:rPr>
          <w:rFonts w:ascii="Times New Roman" w:hAnsi="Times New Roman"/>
          <w:b/>
          <w:bCs/>
          <w:color w:val="auto"/>
        </w:rPr>
        <w:t>4.1.1 主要结论</w:t>
      </w:r>
      <w:bookmarkEnd w:id="179"/>
      <w:bookmarkEnd w:id="180"/>
      <w:bookmarkEnd w:id="181"/>
      <w:bookmarkEnd w:id="182"/>
      <w:bookmarkEnd w:id="183"/>
      <w:bookmarkEnd w:id="184"/>
    </w:p>
    <w:p>
      <w:pPr>
        <w:spacing w:line="360" w:lineRule="auto"/>
        <w:ind w:firstLine="482" w:firstLineChars="200"/>
        <w:rPr>
          <w:rFonts w:ascii="Times New Roman" w:hAnsi="Times New Roman"/>
          <w:b/>
          <w:bCs/>
          <w:color w:val="auto"/>
          <w:kern w:val="0"/>
          <w:sz w:val="24"/>
          <w:szCs w:val="24"/>
        </w:rPr>
      </w:pPr>
      <w:r>
        <w:rPr>
          <w:rFonts w:hint="eastAsia" w:ascii="Times New Roman" w:hAnsi="Times New Roman"/>
          <w:b/>
          <w:bCs/>
          <w:color w:val="auto"/>
          <w:kern w:val="0"/>
          <w:sz w:val="24"/>
          <w:szCs w:val="24"/>
        </w:rPr>
        <w:t>1、建设项目情况</w:t>
      </w:r>
    </w:p>
    <w:p>
      <w:pPr>
        <w:spacing w:line="360" w:lineRule="auto"/>
        <w:ind w:firstLine="560"/>
        <w:rPr>
          <w:rFonts w:ascii="Times New Roman" w:hAnsi="Times New Roman"/>
          <w:b/>
          <w:bCs/>
          <w:color w:val="auto"/>
          <w:sz w:val="24"/>
          <w:szCs w:val="24"/>
        </w:rPr>
      </w:pPr>
      <w:bookmarkStart w:id="185" w:name="_Toc25204"/>
      <w:r>
        <w:rPr>
          <w:rFonts w:hint="eastAsia" w:ascii="Times New Roman" w:hAnsi="Times New Roman"/>
          <w:b/>
          <w:bCs/>
          <w:color w:val="auto"/>
          <w:sz w:val="24"/>
          <w:szCs w:val="24"/>
        </w:rPr>
        <w:t>1项目概况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项目名称：</w:t>
      </w:r>
      <w:r>
        <w:rPr>
          <w:rFonts w:hint="eastAsia" w:ascii="Times New Roman" w:hAnsi="Times New Roman"/>
          <w:color w:val="auto"/>
          <w:sz w:val="24"/>
          <w:szCs w:val="24"/>
          <w:lang w:eastAsia="zh-CN"/>
        </w:rPr>
        <w:t>盐山县贵新管件厂三通生产项目</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建设单位：</w:t>
      </w:r>
      <w:r>
        <w:rPr>
          <w:rFonts w:hint="eastAsia" w:ascii="Times New Roman" w:hAnsi="Times New Roman"/>
          <w:color w:val="auto"/>
          <w:sz w:val="24"/>
          <w:szCs w:val="24"/>
          <w:lang w:eastAsia="zh-CN"/>
        </w:rPr>
        <w:t>盐山县贵新管件厂</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建设地点；</w:t>
      </w:r>
      <w:r>
        <w:rPr>
          <w:rFonts w:hint="eastAsia" w:ascii="Times New Roman" w:hAnsi="Times New Roman"/>
          <w:color w:val="auto"/>
          <w:sz w:val="24"/>
          <w:szCs w:val="24"/>
          <w:lang w:eastAsia="zh-CN"/>
        </w:rPr>
        <w:t>盐山县盐山镇沧乐线供销加油站斜对面</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项目投资:本项目总投资</w:t>
      </w:r>
      <w:r>
        <w:rPr>
          <w:rFonts w:hint="eastAsia" w:ascii="Times New Roman" w:hAnsi="Times New Roman"/>
          <w:color w:val="auto"/>
          <w:sz w:val="24"/>
          <w:szCs w:val="24"/>
          <w:lang w:val="en-US" w:eastAsia="zh-CN"/>
        </w:rPr>
        <w:t>170</w:t>
      </w:r>
      <w:r>
        <w:rPr>
          <w:rFonts w:hint="eastAsia" w:ascii="Times New Roman" w:hAnsi="Times New Roman"/>
          <w:color w:val="auto"/>
          <w:sz w:val="24"/>
          <w:szCs w:val="24"/>
        </w:rPr>
        <w:t>万元，其中环保投资</w:t>
      </w:r>
      <w:r>
        <w:rPr>
          <w:rFonts w:hint="eastAsia" w:ascii="Times New Roman" w:hAnsi="Times New Roman"/>
          <w:color w:val="auto"/>
          <w:sz w:val="24"/>
          <w:szCs w:val="24"/>
          <w:lang w:val="en-US" w:eastAsia="zh-CN"/>
        </w:rPr>
        <w:t>5</w:t>
      </w:r>
      <w:r>
        <w:rPr>
          <w:rFonts w:hint="eastAsia" w:ascii="Times New Roman" w:hAnsi="Times New Roman"/>
          <w:color w:val="auto"/>
          <w:sz w:val="24"/>
          <w:szCs w:val="24"/>
        </w:rPr>
        <w:t>万元，环保投资占总投资的</w:t>
      </w:r>
      <w:r>
        <w:rPr>
          <w:rFonts w:hint="eastAsia" w:ascii="Times New Roman" w:hAnsi="Times New Roman"/>
          <w:color w:val="auto"/>
          <w:sz w:val="24"/>
          <w:szCs w:val="24"/>
          <w:lang w:val="en-US" w:eastAsia="zh-CN"/>
        </w:rPr>
        <w:t>2.94</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建设内容与规模：本项目占地</w:t>
      </w:r>
      <w:r>
        <w:rPr>
          <w:rFonts w:hint="eastAsia" w:ascii="Times New Roman" w:hAnsi="Times New Roman"/>
          <w:color w:val="auto"/>
          <w:sz w:val="24"/>
          <w:szCs w:val="24"/>
          <w:lang w:val="en-US" w:eastAsia="zh-CN"/>
        </w:rPr>
        <w:t>1066</w:t>
      </w:r>
      <w:r>
        <w:rPr>
          <w:rFonts w:hint="eastAsia" w:ascii="Times New Roman" w:hAnsi="Times New Roman"/>
          <w:color w:val="auto"/>
          <w:sz w:val="24"/>
          <w:szCs w:val="24"/>
        </w:rPr>
        <w:t>m</w:t>
      </w:r>
      <w:r>
        <w:rPr>
          <w:rFonts w:hint="eastAsia" w:ascii="Times New Roman" w:hAnsi="Times New Roman"/>
          <w:color w:val="auto"/>
          <w:sz w:val="24"/>
          <w:szCs w:val="24"/>
          <w:vertAlign w:val="superscript"/>
        </w:rPr>
        <w:t>2</w:t>
      </w:r>
      <w:r>
        <w:rPr>
          <w:rFonts w:hint="eastAsia" w:ascii="Times New Roman" w:hAnsi="Times New Roman"/>
          <w:color w:val="auto"/>
          <w:sz w:val="24"/>
          <w:szCs w:val="24"/>
        </w:rPr>
        <w:t>，主要建设车间、仓库及附属设施等。生产规模为本项目</w:t>
      </w:r>
      <w:r>
        <w:rPr>
          <w:rFonts w:hint="eastAsia" w:ascii="Times New Roman" w:hAnsi="Times New Roman"/>
          <w:color w:val="auto"/>
          <w:sz w:val="24"/>
          <w:szCs w:val="24"/>
          <w:lang w:eastAsia="zh-CN"/>
        </w:rPr>
        <w:t>年产300吨弯头</w:t>
      </w:r>
      <w:r>
        <w:rPr>
          <w:rFonts w:hint="eastAsia" w:ascii="Times New Roman" w:hAnsi="Times New Roman"/>
          <w:color w:val="auto"/>
          <w:sz w:val="24"/>
          <w:szCs w:val="24"/>
        </w:rPr>
        <w:t>。</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2、产业政策</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本项目为</w:t>
      </w:r>
      <w:r>
        <w:rPr>
          <w:rFonts w:hint="eastAsia" w:ascii="Times New Roman" w:hAnsi="Times New Roman"/>
          <w:color w:val="auto"/>
          <w:sz w:val="24"/>
          <w:szCs w:val="24"/>
          <w:lang w:eastAsia="zh-CN"/>
        </w:rPr>
        <w:t>盐山县贵新管件厂三通生产项目</w:t>
      </w:r>
      <w:r>
        <w:rPr>
          <w:rFonts w:hint="eastAsia" w:ascii="Times New Roman" w:hAnsi="Times New Roman"/>
          <w:color w:val="auto"/>
          <w:sz w:val="24"/>
          <w:szCs w:val="24"/>
        </w:rPr>
        <w:t>，为鼓励类项目；对照《河北省新增限制和淘汰类产业目录》(冀政办发[2015]7号)，项目不属于限制类和淘汰类，符合河北省产业政策要求。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因此，本项目符合国家及地方相关产业政策。</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3、选址情况</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项目位于河北省沧州市</w:t>
      </w:r>
      <w:r>
        <w:rPr>
          <w:rFonts w:hint="eastAsia" w:ascii="Times New Roman" w:hAnsi="Times New Roman"/>
          <w:color w:val="auto"/>
          <w:sz w:val="24"/>
          <w:szCs w:val="24"/>
          <w:lang w:eastAsia="zh-CN"/>
        </w:rPr>
        <w:t>盐山县盐山镇沧乐线供销加油站斜对面</w:t>
      </w:r>
      <w:r>
        <w:rPr>
          <w:rFonts w:hint="eastAsia" w:ascii="Times New Roman" w:hAnsi="Times New Roman"/>
          <w:color w:val="auto"/>
          <w:sz w:val="24"/>
          <w:szCs w:val="24"/>
        </w:rPr>
        <w:t>，</w:t>
      </w:r>
      <w:r>
        <w:rPr>
          <w:rFonts w:hint="eastAsia" w:ascii="Times New Roman" w:hAnsi="Times New Roman"/>
          <w:color w:val="auto"/>
          <w:sz w:val="24"/>
          <w:szCs w:val="24"/>
          <w:lang w:eastAsia="zh-CN"/>
        </w:rPr>
        <w:t>厂址中心坐标为东</w:t>
      </w:r>
      <w:r>
        <w:rPr>
          <w:rFonts w:hint="default" w:ascii="Times New Roman" w:hAnsi="Times New Roman" w:cs="Times New Roman"/>
          <w:color w:val="auto"/>
          <w:sz w:val="24"/>
          <w:szCs w:val="24"/>
          <w:lang w:eastAsia="zh-CN"/>
        </w:rPr>
        <w:t>经117°12′3.03′′，北纬38°4′5.57′′</w:t>
      </w:r>
      <w:r>
        <w:rPr>
          <w:rFonts w:hint="eastAsia" w:ascii="Times New Roman" w:hAnsi="Times New Roman"/>
          <w:color w:val="auto"/>
          <w:sz w:val="24"/>
          <w:szCs w:val="24"/>
          <w:lang w:eastAsia="zh-CN"/>
        </w:rPr>
        <w:t>，项目西侧为厂房，北侧为厂房，南侧为S283，东侧为厂房</w:t>
      </w:r>
      <w:r>
        <w:rPr>
          <w:rFonts w:hint="eastAsia" w:ascii="Times New Roman" w:hAnsi="Times New Roman"/>
          <w:color w:val="auto"/>
          <w:sz w:val="24"/>
          <w:szCs w:val="24"/>
        </w:rPr>
        <w:t>。项目四周围环境敏感点为</w:t>
      </w:r>
      <w:r>
        <w:rPr>
          <w:rFonts w:hint="eastAsia" w:ascii="Times New Roman" w:hAnsi="Times New Roman"/>
          <w:color w:val="auto"/>
          <w:sz w:val="24"/>
          <w:szCs w:val="24"/>
          <w:lang w:eastAsia="zh-CN"/>
        </w:rPr>
        <w:t>西南侧220m的毛庄村</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根据沧县</w:t>
      </w:r>
      <w:r>
        <w:rPr>
          <w:rFonts w:hint="eastAsia" w:ascii="Times New Roman" w:hAnsi="Times New Roman"/>
          <w:color w:val="auto"/>
          <w:sz w:val="24"/>
          <w:szCs w:val="24"/>
          <w:lang w:val="en-US" w:eastAsia="zh-CN"/>
        </w:rPr>
        <w:t>盐山镇人民政府</w:t>
      </w:r>
      <w:r>
        <w:rPr>
          <w:rFonts w:hint="eastAsia" w:ascii="Times New Roman" w:hAnsi="Times New Roman"/>
          <w:color w:val="auto"/>
          <w:sz w:val="24"/>
          <w:szCs w:val="24"/>
        </w:rPr>
        <w:t>出具证明，本项目符合城镇规化。</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本项目附近无国家、省、市规定的重点文物保护单位、风景名胜区、革命历史古迹、集中式水源地等环境敏感点。因此，本项目选址合理。</w:t>
      </w:r>
    </w:p>
    <w:p>
      <w:pPr>
        <w:spacing w:line="360" w:lineRule="auto"/>
        <w:ind w:firstLine="560"/>
        <w:rPr>
          <w:rFonts w:ascii="Times New Roman" w:hAnsi="Times New Roman"/>
          <w:color w:val="auto"/>
          <w:sz w:val="24"/>
          <w:szCs w:val="24"/>
        </w:rPr>
      </w:pPr>
      <w:r>
        <w:rPr>
          <w:rFonts w:hint="eastAsia" w:ascii="Times New Roman" w:hAnsi="Times New Roman"/>
          <w:b/>
          <w:bCs/>
          <w:color w:val="auto"/>
          <w:sz w:val="24"/>
          <w:szCs w:val="24"/>
        </w:rPr>
        <w:t>4、营运期环境影响评价结论</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（1）大气环境影响分析</w:t>
      </w:r>
    </w:p>
    <w:p>
      <w:pPr>
        <w:spacing w:line="360" w:lineRule="auto"/>
        <w:ind w:firstLine="480" w:firstLineChars="200"/>
        <w:jc w:val="left"/>
        <w:rPr>
          <w:rFonts w:hint="eastAsia"/>
          <w:color w:val="auto"/>
          <w:sz w:val="24"/>
          <w:szCs w:val="24"/>
        </w:rPr>
      </w:pPr>
      <w:r>
        <w:rPr>
          <w:rFonts w:hint="eastAsia"/>
          <w:color w:val="auto"/>
          <w:sz w:val="24"/>
          <w:szCs w:val="24"/>
        </w:rPr>
        <w:t>项目</w:t>
      </w:r>
      <w:r>
        <w:rPr>
          <w:rFonts w:hint="eastAsia"/>
          <w:color w:val="auto"/>
          <w:sz w:val="24"/>
          <w:szCs w:val="24"/>
          <w:lang w:val="en-US" w:eastAsia="zh-CN"/>
        </w:rPr>
        <w:t>切割、修磨、焊接、喷砂工序固定工位，产生的废气经集气罩收集后与1台抛丸机废气经除尘器处理，处理后由1根15m高排气筒排放</w:t>
      </w:r>
      <w:r>
        <w:rPr>
          <w:rFonts w:hint="eastAsia"/>
          <w:color w:val="auto"/>
          <w:sz w:val="24"/>
          <w:szCs w:val="24"/>
        </w:rPr>
        <w:t>。排放浓度满足《大气污染物综合排放标准》（GB16297-1996）表2中排放标准。</w:t>
      </w:r>
    </w:p>
    <w:p>
      <w:pPr>
        <w:spacing w:line="360" w:lineRule="auto"/>
        <w:ind w:firstLine="480" w:firstLineChars="200"/>
        <w:jc w:val="left"/>
        <w:rPr>
          <w:rFonts w:hint="eastAsia" w:ascii="Times New Roman"/>
          <w:color w:val="auto"/>
          <w:sz w:val="24"/>
        </w:rPr>
      </w:pPr>
      <w:r>
        <w:rPr>
          <w:rFonts w:hint="eastAsia"/>
          <w:color w:val="auto"/>
          <w:sz w:val="24"/>
          <w:szCs w:val="24"/>
        </w:rPr>
        <w:t>未收集颗粒物无组织排放，厂界浓度满足《大气污染物综合排放标准》（GB16297-1996）中表2无组织排放监控浓度限值。</w:t>
      </w:r>
      <w:r>
        <w:rPr>
          <w:rFonts w:ascii="Times New Roman"/>
          <w:color w:val="auto"/>
          <w:sz w:val="24"/>
        </w:rPr>
        <w:t>对周围环境影响较小。</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因此，本项目废气不会对大气环境产生明显影响。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（2）水环境影响分析</w:t>
      </w:r>
    </w:p>
    <w:p>
      <w:pPr>
        <w:spacing w:line="360" w:lineRule="auto"/>
        <w:ind w:firstLine="480" w:firstLineChars="200"/>
        <w:jc w:val="left"/>
        <w:rPr>
          <w:color w:val="auto"/>
          <w:sz w:val="24"/>
          <w:szCs w:val="24"/>
        </w:rPr>
      </w:pPr>
      <w:r>
        <w:rPr>
          <w:color w:val="auto"/>
          <w:sz w:val="24"/>
          <w:szCs w:val="24"/>
        </w:rPr>
        <w:t>项目</w:t>
      </w:r>
      <w:r>
        <w:rPr>
          <w:rFonts w:hint="eastAsia"/>
          <w:color w:val="auto"/>
          <w:sz w:val="24"/>
          <w:lang w:val="en-US" w:eastAsia="zh-CN"/>
        </w:rPr>
        <w:t>无生产废水产生，</w:t>
      </w:r>
      <w:r>
        <w:rPr>
          <w:color w:val="auto"/>
          <w:sz w:val="24"/>
          <w:szCs w:val="24"/>
        </w:rPr>
        <w:t>对周围水环境无影响。</w:t>
      </w:r>
    </w:p>
    <w:p>
      <w:pPr>
        <w:spacing w:line="360" w:lineRule="auto"/>
        <w:ind w:firstLine="560"/>
        <w:rPr>
          <w:rFonts w:ascii="Times New Roman" w:hAnsi="宋体"/>
          <w:color w:val="auto"/>
          <w:sz w:val="24"/>
          <w:szCs w:val="24"/>
        </w:rPr>
      </w:pPr>
      <w:r>
        <w:rPr>
          <w:rFonts w:ascii="Times New Roman" w:hAnsi="Times New Roman"/>
          <w:bCs/>
          <w:color w:val="auto"/>
          <w:sz w:val="24"/>
          <w:szCs w:val="24"/>
        </w:rPr>
        <w:t>厂区职工产生生活污水，</w:t>
      </w:r>
      <w:r>
        <w:rPr>
          <w:rFonts w:ascii="Times New Roman" w:hAnsi="宋体"/>
          <w:color w:val="auto"/>
          <w:sz w:val="24"/>
          <w:szCs w:val="24"/>
        </w:rPr>
        <w:t>主要污染物为</w:t>
      </w:r>
      <w:r>
        <w:rPr>
          <w:rFonts w:ascii="Times New Roman" w:hAnsi="Times New Roman"/>
          <w:color w:val="auto"/>
          <w:sz w:val="24"/>
          <w:szCs w:val="24"/>
        </w:rPr>
        <w:t>COD</w:t>
      </w:r>
      <w:r>
        <w:rPr>
          <w:rFonts w:ascii="Times New Roman" w:hAnsi="宋体"/>
          <w:color w:val="auto"/>
          <w:sz w:val="24"/>
          <w:szCs w:val="24"/>
        </w:rPr>
        <w:t>、</w:t>
      </w:r>
      <w:r>
        <w:rPr>
          <w:rFonts w:ascii="Times New Roman" w:hAnsi="Times New Roman"/>
          <w:color w:val="auto"/>
          <w:sz w:val="24"/>
          <w:szCs w:val="24"/>
        </w:rPr>
        <w:t>SS</w:t>
      </w:r>
      <w:r>
        <w:rPr>
          <w:rFonts w:ascii="Times New Roman" w:hAnsi="宋体"/>
          <w:color w:val="auto"/>
          <w:sz w:val="24"/>
          <w:szCs w:val="24"/>
        </w:rPr>
        <w:t>、氨氮等。生活污水</w:t>
      </w:r>
      <w:r>
        <w:rPr>
          <w:rFonts w:hint="eastAsia" w:ascii="Times New Roman" w:hAnsi="宋体"/>
          <w:color w:val="auto"/>
          <w:sz w:val="24"/>
          <w:szCs w:val="24"/>
        </w:rPr>
        <w:t>排入化粪池，定期清掏</w:t>
      </w:r>
      <w:r>
        <w:rPr>
          <w:rFonts w:ascii="Times New Roman" w:hAnsi="宋体"/>
          <w:color w:val="auto"/>
          <w:sz w:val="24"/>
          <w:szCs w:val="24"/>
        </w:rPr>
        <w:t>，对周围环境影响较小。</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（3）声环境影响分析</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了控制噪声污染源的噪声污染，本项目生产加工过程均在车间内完成，并对主要高噪声设备采取底座减振、厂房隔声，风机安装消声器等降噪措施，尽量降低噪声源强，再经距离衰减后，厂界噪声能够满足《工业企业厂界环境噪声排放标准》（GB12348-2008）2类</w:t>
      </w:r>
      <w:r>
        <w:rPr>
          <w:rFonts w:hint="eastAsia" w:ascii="Times New Roman" w:hAnsi="Times New Roman"/>
          <w:color w:val="auto"/>
          <w:sz w:val="24"/>
          <w:szCs w:val="24"/>
          <w:lang w:val="en-US" w:eastAsia="zh-CN"/>
        </w:rPr>
        <w:t>和4a类</w:t>
      </w:r>
      <w:r>
        <w:rPr>
          <w:rFonts w:hint="eastAsia" w:ascii="Times New Roman" w:hAnsi="Times New Roman"/>
          <w:color w:val="auto"/>
          <w:sz w:val="24"/>
          <w:szCs w:val="24"/>
        </w:rPr>
        <w:t>标准要求。</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因此，项目产生的噪声不会对周围声环境产生较大影响。</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（4）固体废物影响分析</w:t>
      </w:r>
    </w:p>
    <w:p>
      <w:pPr>
        <w:pStyle w:val="10"/>
        <w:spacing w:line="360" w:lineRule="auto"/>
        <w:ind w:firstLine="480" w:firstLineChars="200"/>
        <w:jc w:val="left"/>
        <w:rPr>
          <w:rFonts w:hint="eastAsia" w:ascii="Times New Roman" w:hAnsi="Times New Roman"/>
          <w:color w:val="auto"/>
          <w:sz w:val="24"/>
          <w:szCs w:val="24"/>
        </w:rPr>
      </w:pPr>
      <w:r>
        <w:rPr>
          <w:rFonts w:hint="eastAsia" w:ascii="Times New Roman" w:hAnsi="Times New Roman"/>
          <w:color w:val="auto"/>
          <w:sz w:val="24"/>
          <w:szCs w:val="24"/>
          <w:lang w:val="en-US" w:eastAsia="zh-CN"/>
        </w:rPr>
        <w:t>切割工序产生的边角料、焊接工序产生废焊条、检验工序产生不合格品、布袋除尘器收集粉尘收集后外售，机油循环利用，设备维护过程中产生的含油废抹布与生活办公产生生活垃圾由垃圾箱收集，环卫部门定期清运</w:t>
      </w:r>
      <w:r>
        <w:rPr>
          <w:rFonts w:hint="eastAsia" w:ascii="Times New Roman" w:hAnsi="Times New Roman"/>
          <w:color w:val="auto"/>
          <w:sz w:val="24"/>
          <w:szCs w:val="24"/>
        </w:rPr>
        <w:t>；</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综上所述，建设项目产生的固体废物均能得到妥善处理处置，不会对周围环境造成较大影响。</w:t>
      </w:r>
    </w:p>
    <w:p>
      <w:pPr>
        <w:spacing w:line="360" w:lineRule="auto"/>
        <w:ind w:firstLine="560"/>
        <w:rPr>
          <w:rFonts w:ascii="Times New Roman" w:hAnsi="Times New Roman"/>
          <w:b/>
          <w:bCs/>
          <w:color w:val="auto"/>
          <w:sz w:val="24"/>
          <w:szCs w:val="24"/>
        </w:rPr>
      </w:pPr>
      <w:r>
        <w:rPr>
          <w:rFonts w:hint="eastAsia" w:ascii="Times New Roman" w:hAnsi="Times New Roman"/>
          <w:b/>
          <w:bCs/>
          <w:color w:val="auto"/>
          <w:sz w:val="24"/>
          <w:szCs w:val="24"/>
        </w:rPr>
        <w:t>5、总量控制指标</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结合本项目特点及排污特征，确定本工程污染物总量控制因子为COD、氨氮、SO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、NOx。</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水污染物：COD：0t/a；氨氮：0t/a；</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大气污染物：SO</w:t>
      </w:r>
      <w:r>
        <w:rPr>
          <w:rFonts w:hint="eastAsia" w:ascii="Times New Roman" w:hAnsi="Times New Roman"/>
          <w:color w:val="auto"/>
          <w:sz w:val="24"/>
          <w:szCs w:val="24"/>
          <w:vertAlign w:val="subscript"/>
        </w:rPr>
        <w:t>2</w:t>
      </w:r>
      <w:r>
        <w:rPr>
          <w:rFonts w:hint="eastAsia" w:ascii="Times New Roman" w:hAnsi="Times New Roman"/>
          <w:color w:val="auto"/>
          <w:sz w:val="24"/>
          <w:szCs w:val="24"/>
        </w:rPr>
        <w:t>：0t/a；NOx：0t/a;</w:t>
      </w:r>
    </w:p>
    <w:p>
      <w:pPr>
        <w:pStyle w:val="7"/>
        <w:spacing w:before="156" w:beforeLines="50" w:line="360" w:lineRule="auto"/>
        <w:rPr>
          <w:rFonts w:ascii="Times New Roman" w:hAnsi="Times New Roman"/>
          <w:b/>
          <w:bCs/>
          <w:color w:val="auto"/>
        </w:rPr>
      </w:pPr>
      <w:r>
        <w:rPr>
          <w:rFonts w:hint="eastAsia" w:ascii="Times New Roman" w:hAnsi="Times New Roman"/>
          <w:b/>
          <w:bCs/>
          <w:color w:val="auto"/>
        </w:rPr>
        <w:t>4.1.2 建议</w:t>
      </w:r>
      <w:bookmarkEnd w:id="185"/>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为保护环境，确保环保设施正常运行和污染物达标排放，针对工程特点，本次环评提出如下建议：</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（1）重视和加强对企业内部环境保护工作的督导，把各项规章制度和环保考核定量指标落到实处。</w:t>
      </w:r>
    </w:p>
    <w:p>
      <w:pPr>
        <w:spacing w:line="360" w:lineRule="auto"/>
        <w:ind w:firstLine="560"/>
        <w:rPr>
          <w:rFonts w:ascii="Times New Roman" w:hAnsi="Times New Roman"/>
          <w:color w:val="auto"/>
          <w:sz w:val="24"/>
          <w:szCs w:val="24"/>
        </w:rPr>
      </w:pPr>
      <w:r>
        <w:rPr>
          <w:rFonts w:hint="eastAsia" w:ascii="Times New Roman" w:hAnsi="Times New Roman"/>
          <w:color w:val="auto"/>
          <w:sz w:val="24"/>
          <w:szCs w:val="24"/>
        </w:rPr>
        <w:t>（2）加强生产车间管理，实施清洁生产管理，从源头抓起，确保环保设施正常运行，最大限度地减少污染物的排放量</w:t>
      </w:r>
    </w:p>
    <w:p>
      <w:pPr>
        <w:pStyle w:val="6"/>
        <w:spacing w:before="156" w:beforeLines="50" w:line="440" w:lineRule="atLeast"/>
        <w:rPr>
          <w:rFonts w:ascii="Times New Roman" w:hAnsi="Times New Roman"/>
          <w:color w:val="auto"/>
        </w:rPr>
      </w:pPr>
      <w:bookmarkStart w:id="186" w:name="_Toc13890"/>
      <w:bookmarkStart w:id="187" w:name="_Toc3545"/>
      <w:bookmarkStart w:id="188" w:name="_Toc16482"/>
      <w:bookmarkStart w:id="189" w:name="_Toc27551"/>
      <w:r>
        <w:rPr>
          <w:rFonts w:ascii="Times New Roman" w:hAnsi="Times New Roman"/>
          <w:color w:val="auto"/>
        </w:rPr>
        <w:t>4.2 审批部门审批意见</w:t>
      </w:r>
      <w:bookmarkEnd w:id="186"/>
      <w:bookmarkEnd w:id="187"/>
      <w:bookmarkEnd w:id="188"/>
      <w:bookmarkEnd w:id="189"/>
    </w:p>
    <w:p>
      <w:pPr>
        <w:spacing w:line="360" w:lineRule="auto"/>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湖北黄环环保科技有限公司</w:t>
      </w:r>
      <w:r>
        <w:rPr>
          <w:rFonts w:hint="eastAsia" w:ascii="Times New Roman" w:hAnsi="Times New Roman"/>
          <w:color w:val="auto"/>
          <w:sz w:val="24"/>
        </w:rPr>
        <w:t>于</w:t>
      </w:r>
      <w:r>
        <w:rPr>
          <w:rFonts w:ascii="Times New Roman" w:hAnsi="Times New Roman"/>
          <w:color w:val="auto"/>
          <w:sz w:val="24"/>
          <w:szCs w:val="24"/>
        </w:rPr>
        <w:t>201</w:t>
      </w:r>
      <w:r>
        <w:rPr>
          <w:rFonts w:hint="eastAsia" w:ascii="Times New Roman" w:hAnsi="Times New Roman"/>
          <w:color w:val="auto"/>
          <w:sz w:val="24"/>
          <w:szCs w:val="24"/>
        </w:rPr>
        <w:t>9</w:t>
      </w:r>
      <w:r>
        <w:rPr>
          <w:rFonts w:ascii="Times New Roman" w:hAnsi="Times New Roman"/>
          <w:color w:val="auto"/>
          <w:sz w:val="24"/>
          <w:szCs w:val="24"/>
        </w:rPr>
        <w:t>年</w:t>
      </w:r>
      <w:r>
        <w:rPr>
          <w:rFonts w:hint="eastAsia" w:ascii="Times New Roman" w:hAnsi="Times New Roman"/>
          <w:color w:val="auto"/>
          <w:sz w:val="24"/>
          <w:szCs w:val="24"/>
          <w:lang w:val="en-US" w:eastAsia="zh-CN"/>
        </w:rPr>
        <w:t>10</w:t>
      </w:r>
      <w:r>
        <w:rPr>
          <w:rFonts w:ascii="Times New Roman" w:hAnsi="Times New Roman"/>
          <w:color w:val="auto"/>
          <w:sz w:val="24"/>
          <w:szCs w:val="24"/>
        </w:rPr>
        <w:t>月</w:t>
      </w:r>
      <w:r>
        <w:rPr>
          <w:rFonts w:hint="eastAsia" w:ascii="Times New Roman" w:hAnsi="Times New Roman"/>
          <w:color w:val="auto"/>
          <w:sz w:val="24"/>
          <w:szCs w:val="24"/>
        </w:rPr>
        <w:t>编制完成了</w:t>
      </w:r>
      <w:r>
        <w:rPr>
          <w:rFonts w:ascii="Times New Roman" w:hAnsi="Times New Roman"/>
          <w:color w:val="auto"/>
          <w:sz w:val="24"/>
          <w:szCs w:val="24"/>
        </w:rPr>
        <w:t>《</w:t>
      </w:r>
      <w:r>
        <w:rPr>
          <w:rFonts w:hint="eastAsia" w:ascii="Times New Roman" w:hAnsi="Times New Roman"/>
          <w:color w:val="auto"/>
          <w:sz w:val="24"/>
          <w:szCs w:val="24"/>
          <w:lang w:eastAsia="zh-CN"/>
        </w:rPr>
        <w:t>盐山县贵新管件厂三通生产项目</w:t>
      </w:r>
      <w:r>
        <w:rPr>
          <w:rFonts w:hint="eastAsia" w:ascii="Times New Roman" w:hAnsi="Times New Roman"/>
          <w:color w:val="auto"/>
          <w:kern w:val="0"/>
          <w:sz w:val="24"/>
          <w:szCs w:val="24"/>
        </w:rPr>
        <w:t>环境影响报告表</w:t>
      </w:r>
      <w:r>
        <w:rPr>
          <w:rFonts w:ascii="Times New Roman" w:hAnsi="Times New Roman"/>
          <w:color w:val="auto"/>
          <w:sz w:val="24"/>
          <w:szCs w:val="24"/>
        </w:rPr>
        <w:t>》</w:t>
      </w:r>
      <w:r>
        <w:rPr>
          <w:rFonts w:hint="eastAsia" w:ascii="Times New Roman" w:hAnsi="Times New Roman"/>
          <w:color w:val="auto"/>
          <w:sz w:val="24"/>
          <w:szCs w:val="24"/>
        </w:rPr>
        <w:t>，并于</w:t>
      </w:r>
      <w:r>
        <w:rPr>
          <w:rFonts w:ascii="Times New Roman" w:hAnsi="Times New Roman"/>
          <w:color w:val="auto"/>
          <w:sz w:val="24"/>
          <w:szCs w:val="24"/>
        </w:rPr>
        <w:t>20</w:t>
      </w:r>
      <w:r>
        <w:rPr>
          <w:rFonts w:hint="eastAsia" w:ascii="Times New Roman" w:hAnsi="Times New Roman"/>
          <w:color w:val="auto"/>
          <w:sz w:val="24"/>
          <w:szCs w:val="24"/>
        </w:rPr>
        <w:t>19</w:t>
      </w:r>
      <w:r>
        <w:rPr>
          <w:rFonts w:ascii="Times New Roman" w:hAnsi="Times New Roman"/>
          <w:color w:val="auto"/>
          <w:sz w:val="24"/>
          <w:szCs w:val="24"/>
        </w:rPr>
        <w:t>年</w:t>
      </w:r>
      <w:r>
        <w:rPr>
          <w:rFonts w:hint="eastAsia" w:ascii="Times New Roman" w:hAnsi="Times New Roman"/>
          <w:color w:val="auto"/>
          <w:sz w:val="24"/>
          <w:szCs w:val="24"/>
          <w:lang w:val="en-US" w:eastAsia="zh-CN"/>
        </w:rPr>
        <w:t>11</w:t>
      </w:r>
      <w:r>
        <w:rPr>
          <w:rFonts w:ascii="Times New Roman" w:hAnsi="Times New Roman"/>
          <w:color w:val="auto"/>
          <w:sz w:val="24"/>
          <w:szCs w:val="24"/>
        </w:rPr>
        <w:t>月</w:t>
      </w:r>
      <w:r>
        <w:rPr>
          <w:rFonts w:hint="eastAsia" w:ascii="Times New Roman" w:hAnsi="Times New Roman"/>
          <w:color w:val="auto"/>
          <w:sz w:val="24"/>
          <w:szCs w:val="24"/>
          <w:lang w:val="en-US" w:eastAsia="zh-CN"/>
        </w:rPr>
        <w:t>1</w:t>
      </w:r>
      <w:r>
        <w:rPr>
          <w:rFonts w:ascii="Times New Roman" w:hAnsi="Times New Roman"/>
          <w:color w:val="auto"/>
          <w:sz w:val="24"/>
          <w:szCs w:val="24"/>
        </w:rPr>
        <w:t>日</w:t>
      </w:r>
      <w:r>
        <w:rPr>
          <w:rFonts w:hint="eastAsia" w:ascii="Times New Roman" w:hAnsi="Times New Roman"/>
          <w:color w:val="auto"/>
          <w:sz w:val="24"/>
          <w:szCs w:val="24"/>
        </w:rPr>
        <w:t>取得了沧州市生态环境局沧县分局</w:t>
      </w:r>
      <w:r>
        <w:rPr>
          <w:rFonts w:ascii="Times New Roman" w:hAnsi="Times New Roman"/>
          <w:color w:val="auto"/>
          <w:sz w:val="24"/>
          <w:szCs w:val="24"/>
        </w:rPr>
        <w:t>关于《</w:t>
      </w:r>
      <w:r>
        <w:rPr>
          <w:rFonts w:hint="eastAsia" w:ascii="Times New Roman" w:hAnsi="Times New Roman"/>
          <w:color w:val="auto"/>
          <w:sz w:val="24"/>
          <w:szCs w:val="24"/>
          <w:lang w:eastAsia="zh-CN"/>
        </w:rPr>
        <w:t>盐山县贵新管件厂三通生产项目</w:t>
      </w:r>
      <w:r>
        <w:rPr>
          <w:rFonts w:ascii="Times New Roman" w:hAnsi="Times New Roman"/>
          <w:color w:val="auto"/>
          <w:sz w:val="24"/>
          <w:szCs w:val="24"/>
        </w:rPr>
        <w:t>》的审批意见</w:t>
      </w:r>
      <w:r>
        <w:rPr>
          <w:rFonts w:hint="eastAsia" w:ascii="Times New Roman" w:hAnsi="Times New Roman"/>
          <w:color w:val="auto"/>
          <w:sz w:val="24"/>
          <w:szCs w:val="24"/>
        </w:rPr>
        <w:t>，审批文号为</w:t>
      </w:r>
      <w:r>
        <w:rPr>
          <w:rFonts w:hint="eastAsia" w:ascii="Times New Roman" w:hAnsi="Times New Roman"/>
          <w:color w:val="auto"/>
          <w:kern w:val="0"/>
          <w:sz w:val="24"/>
          <w:szCs w:val="24"/>
          <w:lang w:val="en-US" w:eastAsia="zh-CN"/>
        </w:rPr>
        <w:t>盐环表</w:t>
      </w:r>
      <w:r>
        <w:rPr>
          <w:rFonts w:hint="eastAsia" w:ascii="Times New Roman" w:hAnsi="Times New Roman"/>
          <w:color w:val="auto"/>
          <w:kern w:val="0"/>
          <w:sz w:val="24"/>
          <w:szCs w:val="24"/>
        </w:rPr>
        <w:t>[2019]</w:t>
      </w:r>
      <w:r>
        <w:rPr>
          <w:rFonts w:hint="eastAsia" w:ascii="Times New Roman" w:hAnsi="Times New Roman"/>
          <w:color w:val="auto"/>
          <w:kern w:val="0"/>
          <w:sz w:val="24"/>
          <w:szCs w:val="24"/>
          <w:lang w:val="en-US" w:eastAsia="zh-CN"/>
        </w:rPr>
        <w:t>143</w:t>
      </w:r>
      <w:r>
        <w:rPr>
          <w:rFonts w:hint="eastAsia" w:ascii="Times New Roman" w:hAnsi="Times New Roman"/>
          <w:color w:val="auto"/>
          <w:kern w:val="0"/>
          <w:sz w:val="24"/>
          <w:szCs w:val="24"/>
        </w:rPr>
        <w:t>号。</w:t>
      </w:r>
    </w:p>
    <w:p>
      <w:pPr>
        <w:pStyle w:val="6"/>
        <w:rPr>
          <w:rFonts w:ascii="Times New Roman" w:hAnsi="Times New Roman"/>
          <w:color w:val="auto"/>
        </w:rPr>
      </w:pPr>
      <w:bookmarkStart w:id="190" w:name="_Toc29925"/>
      <w:bookmarkStart w:id="191" w:name="_Toc2514"/>
      <w:bookmarkStart w:id="192" w:name="_Toc17668"/>
      <w:bookmarkStart w:id="193" w:name="_Toc21874"/>
      <w:r>
        <w:rPr>
          <w:rFonts w:ascii="Times New Roman" w:hAnsi="Times New Roman"/>
          <w:color w:val="auto"/>
        </w:rPr>
        <w:t>4.3 审批意见落实情况</w:t>
      </w:r>
      <w:bookmarkEnd w:id="190"/>
      <w:bookmarkEnd w:id="191"/>
      <w:bookmarkEnd w:id="192"/>
      <w:bookmarkEnd w:id="193"/>
    </w:p>
    <w:p>
      <w:pPr>
        <w:spacing w:line="360" w:lineRule="auto"/>
        <w:ind w:firstLine="480" w:firstLineChars="200"/>
        <w:rPr>
          <w:rFonts w:ascii="Times New Roman" w:hAnsi="Times New Roman"/>
          <w:b/>
          <w:color w:val="auto"/>
          <w:sz w:val="24"/>
          <w:szCs w:val="24"/>
        </w:rPr>
      </w:pPr>
      <w:bookmarkStart w:id="194" w:name="_Toc497001471"/>
      <w:r>
        <w:rPr>
          <w:rFonts w:ascii="Times New Roman" w:hAnsi="Times New Roman"/>
          <w:color w:val="auto"/>
          <w:sz w:val="24"/>
          <w:szCs w:val="24"/>
        </w:rPr>
        <w:t>审批意见落实情况详见下表4-1。</w:t>
      </w:r>
      <w:bookmarkEnd w:id="194"/>
    </w:p>
    <w:p>
      <w:pPr>
        <w:widowControl/>
        <w:spacing w:before="156" w:beforeLines="50"/>
        <w:ind w:firstLine="140" w:firstLineChars="58"/>
        <w:jc w:val="center"/>
        <w:rPr>
          <w:rFonts w:ascii="Times New Roman" w:hAnsi="Times New Roman"/>
          <w:b/>
          <w:color w:val="auto"/>
          <w:sz w:val="24"/>
          <w:szCs w:val="24"/>
        </w:rPr>
      </w:pPr>
      <w:r>
        <w:rPr>
          <w:rFonts w:ascii="Times New Roman" w:hAnsi="Times New Roman"/>
          <w:b/>
          <w:color w:val="auto"/>
          <w:sz w:val="24"/>
          <w:szCs w:val="24"/>
        </w:rPr>
        <w:t>表4-1  环评审批意见落实情况</w:t>
      </w:r>
    </w:p>
    <w:tbl>
      <w:tblPr>
        <w:tblStyle w:val="19"/>
        <w:tblW w:w="87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749"/>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pStyle w:val="5"/>
              <w:rPr>
                <w:rFonts w:ascii="Times New Roman" w:hAnsi="Times New Roman"/>
                <w:color w:val="auto"/>
                <w:spacing w:val="-10"/>
                <w:sz w:val="21"/>
                <w:szCs w:val="21"/>
              </w:rPr>
            </w:pPr>
            <w:bookmarkStart w:id="195" w:name="_Toc26778"/>
            <w:r>
              <w:rPr>
                <w:rFonts w:ascii="Times New Roman" w:hAnsi="Times New Roman"/>
                <w:color w:val="auto"/>
                <w:sz w:val="21"/>
                <w:szCs w:val="21"/>
              </w:rPr>
              <w:br w:type="page"/>
            </w:r>
            <w:r>
              <w:rPr>
                <w:rFonts w:ascii="Times New Roman" w:hAnsi="Times New Roman"/>
                <w:color w:val="auto"/>
                <w:spacing w:val="-10"/>
                <w:sz w:val="21"/>
                <w:szCs w:val="21"/>
              </w:rPr>
              <w:t>序号</w:t>
            </w:r>
          </w:p>
        </w:tc>
        <w:tc>
          <w:tcPr>
            <w:tcW w:w="5749"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审批意见内容</w:t>
            </w:r>
          </w:p>
        </w:tc>
        <w:tc>
          <w:tcPr>
            <w:tcW w:w="2497" w:type="dxa"/>
            <w:tcBorders>
              <w:tl2br w:val="nil"/>
              <w:tr2bl w:val="nil"/>
            </w:tcBorders>
            <w:vAlign w:val="center"/>
          </w:tcPr>
          <w:p>
            <w:pPr>
              <w:spacing w:line="360" w:lineRule="atLeast"/>
              <w:jc w:val="center"/>
              <w:rPr>
                <w:rFonts w:ascii="Times New Roman" w:hAnsi="Times New Roman"/>
                <w:b/>
                <w:color w:val="auto"/>
                <w:spacing w:val="-10"/>
                <w:szCs w:val="21"/>
              </w:rPr>
            </w:pPr>
            <w:r>
              <w:rPr>
                <w:rFonts w:ascii="Times New Roman" w:hAnsi="Times New Roman"/>
                <w:b/>
                <w:color w:val="auto"/>
                <w:spacing w:val="-10"/>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ascii="Times New Roman" w:hAnsi="Times New Roman"/>
                <w:color w:val="auto"/>
                <w:spacing w:val="-10"/>
                <w:szCs w:val="21"/>
              </w:rPr>
              <w:t>1</w:t>
            </w:r>
          </w:p>
        </w:tc>
        <w:tc>
          <w:tcPr>
            <w:tcW w:w="5749" w:type="dxa"/>
            <w:tcBorders>
              <w:tl2br w:val="nil"/>
              <w:tr2bl w:val="nil"/>
            </w:tcBorders>
            <w:vAlign w:val="center"/>
          </w:tcPr>
          <w:p>
            <w:pPr>
              <w:spacing w:line="360" w:lineRule="atLeast"/>
              <w:rPr>
                <w:rFonts w:hint="eastAsia" w:ascii="Times New Roman" w:hAnsi="Times New Roman" w:eastAsia="宋体"/>
                <w:color w:val="auto"/>
                <w:szCs w:val="21"/>
                <w:lang w:eastAsia="zh-CN"/>
              </w:rPr>
            </w:pPr>
            <w:r>
              <w:rPr>
                <w:rFonts w:ascii="Times New Roman" w:hAnsi="Times New Roman"/>
                <w:color w:val="auto"/>
                <w:szCs w:val="21"/>
              </w:rPr>
              <w:t>建设单位：</w:t>
            </w:r>
            <w:r>
              <w:rPr>
                <w:rFonts w:hint="eastAsia" w:ascii="Times New Roman" w:hAnsi="Times New Roman"/>
                <w:color w:val="auto"/>
                <w:kern w:val="0"/>
                <w:szCs w:val="21"/>
                <w:lang w:eastAsia="zh-CN"/>
              </w:rPr>
              <w:t>盐山县贵新管件厂</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ascii="Times New Roman" w:hAnsi="Times New Roman"/>
                <w:color w:val="auto"/>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2</w:t>
            </w:r>
          </w:p>
        </w:tc>
        <w:tc>
          <w:tcPr>
            <w:tcW w:w="5749" w:type="dxa"/>
            <w:tcBorders>
              <w:tl2br w:val="nil"/>
              <w:tr2bl w:val="nil"/>
            </w:tcBorders>
            <w:vAlign w:val="center"/>
          </w:tcPr>
          <w:p>
            <w:pPr>
              <w:spacing w:line="360" w:lineRule="atLeast"/>
              <w:rPr>
                <w:rFonts w:hint="eastAsia" w:ascii="Times New Roman" w:hAnsi="Times New Roman" w:eastAsia="宋体"/>
                <w:color w:val="auto"/>
                <w:szCs w:val="21"/>
                <w:lang w:eastAsia="zh-CN"/>
              </w:rPr>
            </w:pPr>
            <w:r>
              <w:rPr>
                <w:rFonts w:hint="eastAsia" w:ascii="Times New Roman" w:hAnsi="Times New Roman"/>
                <w:color w:val="auto"/>
                <w:szCs w:val="21"/>
              </w:rPr>
              <w:t>建设地点：</w:t>
            </w:r>
            <w:r>
              <w:rPr>
                <w:rFonts w:hint="eastAsia" w:ascii="Times New Roman" w:hAnsi="Times New Roman"/>
                <w:color w:val="auto"/>
                <w:kern w:val="0"/>
                <w:szCs w:val="21"/>
                <w:lang w:eastAsia="zh-CN"/>
              </w:rPr>
              <w:t>盐山县盐山镇沧乐线供销加油站斜对面</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88"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3</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总投资30</w:t>
            </w:r>
            <w:r>
              <w:rPr>
                <w:rFonts w:hint="eastAsia" w:ascii="Times New Roman" w:hAnsi="Times New Roman"/>
                <w:color w:val="auto"/>
                <w:szCs w:val="21"/>
                <w:lang w:val="en-US" w:eastAsia="zh-CN"/>
              </w:rPr>
              <w:t>0</w:t>
            </w:r>
            <w:r>
              <w:rPr>
                <w:rFonts w:hint="eastAsia" w:ascii="Times New Roman" w:hAnsi="Times New Roman"/>
                <w:color w:val="auto"/>
                <w:szCs w:val="21"/>
              </w:rPr>
              <w:t>万元，其中环保投资</w:t>
            </w:r>
            <w:r>
              <w:rPr>
                <w:rFonts w:hint="eastAsia" w:ascii="Times New Roman" w:hAnsi="Times New Roman"/>
                <w:color w:val="auto"/>
                <w:szCs w:val="21"/>
                <w:lang w:val="en-US" w:eastAsia="zh-CN"/>
              </w:rPr>
              <w:t>3</w:t>
            </w:r>
            <w:r>
              <w:rPr>
                <w:rFonts w:hint="eastAsia" w:ascii="Times New Roman" w:hAnsi="Times New Roman"/>
                <w:color w:val="auto"/>
                <w:szCs w:val="21"/>
              </w:rPr>
              <w:t>万元，项目占地</w:t>
            </w:r>
            <w:r>
              <w:rPr>
                <w:rFonts w:hint="eastAsia" w:ascii="Times New Roman" w:hAnsi="Times New Roman"/>
                <w:color w:val="auto"/>
                <w:szCs w:val="21"/>
                <w:lang w:val="en-US" w:eastAsia="zh-CN"/>
              </w:rPr>
              <w:t>1066</w:t>
            </w:r>
            <w:r>
              <w:rPr>
                <w:rFonts w:hint="eastAsia" w:ascii="Times New Roman" w:hAnsi="Times New Roman"/>
                <w:color w:val="auto"/>
                <w:szCs w:val="21"/>
              </w:rPr>
              <w:t>平方米，</w:t>
            </w:r>
            <w:r>
              <w:rPr>
                <w:rFonts w:hint="eastAsia" w:ascii="Times New Roman" w:hAnsi="Times New Roman"/>
                <w:color w:val="auto"/>
                <w:szCs w:val="21"/>
                <w:lang w:eastAsia="zh-CN"/>
              </w:rPr>
              <w:t>年产300吨弯头</w:t>
            </w:r>
            <w:r>
              <w:rPr>
                <w:rFonts w:hint="eastAsia" w:ascii="Times New Roman" w:hAnsi="Times New Roman"/>
                <w:color w:val="auto"/>
                <w:szCs w:val="21"/>
              </w:rPr>
              <w:t>。</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4</w:t>
            </w:r>
          </w:p>
        </w:tc>
        <w:tc>
          <w:tcPr>
            <w:tcW w:w="5749" w:type="dxa"/>
            <w:tcBorders>
              <w:tl2br w:val="nil"/>
              <w:tr2bl w:val="nil"/>
            </w:tcBorders>
            <w:vAlign w:val="center"/>
          </w:tcPr>
          <w:p>
            <w:pPr>
              <w:spacing w:line="360" w:lineRule="atLeast"/>
              <w:rPr>
                <w:rFonts w:hint="eastAsia" w:ascii="Times New Roman" w:hAnsi="Times New Roman"/>
                <w:color w:val="auto"/>
                <w:szCs w:val="21"/>
              </w:rPr>
            </w:pPr>
            <w:r>
              <w:rPr>
                <w:rFonts w:hint="eastAsia" w:ascii="Times New Roman" w:hAnsi="Times New Roman"/>
                <w:color w:val="auto"/>
                <w:szCs w:val="21"/>
              </w:rPr>
              <w:t>项目</w:t>
            </w:r>
            <w:r>
              <w:rPr>
                <w:rFonts w:hint="eastAsia" w:ascii="Times New Roman" w:hAnsi="Times New Roman"/>
                <w:color w:val="auto"/>
                <w:szCs w:val="21"/>
                <w:lang w:val="en-US" w:eastAsia="zh-CN"/>
              </w:rPr>
              <w:t>切割、修磨、焊接、喷砂工序固定工位，产生的废气经集气罩收集后与1台抛丸机废气经除尘器处理，处理后由1根15m高排气筒排放</w:t>
            </w:r>
            <w:r>
              <w:rPr>
                <w:rFonts w:hint="eastAsia" w:ascii="Times New Roman" w:hAnsi="Times New Roman"/>
                <w:color w:val="auto"/>
                <w:szCs w:val="21"/>
              </w:rPr>
              <w:t>。排放浓度满足《大气污染物综合排放标准》（GB16297-1996）表2中排放标准。</w:t>
            </w:r>
          </w:p>
          <w:p>
            <w:pPr>
              <w:spacing w:line="360" w:lineRule="atLeast"/>
              <w:rPr>
                <w:rFonts w:ascii="Times New Roman" w:hAnsi="Times New Roman"/>
                <w:color w:val="auto"/>
                <w:szCs w:val="21"/>
              </w:rPr>
            </w:pPr>
            <w:r>
              <w:rPr>
                <w:rFonts w:hint="eastAsia" w:ascii="Times New Roman" w:hAnsi="Times New Roman"/>
                <w:color w:val="auto"/>
                <w:szCs w:val="21"/>
              </w:rPr>
              <w:t>未收集颗粒物无组织排放，厂界浓度满足《大气污染物综合排放标准》（GB16297-1996）中表2无组织排放监控浓度限值。</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18"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5</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项目</w:t>
            </w:r>
            <w:r>
              <w:rPr>
                <w:rFonts w:hint="eastAsia" w:ascii="Times New Roman" w:hAnsi="Times New Roman"/>
                <w:color w:val="auto"/>
                <w:szCs w:val="21"/>
                <w:lang w:val="en-US" w:eastAsia="zh-CN"/>
              </w:rPr>
              <w:t>无生产废水产生</w:t>
            </w:r>
            <w:r>
              <w:rPr>
                <w:rFonts w:hint="eastAsia" w:ascii="Times New Roman" w:hAnsi="Times New Roman"/>
                <w:color w:val="auto"/>
                <w:szCs w:val="21"/>
              </w:rPr>
              <w:t>；废水主要为职工生活污水，生活污水排入化粪池，定期清掏。</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05"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6</w:t>
            </w:r>
          </w:p>
        </w:tc>
        <w:tc>
          <w:tcPr>
            <w:tcW w:w="5749" w:type="dxa"/>
            <w:tcBorders>
              <w:tl2br w:val="nil"/>
              <w:tr2bl w:val="nil"/>
            </w:tcBorders>
            <w:vAlign w:val="center"/>
          </w:tcPr>
          <w:p>
            <w:pPr>
              <w:spacing w:line="360" w:lineRule="atLeast"/>
              <w:rPr>
                <w:rFonts w:ascii="Times New Roman" w:hAnsi="Times New Roman"/>
                <w:color w:val="auto"/>
                <w:szCs w:val="21"/>
              </w:rPr>
            </w:pPr>
            <w:r>
              <w:rPr>
                <w:rFonts w:hint="eastAsia" w:ascii="Times New Roman" w:hAnsi="Times New Roman"/>
                <w:color w:val="auto"/>
                <w:szCs w:val="21"/>
              </w:rPr>
              <w:t>对噪声源采取有效措施，确保噪声达到《工业企业厂界环境噪声排放标准》（GB12348-2008）2类标准要求。</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ascii="Times New Roman" w:hAnsi="Times New Roman"/>
                <w:color w:val="auto"/>
                <w:spacing w:val="-10"/>
                <w:szCs w:val="21"/>
              </w:rPr>
            </w:pPr>
            <w:r>
              <w:rPr>
                <w:rFonts w:hint="eastAsia" w:ascii="Times New Roman" w:hAnsi="Times New Roman"/>
                <w:color w:val="auto"/>
                <w:spacing w:val="-10"/>
                <w:szCs w:val="21"/>
              </w:rPr>
              <w:t>7</w:t>
            </w:r>
          </w:p>
        </w:tc>
        <w:tc>
          <w:tcPr>
            <w:tcW w:w="5749" w:type="dxa"/>
            <w:tcBorders>
              <w:tl2br w:val="nil"/>
              <w:tr2bl w:val="nil"/>
            </w:tcBorders>
            <w:vAlign w:val="center"/>
          </w:tcPr>
          <w:p>
            <w:pPr>
              <w:pStyle w:val="2"/>
              <w:ind w:firstLine="0" w:firstLineChars="0"/>
              <w:rPr>
                <w:rFonts w:ascii="Times New Roman" w:hAnsi="Times New Roman"/>
                <w:color w:val="auto"/>
                <w:szCs w:val="21"/>
              </w:rPr>
            </w:pPr>
            <w:r>
              <w:rPr>
                <w:rFonts w:hint="eastAsia" w:ascii="Times New Roman" w:hAnsi="Times New Roman"/>
                <w:color w:val="auto"/>
                <w:szCs w:val="21"/>
              </w:rPr>
              <w:t>固废执行《一般工业固体废物贮存、处置场污染控制标准》(GB18599-2001) 及其修改单中的相关规定，固废按照报告表提出的措施全部综合利用或妥善处置。</w:t>
            </w:r>
          </w:p>
        </w:tc>
        <w:tc>
          <w:tcPr>
            <w:tcW w:w="2497" w:type="dxa"/>
            <w:tcBorders>
              <w:tl2br w:val="nil"/>
              <w:tr2bl w:val="nil"/>
            </w:tcBorders>
            <w:vAlign w:val="center"/>
          </w:tcPr>
          <w:p>
            <w:pPr>
              <w:spacing w:line="360" w:lineRule="atLeast"/>
              <w:jc w:val="center"/>
              <w:rPr>
                <w:rFonts w:ascii="Times New Roman" w:hAnsi="Times New Roman"/>
                <w:color w:val="auto"/>
                <w:szCs w:val="21"/>
              </w:rPr>
            </w:pPr>
            <w:r>
              <w:rPr>
                <w:rFonts w:hint="eastAsia" w:ascii="Times New Roman" w:hAnsi="Times New Roman"/>
                <w:color w:val="auto"/>
                <w:spacing w:val="-2"/>
                <w:szCs w:val="21"/>
              </w:rPr>
              <w:t>落实</w:t>
            </w:r>
          </w:p>
        </w:tc>
      </w:tr>
    </w:tbl>
    <w:p>
      <w:pPr>
        <w:rPr>
          <w:rFonts w:ascii="Times New Roman" w:hAnsi="Times New Roman"/>
          <w:color w:val="FF0000"/>
        </w:rPr>
      </w:pPr>
      <w:bookmarkStart w:id="196" w:name="_Toc5137"/>
      <w:bookmarkStart w:id="197" w:name="_Toc21101"/>
      <w:bookmarkStart w:id="198" w:name="_Toc26718"/>
      <w:r>
        <w:rPr>
          <w:rFonts w:ascii="Times New Roman" w:hAnsi="Times New Roman"/>
          <w:color w:val="FF0000"/>
        </w:rPr>
        <w:br w:type="page"/>
      </w:r>
    </w:p>
    <w:p>
      <w:pPr>
        <w:pStyle w:val="5"/>
        <w:rPr>
          <w:rFonts w:ascii="Times New Roman" w:hAnsi="Times New Roman"/>
          <w:color w:val="auto"/>
        </w:rPr>
      </w:pPr>
      <w:r>
        <w:rPr>
          <w:rFonts w:ascii="Times New Roman" w:hAnsi="Times New Roman"/>
          <w:color w:val="auto"/>
        </w:rPr>
        <w:t>5 验收评价标准</w:t>
      </w:r>
      <w:bookmarkEnd w:id="195"/>
      <w:bookmarkEnd w:id="196"/>
      <w:bookmarkEnd w:id="197"/>
      <w:bookmarkEnd w:id="198"/>
    </w:p>
    <w:p>
      <w:pPr>
        <w:pStyle w:val="6"/>
        <w:rPr>
          <w:rFonts w:ascii="Times New Roman" w:hAnsi="Times New Roman"/>
          <w:color w:val="auto"/>
        </w:rPr>
      </w:pPr>
      <w:bookmarkStart w:id="199" w:name="_Toc24574"/>
      <w:bookmarkStart w:id="200" w:name="_Toc14578"/>
      <w:bookmarkStart w:id="201" w:name="_Toc26520"/>
      <w:bookmarkStart w:id="202" w:name="_Toc21113"/>
      <w:r>
        <w:rPr>
          <w:rFonts w:ascii="Times New Roman" w:hAnsi="Times New Roman"/>
          <w:color w:val="auto"/>
        </w:rPr>
        <w:t>5.1 污染物排放标准</w:t>
      </w:r>
      <w:bookmarkEnd w:id="199"/>
      <w:bookmarkEnd w:id="200"/>
      <w:bookmarkEnd w:id="201"/>
      <w:bookmarkEnd w:id="202"/>
    </w:p>
    <w:p>
      <w:pPr>
        <w:pStyle w:val="7"/>
        <w:rPr>
          <w:rFonts w:ascii="Times New Roman" w:hAnsi="Times New Roman"/>
          <w:color w:val="auto"/>
        </w:rPr>
      </w:pPr>
      <w:bookmarkStart w:id="203" w:name="_Toc496979035"/>
      <w:bookmarkStart w:id="204" w:name="_Toc497001474"/>
      <w:bookmarkStart w:id="205" w:name="_Toc8485"/>
      <w:bookmarkStart w:id="206" w:name="_Toc23230"/>
      <w:bookmarkStart w:id="207" w:name="_Toc14938"/>
      <w:bookmarkStart w:id="208" w:name="_Toc11116"/>
      <w:r>
        <w:rPr>
          <w:rFonts w:ascii="Times New Roman" w:hAnsi="Times New Roman"/>
          <w:color w:val="auto"/>
        </w:rPr>
        <w:t xml:space="preserve">5.1.1 </w:t>
      </w:r>
      <w:bookmarkEnd w:id="203"/>
      <w:bookmarkEnd w:id="204"/>
      <w:r>
        <w:rPr>
          <w:rFonts w:ascii="Times New Roman" w:hAnsi="Times New Roman"/>
          <w:color w:val="auto"/>
        </w:rPr>
        <w:t>废气</w:t>
      </w:r>
      <w:bookmarkEnd w:id="205"/>
      <w:bookmarkEnd w:id="206"/>
      <w:bookmarkEnd w:id="207"/>
      <w:bookmarkEnd w:id="208"/>
    </w:p>
    <w:p>
      <w:pPr>
        <w:pStyle w:val="7"/>
        <w:ind w:firstLine="480" w:firstLineChars="200"/>
        <w:rPr>
          <w:rFonts w:ascii="Times New Roman" w:hAnsi="Times New Roman"/>
          <w:color w:val="auto"/>
        </w:rPr>
      </w:pPr>
      <w:bookmarkStart w:id="209" w:name="_Toc15961"/>
      <w:bookmarkStart w:id="210" w:name="_Toc29912"/>
      <w:bookmarkStart w:id="211" w:name="_Toc29236"/>
      <w:r>
        <w:rPr>
          <w:rFonts w:hint="eastAsia" w:ascii="Times New Roman" w:hAnsi="Times New Roman"/>
          <w:color w:val="auto"/>
        </w:rPr>
        <w:t>废气执行标准见表5-1。</w:t>
      </w:r>
      <w:bookmarkEnd w:id="209"/>
      <w:bookmarkEnd w:id="210"/>
      <w:bookmarkEnd w:id="211"/>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表5-1  废气执行标准</w:t>
      </w:r>
    </w:p>
    <w:tbl>
      <w:tblPr>
        <w:tblStyle w:val="19"/>
        <w:tblW w:w="8282"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888"/>
        <w:gridCol w:w="2648"/>
        <w:gridCol w:w="3139"/>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73" w:hRule="exact"/>
          <w:jc w:val="center"/>
        </w:trPr>
        <w:tc>
          <w:tcPr>
            <w:tcW w:w="1607" w:type="dxa"/>
            <w:vAlign w:val="center"/>
          </w:tcPr>
          <w:p>
            <w:pPr>
              <w:snapToGrid w:val="0"/>
              <w:spacing w:line="0" w:lineRule="atLeast"/>
              <w:jc w:val="center"/>
              <w:rPr>
                <w:color w:val="auto"/>
                <w:szCs w:val="21"/>
              </w:rPr>
            </w:pPr>
            <w:bookmarkStart w:id="212" w:name="_Toc496979037"/>
            <w:bookmarkStart w:id="213" w:name="_Toc5747"/>
            <w:bookmarkStart w:id="214" w:name="_Toc27196"/>
            <w:bookmarkStart w:id="215" w:name="_Toc20210"/>
            <w:bookmarkStart w:id="216" w:name="_Toc12396"/>
            <w:bookmarkStart w:id="217" w:name="_Toc497001476"/>
            <w:r>
              <w:rPr>
                <w:color w:val="auto"/>
                <w:szCs w:val="21"/>
              </w:rPr>
              <w:t>环境要素</w:t>
            </w:r>
          </w:p>
        </w:tc>
        <w:tc>
          <w:tcPr>
            <w:tcW w:w="3536" w:type="dxa"/>
            <w:gridSpan w:val="2"/>
            <w:vAlign w:val="center"/>
          </w:tcPr>
          <w:p>
            <w:pPr>
              <w:snapToGrid w:val="0"/>
              <w:spacing w:line="0" w:lineRule="atLeast"/>
              <w:jc w:val="center"/>
              <w:rPr>
                <w:color w:val="auto"/>
                <w:szCs w:val="21"/>
              </w:rPr>
            </w:pPr>
            <w:r>
              <w:rPr>
                <w:color w:val="auto"/>
                <w:szCs w:val="21"/>
              </w:rPr>
              <w:t>标准值</w:t>
            </w:r>
          </w:p>
        </w:tc>
        <w:tc>
          <w:tcPr>
            <w:tcW w:w="3139" w:type="dxa"/>
            <w:vAlign w:val="center"/>
          </w:tcPr>
          <w:p>
            <w:pPr>
              <w:snapToGrid w:val="0"/>
              <w:spacing w:line="0" w:lineRule="atLeast"/>
              <w:jc w:val="center"/>
              <w:rPr>
                <w:color w:val="auto"/>
                <w:szCs w:val="21"/>
              </w:rPr>
            </w:pPr>
            <w:r>
              <w:rPr>
                <w:color w:val="auto"/>
                <w:szCs w:val="21"/>
              </w:rPr>
              <w:t>标准来源</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56" w:hRule="atLeast"/>
          <w:jc w:val="center"/>
        </w:trPr>
        <w:tc>
          <w:tcPr>
            <w:tcW w:w="1607" w:type="dxa"/>
            <w:vMerge w:val="restart"/>
            <w:vAlign w:val="center"/>
          </w:tcPr>
          <w:p>
            <w:pPr>
              <w:snapToGrid w:val="0"/>
              <w:spacing w:line="0" w:lineRule="atLeast"/>
              <w:jc w:val="center"/>
              <w:rPr>
                <w:color w:val="auto"/>
                <w:szCs w:val="21"/>
              </w:rPr>
            </w:pPr>
            <w:r>
              <w:rPr>
                <w:color w:val="auto"/>
                <w:szCs w:val="21"/>
              </w:rPr>
              <w:t>废气</w:t>
            </w:r>
          </w:p>
        </w:tc>
        <w:tc>
          <w:tcPr>
            <w:tcW w:w="888" w:type="dxa"/>
            <w:vMerge w:val="restart"/>
            <w:vAlign w:val="center"/>
          </w:tcPr>
          <w:p>
            <w:pPr>
              <w:adjustRightInd w:val="0"/>
              <w:snapToGrid w:val="0"/>
              <w:spacing w:line="0" w:lineRule="atLeast"/>
              <w:jc w:val="center"/>
              <w:rPr>
                <w:color w:val="auto"/>
                <w:szCs w:val="21"/>
              </w:rPr>
            </w:pPr>
            <w:r>
              <w:rPr>
                <w:color w:val="auto"/>
                <w:szCs w:val="21"/>
              </w:rPr>
              <w:t>颗粒物</w:t>
            </w:r>
          </w:p>
        </w:tc>
        <w:tc>
          <w:tcPr>
            <w:tcW w:w="2648" w:type="dxa"/>
            <w:vAlign w:val="center"/>
          </w:tcPr>
          <w:p>
            <w:pPr>
              <w:spacing w:line="0" w:lineRule="atLeast"/>
              <w:jc w:val="center"/>
              <w:rPr>
                <w:color w:val="auto"/>
                <w:szCs w:val="21"/>
              </w:rPr>
            </w:pPr>
            <w:r>
              <w:rPr>
                <w:color w:val="auto"/>
                <w:szCs w:val="21"/>
              </w:rPr>
              <w:t>最高允许排放浓度：120mg/m</w:t>
            </w:r>
            <w:r>
              <w:rPr>
                <w:color w:val="auto"/>
                <w:szCs w:val="21"/>
                <w:vertAlign w:val="superscript"/>
              </w:rPr>
              <w:t>3</w:t>
            </w:r>
          </w:p>
          <w:p>
            <w:pPr>
              <w:spacing w:line="0" w:lineRule="atLeast"/>
              <w:jc w:val="center"/>
              <w:rPr>
                <w:color w:val="auto"/>
                <w:szCs w:val="21"/>
              </w:rPr>
            </w:pPr>
            <w:r>
              <w:rPr>
                <w:color w:val="auto"/>
                <w:szCs w:val="21"/>
              </w:rPr>
              <w:t>最高允许排放速率：3.5kg/h</w:t>
            </w:r>
          </w:p>
          <w:p>
            <w:pPr>
              <w:spacing w:line="0" w:lineRule="atLeast"/>
              <w:jc w:val="center"/>
              <w:rPr>
                <w:color w:val="auto"/>
                <w:szCs w:val="21"/>
              </w:rPr>
            </w:pPr>
            <w:r>
              <w:rPr>
                <w:color w:val="auto"/>
                <w:szCs w:val="21"/>
              </w:rPr>
              <w:t>排气筒高度：15m</w:t>
            </w:r>
          </w:p>
        </w:tc>
        <w:tc>
          <w:tcPr>
            <w:tcW w:w="3139" w:type="dxa"/>
            <w:vAlign w:val="center"/>
          </w:tcPr>
          <w:p>
            <w:pPr>
              <w:spacing w:line="0" w:lineRule="atLeast"/>
              <w:jc w:val="center"/>
              <w:rPr>
                <w:color w:val="auto"/>
                <w:szCs w:val="21"/>
              </w:rPr>
            </w:pPr>
            <w:r>
              <w:rPr>
                <w:color w:val="auto"/>
                <w:szCs w:val="21"/>
              </w:rPr>
              <w:t>《大气污染物综合排放标准》（GB16297-1996）表2中颗粒物二级标准</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87" w:hRule="atLeast"/>
          <w:jc w:val="center"/>
        </w:trPr>
        <w:tc>
          <w:tcPr>
            <w:tcW w:w="1607" w:type="dxa"/>
            <w:vMerge w:val="continue"/>
            <w:vAlign w:val="center"/>
          </w:tcPr>
          <w:p>
            <w:pPr>
              <w:spacing w:line="0" w:lineRule="atLeast"/>
              <w:jc w:val="center"/>
              <w:rPr>
                <w:color w:val="auto"/>
              </w:rPr>
            </w:pPr>
          </w:p>
        </w:tc>
        <w:tc>
          <w:tcPr>
            <w:tcW w:w="888" w:type="dxa"/>
            <w:vMerge w:val="continue"/>
            <w:vAlign w:val="center"/>
          </w:tcPr>
          <w:p>
            <w:pPr>
              <w:adjustRightInd w:val="0"/>
              <w:snapToGrid w:val="0"/>
              <w:spacing w:line="0" w:lineRule="atLeast"/>
              <w:jc w:val="center"/>
              <w:rPr>
                <w:color w:val="auto"/>
              </w:rPr>
            </w:pPr>
          </w:p>
        </w:tc>
        <w:tc>
          <w:tcPr>
            <w:tcW w:w="2648" w:type="dxa"/>
            <w:vAlign w:val="center"/>
          </w:tcPr>
          <w:p>
            <w:pPr>
              <w:spacing w:line="0" w:lineRule="atLeast"/>
              <w:jc w:val="center"/>
              <w:rPr>
                <w:color w:val="auto"/>
                <w:szCs w:val="21"/>
              </w:rPr>
            </w:pPr>
            <w:r>
              <w:rPr>
                <w:color w:val="auto"/>
                <w:szCs w:val="21"/>
              </w:rPr>
              <w:t>颗粒物周界外浓度最高点：1.0mg/m</w:t>
            </w:r>
            <w:r>
              <w:rPr>
                <w:color w:val="auto"/>
                <w:szCs w:val="21"/>
                <w:vertAlign w:val="superscript"/>
              </w:rPr>
              <w:t>3</w:t>
            </w:r>
          </w:p>
        </w:tc>
        <w:tc>
          <w:tcPr>
            <w:tcW w:w="3139" w:type="dxa"/>
            <w:vAlign w:val="center"/>
          </w:tcPr>
          <w:p>
            <w:pPr>
              <w:spacing w:line="0" w:lineRule="atLeast"/>
              <w:jc w:val="center"/>
              <w:rPr>
                <w:color w:val="auto"/>
                <w:szCs w:val="21"/>
              </w:rPr>
            </w:pPr>
            <w:r>
              <w:rPr>
                <w:color w:val="auto"/>
                <w:szCs w:val="21"/>
              </w:rPr>
              <w:t>《大气污染物综合排放标准》（GB16297-1996）表2中颗粒物无组织排放监控浓度限值</w:t>
            </w:r>
          </w:p>
        </w:tc>
      </w:tr>
    </w:tbl>
    <w:p>
      <w:pPr>
        <w:pStyle w:val="7"/>
        <w:rPr>
          <w:rFonts w:ascii="Times New Roman" w:hAnsi="Times New Roman"/>
          <w:color w:val="auto"/>
        </w:rPr>
      </w:pPr>
      <w:r>
        <w:rPr>
          <w:rFonts w:ascii="Times New Roman" w:hAnsi="Times New Roman"/>
          <w:color w:val="auto"/>
        </w:rPr>
        <w:t>5.1.2噪声</w:t>
      </w:r>
      <w:bookmarkEnd w:id="212"/>
      <w:bookmarkEnd w:id="213"/>
      <w:bookmarkEnd w:id="214"/>
      <w:bookmarkEnd w:id="215"/>
      <w:bookmarkEnd w:id="216"/>
      <w:bookmarkEnd w:id="217"/>
    </w:p>
    <w:p>
      <w:pPr>
        <w:spacing w:line="480" w:lineRule="atLeast"/>
        <w:ind w:firstLine="480" w:firstLineChars="200"/>
        <w:rPr>
          <w:rFonts w:ascii="Times New Roman" w:hAnsi="Times New Roman"/>
          <w:b/>
          <w:color w:val="auto"/>
          <w:sz w:val="24"/>
          <w:szCs w:val="24"/>
        </w:rPr>
      </w:pPr>
      <w:r>
        <w:rPr>
          <w:rFonts w:ascii="Times New Roman" w:hAnsi="Times New Roman"/>
          <w:color w:val="auto"/>
          <w:sz w:val="24"/>
          <w:szCs w:val="24"/>
        </w:rPr>
        <w:t>运营期噪声执行《工业企业厂界环境噪声排放标准》（GB12348-2008）</w:t>
      </w:r>
      <w:r>
        <w:rPr>
          <w:rFonts w:hint="eastAsia" w:ascii="Times New Roman" w:hAnsi="Times New Roman"/>
          <w:color w:val="auto"/>
          <w:sz w:val="24"/>
          <w:szCs w:val="24"/>
        </w:rPr>
        <w:t>2类</w:t>
      </w:r>
      <w:r>
        <w:rPr>
          <w:rFonts w:ascii="Times New Roman" w:hAnsi="Times New Roman"/>
          <w:color w:val="auto"/>
          <w:sz w:val="24"/>
          <w:szCs w:val="24"/>
        </w:rPr>
        <w:t>标准要求。标准值见表5-2。</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表5-2  厂界噪声排放标准</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1590" w:type="dxa"/>
            <w:vAlign w:val="center"/>
          </w:tcPr>
          <w:p>
            <w:pPr>
              <w:pStyle w:val="14"/>
              <w:spacing w:line="300" w:lineRule="exact"/>
              <w:ind w:firstLineChars="0"/>
              <w:jc w:val="center"/>
              <w:rPr>
                <w:rFonts w:ascii="Times New Roman"/>
                <w:b/>
                <w:bCs/>
                <w:color w:val="auto"/>
              </w:rPr>
            </w:pPr>
            <w:r>
              <w:rPr>
                <w:rFonts w:ascii="Times New Roman"/>
                <w:b/>
                <w:bCs/>
                <w:color w:val="auto"/>
              </w:rPr>
              <w:t>环境要素</w:t>
            </w:r>
          </w:p>
        </w:tc>
        <w:tc>
          <w:tcPr>
            <w:tcW w:w="2101" w:type="dxa"/>
            <w:vAlign w:val="center"/>
          </w:tcPr>
          <w:p>
            <w:pPr>
              <w:pStyle w:val="14"/>
              <w:spacing w:line="300" w:lineRule="exact"/>
              <w:jc w:val="center"/>
              <w:rPr>
                <w:rFonts w:ascii="Times New Roman"/>
                <w:b/>
                <w:bCs/>
                <w:color w:val="auto"/>
              </w:rPr>
            </w:pPr>
            <w:r>
              <w:rPr>
                <w:rFonts w:ascii="Times New Roman"/>
                <w:b/>
                <w:bCs/>
                <w:color w:val="auto"/>
              </w:rPr>
              <w:t>类别</w:t>
            </w:r>
          </w:p>
        </w:tc>
        <w:tc>
          <w:tcPr>
            <w:tcW w:w="1405" w:type="dxa"/>
            <w:vAlign w:val="center"/>
          </w:tcPr>
          <w:p>
            <w:pPr>
              <w:pStyle w:val="14"/>
              <w:spacing w:line="300" w:lineRule="exact"/>
              <w:jc w:val="center"/>
              <w:rPr>
                <w:rFonts w:ascii="Times New Roman"/>
                <w:b/>
                <w:bCs/>
                <w:color w:val="auto"/>
              </w:rPr>
            </w:pPr>
            <w:r>
              <w:rPr>
                <w:rFonts w:ascii="Times New Roman"/>
                <w:b/>
                <w:bCs/>
                <w:color w:val="auto"/>
              </w:rPr>
              <w:t>时段</w:t>
            </w:r>
          </w:p>
        </w:tc>
        <w:tc>
          <w:tcPr>
            <w:tcW w:w="1843" w:type="dxa"/>
            <w:vAlign w:val="center"/>
          </w:tcPr>
          <w:p>
            <w:pPr>
              <w:pStyle w:val="14"/>
              <w:spacing w:line="300" w:lineRule="exact"/>
              <w:jc w:val="center"/>
              <w:rPr>
                <w:rFonts w:ascii="Times New Roman"/>
                <w:b/>
                <w:bCs/>
                <w:color w:val="auto"/>
              </w:rPr>
            </w:pPr>
            <w:r>
              <w:rPr>
                <w:rFonts w:ascii="Times New Roman"/>
                <w:b/>
                <w:bCs/>
                <w:color w:val="auto"/>
              </w:rPr>
              <w:t>标准值</w:t>
            </w:r>
          </w:p>
        </w:tc>
        <w:tc>
          <w:tcPr>
            <w:tcW w:w="1565" w:type="dxa"/>
            <w:vAlign w:val="center"/>
          </w:tcPr>
          <w:p>
            <w:pPr>
              <w:pStyle w:val="14"/>
              <w:spacing w:line="300" w:lineRule="exact"/>
              <w:jc w:val="center"/>
              <w:rPr>
                <w:rFonts w:ascii="Times New Roman"/>
                <w:b/>
                <w:bCs/>
                <w:color w:val="auto"/>
              </w:rPr>
            </w:pPr>
            <w:r>
              <w:rPr>
                <w:rFonts w:ascii="Times New Roman"/>
                <w:b/>
                <w:bCs/>
                <w:color w:val="auto"/>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 w:hRule="atLeast"/>
          <w:jc w:val="center"/>
        </w:trPr>
        <w:tc>
          <w:tcPr>
            <w:tcW w:w="1590" w:type="dxa"/>
            <w:vMerge w:val="restart"/>
            <w:vAlign w:val="center"/>
          </w:tcPr>
          <w:p>
            <w:pPr>
              <w:spacing w:line="300" w:lineRule="exact"/>
              <w:jc w:val="center"/>
              <w:rPr>
                <w:rFonts w:ascii="Times New Roman" w:hAnsi="Times New Roman"/>
                <w:color w:val="auto"/>
                <w:szCs w:val="21"/>
              </w:rPr>
            </w:pPr>
            <w:r>
              <w:rPr>
                <w:rFonts w:ascii="Times New Roman" w:hAnsi="Times New Roman"/>
                <w:bCs/>
                <w:color w:val="auto"/>
                <w:szCs w:val="21"/>
              </w:rPr>
              <w:t>噪声</w:t>
            </w:r>
          </w:p>
        </w:tc>
        <w:tc>
          <w:tcPr>
            <w:tcW w:w="2101" w:type="dxa"/>
            <w:vMerge w:val="restart"/>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2</w:t>
            </w:r>
            <w:r>
              <w:rPr>
                <w:rFonts w:ascii="Times New Roman" w:hAnsi="Times New Roman"/>
                <w:color w:val="auto"/>
                <w:szCs w:val="21"/>
              </w:rPr>
              <w:t>类</w:t>
            </w:r>
          </w:p>
        </w:tc>
        <w:tc>
          <w:tcPr>
            <w:tcW w:w="1405" w:type="dxa"/>
            <w:vAlign w:val="center"/>
          </w:tcPr>
          <w:p>
            <w:pPr>
              <w:spacing w:line="300" w:lineRule="exact"/>
              <w:jc w:val="center"/>
              <w:rPr>
                <w:rFonts w:ascii="Times New Roman" w:hAnsi="Times New Roman"/>
                <w:color w:val="auto"/>
                <w:szCs w:val="21"/>
              </w:rPr>
            </w:pPr>
            <w:r>
              <w:rPr>
                <w:rFonts w:ascii="Times New Roman" w:hAnsi="Times New Roman"/>
                <w:color w:val="auto"/>
                <w:szCs w:val="21"/>
              </w:rPr>
              <w:t>昼间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60</w:t>
            </w:r>
          </w:p>
        </w:tc>
        <w:tc>
          <w:tcPr>
            <w:tcW w:w="1565" w:type="dxa"/>
            <w:vAlign w:val="center"/>
          </w:tcPr>
          <w:p>
            <w:pPr>
              <w:spacing w:line="300" w:lineRule="exact"/>
              <w:jc w:val="center"/>
              <w:rPr>
                <w:rFonts w:ascii="Times New Roman" w:hAnsi="Times New Roman"/>
                <w:color w:val="auto"/>
                <w:szCs w:val="21"/>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1590" w:type="dxa"/>
            <w:vMerge w:val="continue"/>
            <w:tcBorders/>
            <w:vAlign w:val="center"/>
          </w:tcPr>
          <w:p>
            <w:pPr>
              <w:spacing w:line="300" w:lineRule="exact"/>
              <w:jc w:val="center"/>
              <w:rPr>
                <w:rFonts w:ascii="Times New Roman" w:hAnsi="Times New Roman"/>
                <w:bCs/>
                <w:color w:val="auto"/>
                <w:szCs w:val="21"/>
              </w:rPr>
            </w:pPr>
          </w:p>
        </w:tc>
        <w:tc>
          <w:tcPr>
            <w:tcW w:w="2101" w:type="dxa"/>
            <w:vMerge w:val="continue"/>
            <w:vAlign w:val="center"/>
          </w:tcPr>
          <w:p>
            <w:pPr>
              <w:spacing w:line="300" w:lineRule="exact"/>
              <w:jc w:val="center"/>
              <w:rPr>
                <w:rFonts w:ascii="Times New Roman" w:hAnsi="Times New Roman"/>
                <w:color w:val="auto"/>
                <w:szCs w:val="21"/>
              </w:rPr>
            </w:pPr>
          </w:p>
        </w:tc>
        <w:tc>
          <w:tcPr>
            <w:tcW w:w="1405"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夜间</w:t>
            </w:r>
          </w:p>
        </w:tc>
        <w:tc>
          <w:tcPr>
            <w:tcW w:w="1843" w:type="dxa"/>
            <w:vAlign w:val="center"/>
          </w:tcPr>
          <w:p>
            <w:pPr>
              <w:spacing w:line="300" w:lineRule="exact"/>
              <w:jc w:val="center"/>
              <w:rPr>
                <w:rFonts w:ascii="Times New Roman" w:hAnsi="Times New Roman"/>
                <w:color w:val="auto"/>
                <w:szCs w:val="21"/>
              </w:rPr>
            </w:pPr>
            <w:r>
              <w:rPr>
                <w:rFonts w:hint="eastAsia" w:ascii="Times New Roman" w:hAnsi="Times New Roman"/>
                <w:color w:val="auto"/>
                <w:szCs w:val="21"/>
              </w:rPr>
              <w:t>50</w:t>
            </w:r>
          </w:p>
        </w:tc>
        <w:tc>
          <w:tcPr>
            <w:tcW w:w="1565" w:type="dxa"/>
            <w:vAlign w:val="center"/>
          </w:tcPr>
          <w:p>
            <w:pPr>
              <w:spacing w:line="300" w:lineRule="exact"/>
              <w:jc w:val="center"/>
              <w:rPr>
                <w:rFonts w:ascii="Times New Roman" w:hAnsi="Times New Roman"/>
                <w:bCs/>
                <w:color w:val="auto"/>
                <w:szCs w:val="21"/>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1590" w:type="dxa"/>
            <w:vMerge w:val="continue"/>
            <w:tcBorders/>
            <w:vAlign w:val="center"/>
          </w:tcPr>
          <w:p>
            <w:pPr>
              <w:spacing w:line="300" w:lineRule="exact"/>
              <w:jc w:val="center"/>
              <w:rPr>
                <w:rFonts w:ascii="Times New Roman" w:hAnsi="Times New Roman"/>
                <w:bCs/>
                <w:color w:val="auto"/>
                <w:szCs w:val="21"/>
              </w:rPr>
            </w:pPr>
          </w:p>
        </w:tc>
        <w:tc>
          <w:tcPr>
            <w:tcW w:w="2101" w:type="dxa"/>
            <w:vMerge w:val="restart"/>
            <w:vAlign w:val="center"/>
          </w:tcPr>
          <w:p>
            <w:pPr>
              <w:spacing w:line="300" w:lineRule="exact"/>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4类</w:t>
            </w:r>
          </w:p>
        </w:tc>
        <w:tc>
          <w:tcPr>
            <w:tcW w:w="1405" w:type="dxa"/>
            <w:vAlign w:val="center"/>
          </w:tcPr>
          <w:p>
            <w:pPr>
              <w:spacing w:line="300" w:lineRule="exact"/>
              <w:jc w:val="center"/>
              <w:rPr>
                <w:rFonts w:hint="eastAsia" w:ascii="Times New Roman" w:hAnsi="Times New Roman" w:eastAsia="宋体" w:cs="Times New Roman"/>
                <w:color w:val="auto"/>
                <w:kern w:val="2"/>
                <w:sz w:val="21"/>
                <w:szCs w:val="21"/>
                <w:lang w:val="en-US" w:eastAsia="zh-CN" w:bidi="ar-SA"/>
              </w:rPr>
            </w:pPr>
            <w:r>
              <w:rPr>
                <w:rFonts w:ascii="Times New Roman" w:hAnsi="Times New Roman"/>
                <w:color w:val="auto"/>
                <w:szCs w:val="21"/>
              </w:rPr>
              <w:t>昼间</w:t>
            </w:r>
          </w:p>
        </w:tc>
        <w:tc>
          <w:tcPr>
            <w:tcW w:w="1843" w:type="dxa"/>
            <w:vAlign w:val="center"/>
          </w:tcPr>
          <w:p>
            <w:pPr>
              <w:spacing w:line="300" w:lineRule="exact"/>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70</w:t>
            </w:r>
          </w:p>
        </w:tc>
        <w:tc>
          <w:tcPr>
            <w:tcW w:w="1565" w:type="dxa"/>
            <w:vAlign w:val="center"/>
          </w:tcPr>
          <w:p>
            <w:pPr>
              <w:spacing w:line="300" w:lineRule="exact"/>
              <w:jc w:val="center"/>
              <w:rPr>
                <w:rFonts w:ascii="Times New Roman" w:hAnsi="Times New Roman" w:eastAsia="宋体" w:cs="Times New Roman"/>
                <w:color w:val="auto"/>
                <w:kern w:val="2"/>
                <w:sz w:val="21"/>
                <w:szCs w:val="21"/>
                <w:lang w:val="en-US" w:eastAsia="zh-CN" w:bidi="ar-SA"/>
              </w:rPr>
            </w:pPr>
            <w:r>
              <w:rPr>
                <w:rFonts w:ascii="Times New Roman" w:hAnsi="Times New Roman"/>
                <w:bCs/>
                <w:color w:val="auto"/>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1590" w:type="dxa"/>
            <w:vMerge w:val="continue"/>
            <w:tcBorders/>
            <w:vAlign w:val="center"/>
          </w:tcPr>
          <w:p>
            <w:pPr>
              <w:spacing w:line="300" w:lineRule="exact"/>
              <w:jc w:val="center"/>
              <w:rPr>
                <w:rFonts w:ascii="Times New Roman" w:hAnsi="Times New Roman"/>
                <w:bCs/>
                <w:color w:val="auto"/>
                <w:szCs w:val="21"/>
              </w:rPr>
            </w:pPr>
          </w:p>
        </w:tc>
        <w:tc>
          <w:tcPr>
            <w:tcW w:w="2101" w:type="dxa"/>
            <w:vMerge w:val="continue"/>
            <w:tcBorders/>
            <w:vAlign w:val="center"/>
          </w:tcPr>
          <w:p>
            <w:pPr>
              <w:spacing w:line="300" w:lineRule="exact"/>
              <w:jc w:val="center"/>
              <w:rPr>
                <w:rFonts w:ascii="Times New Roman" w:hAnsi="Times New Roman"/>
                <w:color w:val="auto"/>
                <w:szCs w:val="21"/>
              </w:rPr>
            </w:pPr>
          </w:p>
        </w:tc>
        <w:tc>
          <w:tcPr>
            <w:tcW w:w="1405" w:type="dxa"/>
            <w:vAlign w:val="center"/>
          </w:tcPr>
          <w:p>
            <w:pPr>
              <w:spacing w:line="300" w:lineRule="exact"/>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color w:val="auto"/>
                <w:szCs w:val="21"/>
              </w:rPr>
              <w:t>夜间</w:t>
            </w:r>
          </w:p>
        </w:tc>
        <w:tc>
          <w:tcPr>
            <w:tcW w:w="1843" w:type="dxa"/>
            <w:vAlign w:val="center"/>
          </w:tcPr>
          <w:p>
            <w:pPr>
              <w:spacing w:line="300" w:lineRule="exact"/>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55</w:t>
            </w:r>
          </w:p>
        </w:tc>
        <w:tc>
          <w:tcPr>
            <w:tcW w:w="1565" w:type="dxa"/>
            <w:vAlign w:val="center"/>
          </w:tcPr>
          <w:p>
            <w:pPr>
              <w:spacing w:line="300" w:lineRule="exact"/>
              <w:jc w:val="center"/>
              <w:rPr>
                <w:rFonts w:ascii="Times New Roman" w:hAnsi="Times New Roman" w:eastAsia="宋体" w:cs="Times New Roman"/>
                <w:bCs/>
                <w:color w:val="auto"/>
                <w:kern w:val="2"/>
                <w:sz w:val="21"/>
                <w:szCs w:val="21"/>
                <w:lang w:val="en-US" w:eastAsia="zh-CN" w:bidi="ar-SA"/>
              </w:rPr>
            </w:pPr>
            <w:r>
              <w:rPr>
                <w:rFonts w:ascii="Times New Roman" w:hAnsi="Times New Roman"/>
                <w:bCs/>
                <w:color w:val="auto"/>
                <w:szCs w:val="21"/>
              </w:rPr>
              <w:t>dB(A)</w:t>
            </w:r>
          </w:p>
        </w:tc>
      </w:tr>
    </w:tbl>
    <w:p>
      <w:pPr>
        <w:pStyle w:val="6"/>
        <w:rPr>
          <w:rFonts w:ascii="Times New Roman" w:hAnsi="Times New Roman"/>
          <w:color w:val="auto"/>
        </w:rPr>
      </w:pPr>
      <w:bookmarkStart w:id="218" w:name="_Toc14398"/>
      <w:bookmarkStart w:id="219" w:name="_Toc18932"/>
      <w:bookmarkStart w:id="220" w:name="_Toc497001478"/>
      <w:bookmarkStart w:id="221" w:name="_Toc16968"/>
      <w:bookmarkStart w:id="222" w:name="_Toc26833"/>
      <w:r>
        <w:rPr>
          <w:rFonts w:ascii="Times New Roman" w:hAnsi="Times New Roman"/>
          <w:color w:val="auto"/>
        </w:rPr>
        <w:t xml:space="preserve">5.2 </w:t>
      </w:r>
      <w:r>
        <w:rPr>
          <w:rFonts w:hint="eastAsia" w:ascii="Times New Roman" w:hAnsi="Times New Roman"/>
          <w:color w:val="auto"/>
        </w:rPr>
        <w:t>总量控制指标</w:t>
      </w:r>
      <w:bookmarkEnd w:id="218"/>
      <w:bookmarkEnd w:id="219"/>
      <w:bookmarkEnd w:id="220"/>
      <w:bookmarkEnd w:id="221"/>
    </w:p>
    <w:p>
      <w:pPr>
        <w:spacing w:line="480" w:lineRule="atLeast"/>
        <w:ind w:firstLine="480" w:firstLineChars="200"/>
        <w:rPr>
          <w:rFonts w:ascii="Times New Roman" w:hAnsi="Times New Roman"/>
          <w:color w:val="auto"/>
        </w:rPr>
      </w:pPr>
      <w:r>
        <w:rPr>
          <w:rFonts w:hint="eastAsia" w:ascii="Times New Roman" w:hAnsi="Times New Roman"/>
          <w:color w:val="auto"/>
          <w:sz w:val="24"/>
        </w:rPr>
        <w:t>根据《“十二五”主要污染物总量控制规划编制指南》的通知（环办[2010] 97号），“十二五”期间国家对COD、氨氮、氮氧化物、SO</w:t>
      </w:r>
      <w:r>
        <w:rPr>
          <w:rFonts w:hint="eastAsia" w:ascii="Times New Roman" w:hAnsi="Times New Roman"/>
          <w:color w:val="auto"/>
          <w:sz w:val="24"/>
          <w:vertAlign w:val="subscript"/>
        </w:rPr>
        <w:t>2</w:t>
      </w:r>
      <w:r>
        <w:rPr>
          <w:rFonts w:hint="eastAsia" w:ascii="Times New Roman" w:hAnsi="Times New Roman"/>
          <w:color w:val="auto"/>
          <w:sz w:val="24"/>
        </w:rPr>
        <w:t>四种主要污染物实施国家总量控制。结合本项目特点及排污特征，本项目不涉及COD、氨氮、氮氧化物、SO</w:t>
      </w:r>
      <w:r>
        <w:rPr>
          <w:rFonts w:hint="eastAsia" w:ascii="Times New Roman" w:hAnsi="Times New Roman"/>
          <w:color w:val="auto"/>
          <w:sz w:val="24"/>
          <w:vertAlign w:val="subscript"/>
        </w:rPr>
        <w:t>2</w:t>
      </w:r>
      <w:r>
        <w:rPr>
          <w:rFonts w:hint="eastAsia" w:ascii="Times New Roman" w:hAnsi="Times New Roman"/>
          <w:color w:val="auto"/>
          <w:sz w:val="24"/>
        </w:rPr>
        <w:t>的排放</w:t>
      </w:r>
    </w:p>
    <w:p>
      <w:pPr>
        <w:pStyle w:val="5"/>
        <w:spacing w:before="156" w:beforeLines="50"/>
        <w:rPr>
          <w:rFonts w:ascii="Times New Roman" w:hAnsi="Times New Roman"/>
          <w:color w:val="auto"/>
        </w:rPr>
      </w:pPr>
      <w:r>
        <w:rPr>
          <w:rFonts w:ascii="Times New Roman" w:hAnsi="Times New Roman"/>
          <w:color w:val="FF0000"/>
        </w:rPr>
        <w:br w:type="page"/>
      </w:r>
      <w:bookmarkStart w:id="223" w:name="_Toc15883"/>
      <w:bookmarkStart w:id="224" w:name="_Toc23350"/>
      <w:bookmarkStart w:id="225" w:name="_Toc12999"/>
      <w:r>
        <w:rPr>
          <w:rFonts w:ascii="Times New Roman" w:hAnsi="Times New Roman"/>
          <w:color w:val="auto"/>
        </w:rPr>
        <w:t>6 质量保障措施和检测分析方法</w:t>
      </w:r>
      <w:bookmarkEnd w:id="222"/>
      <w:bookmarkEnd w:id="223"/>
      <w:bookmarkEnd w:id="224"/>
      <w:bookmarkEnd w:id="225"/>
    </w:p>
    <w:p>
      <w:pPr>
        <w:spacing w:line="44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val="en-US" w:eastAsia="zh-CN"/>
        </w:rPr>
        <w:t>河北沐阳环境科技有限公司</w:t>
      </w:r>
      <w:r>
        <w:rPr>
          <w:rFonts w:ascii="Times New Roman" w:hAnsi="Times New Roman"/>
          <w:color w:val="auto"/>
          <w:sz w:val="24"/>
          <w:szCs w:val="24"/>
        </w:rPr>
        <w:t>于20</w:t>
      </w:r>
      <w:r>
        <w:rPr>
          <w:rFonts w:hint="eastAsia" w:ascii="Times New Roman" w:hAnsi="Times New Roman"/>
          <w:color w:val="auto"/>
          <w:sz w:val="24"/>
          <w:szCs w:val="24"/>
          <w:lang w:val="en-US" w:eastAsia="zh-CN"/>
        </w:rPr>
        <w:t>20</w:t>
      </w:r>
      <w:r>
        <w:rPr>
          <w:rFonts w:ascii="Times New Roman" w:hAnsi="Times New Roman"/>
          <w:color w:val="auto"/>
          <w:sz w:val="24"/>
          <w:szCs w:val="24"/>
        </w:rPr>
        <w:t>年</w:t>
      </w:r>
      <w:r>
        <w:rPr>
          <w:rFonts w:hint="eastAsia" w:ascii="Times New Roman" w:hAnsi="Times New Roman"/>
          <w:color w:val="auto"/>
          <w:sz w:val="24"/>
          <w:szCs w:val="24"/>
          <w:lang w:val="en-US" w:eastAsia="zh-CN"/>
        </w:rPr>
        <w:t>5</w:t>
      </w:r>
      <w:r>
        <w:rPr>
          <w:rFonts w:ascii="Times New Roman" w:hAnsi="Times New Roman"/>
          <w:color w:val="auto"/>
          <w:sz w:val="24"/>
          <w:szCs w:val="24"/>
        </w:rPr>
        <w:t>月2</w:t>
      </w:r>
      <w:r>
        <w:rPr>
          <w:rFonts w:hint="eastAsia" w:ascii="Times New Roman" w:hAnsi="Times New Roman"/>
          <w:color w:val="auto"/>
          <w:sz w:val="24"/>
          <w:szCs w:val="24"/>
          <w:lang w:val="en-US" w:eastAsia="zh-CN"/>
        </w:rPr>
        <w:t>0</w:t>
      </w:r>
      <w:r>
        <w:rPr>
          <w:rFonts w:ascii="Times New Roman" w:hAnsi="Times New Roman"/>
          <w:color w:val="auto"/>
          <w:sz w:val="24"/>
          <w:szCs w:val="24"/>
        </w:rPr>
        <w:t>日至</w:t>
      </w:r>
      <w:r>
        <w:rPr>
          <w:rFonts w:hint="eastAsia" w:ascii="Times New Roman" w:hAnsi="Times New Roman"/>
          <w:color w:val="auto"/>
          <w:sz w:val="24"/>
          <w:szCs w:val="24"/>
          <w:lang w:val="en-US" w:eastAsia="zh-CN"/>
        </w:rPr>
        <w:t>21</w:t>
      </w:r>
      <w:r>
        <w:rPr>
          <w:rFonts w:ascii="Times New Roman" w:hAnsi="Times New Roman"/>
          <w:color w:val="auto"/>
          <w:sz w:val="24"/>
          <w:szCs w:val="24"/>
        </w:rPr>
        <w:t>日进行了竣工验收检测并出具检测报告。</w:t>
      </w:r>
      <w:r>
        <w:rPr>
          <w:rFonts w:hint="eastAsia" w:ascii="Times New Roman" w:hAnsi="Times New Roman"/>
          <w:color w:val="auto"/>
          <w:sz w:val="24"/>
          <w:szCs w:val="24"/>
        </w:rPr>
        <w:t>检</w:t>
      </w:r>
      <w:r>
        <w:rPr>
          <w:rFonts w:ascii="Times New Roman" w:hAnsi="Times New Roman"/>
          <w:color w:val="auto"/>
          <w:sz w:val="24"/>
          <w:szCs w:val="24"/>
        </w:rPr>
        <w:t>测期间，企业生产负荷为</w:t>
      </w:r>
      <w:r>
        <w:rPr>
          <w:rFonts w:hint="eastAsia" w:ascii="Times New Roman" w:hAnsi="Times New Roman"/>
          <w:color w:val="auto"/>
          <w:sz w:val="24"/>
          <w:szCs w:val="24"/>
          <w:lang w:val="en-US" w:eastAsia="zh-CN"/>
        </w:rPr>
        <w:t>90</w:t>
      </w:r>
      <w:r>
        <w:rPr>
          <w:rFonts w:ascii="Times New Roman" w:hAnsi="Times New Roman"/>
          <w:color w:val="auto"/>
          <w:sz w:val="24"/>
          <w:szCs w:val="24"/>
        </w:rPr>
        <w:t>%，满足环保验收检测技术要求。</w:t>
      </w:r>
    </w:p>
    <w:p>
      <w:pPr>
        <w:pStyle w:val="6"/>
        <w:spacing w:before="156" w:beforeLines="50"/>
        <w:rPr>
          <w:rFonts w:ascii="Times New Roman" w:hAnsi="Times New Roman"/>
          <w:color w:val="auto"/>
        </w:rPr>
      </w:pPr>
      <w:bookmarkStart w:id="226" w:name="_Toc28206"/>
      <w:bookmarkStart w:id="227" w:name="_Toc3129"/>
      <w:bookmarkStart w:id="228" w:name="_Toc18061"/>
      <w:bookmarkStart w:id="229" w:name="_Toc11783"/>
      <w:r>
        <w:rPr>
          <w:rFonts w:ascii="Times New Roman" w:hAnsi="Times New Roman"/>
          <w:color w:val="auto"/>
        </w:rPr>
        <w:t>6.1 质量保障体系</w:t>
      </w:r>
      <w:bookmarkEnd w:id="226"/>
      <w:bookmarkEnd w:id="227"/>
      <w:bookmarkEnd w:id="228"/>
      <w:bookmarkEnd w:id="229"/>
    </w:p>
    <w:p>
      <w:pPr>
        <w:spacing w:line="440" w:lineRule="atLeast"/>
        <w:ind w:firstLine="480" w:firstLineChars="200"/>
        <w:rPr>
          <w:rFonts w:ascii="Times New Roman" w:hAnsi="Times New Roman"/>
          <w:color w:val="auto"/>
          <w:sz w:val="24"/>
        </w:rPr>
      </w:pPr>
      <w:bookmarkStart w:id="230" w:name="_Toc349134675"/>
      <w:r>
        <w:rPr>
          <w:rFonts w:ascii="Times New Roman" w:hAnsi="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ascii="Times New Roman" w:hAnsi="Times New Roman"/>
          <w:color w:val="auto"/>
          <w:sz w:val="24"/>
        </w:rPr>
      </w:pPr>
      <w:r>
        <w:rPr>
          <w:rFonts w:ascii="Times New Roman" w:hAnsi="Times New Roman"/>
          <w:color w:val="auto"/>
          <w:sz w:val="24"/>
        </w:rPr>
        <w:t>（2）参加本项目检测人员均持证上岗，检测仪器均经计量部门检定合格并在有效期内。</w:t>
      </w:r>
    </w:p>
    <w:p>
      <w:pPr>
        <w:spacing w:line="440" w:lineRule="atLeast"/>
        <w:ind w:firstLine="480" w:firstLineChars="200"/>
        <w:rPr>
          <w:rFonts w:ascii="Times New Roman" w:hAnsi="Times New Roman"/>
          <w:color w:val="auto"/>
          <w:sz w:val="24"/>
        </w:rPr>
      </w:pPr>
      <w:r>
        <w:rPr>
          <w:rFonts w:ascii="Times New Roman" w:hAnsi="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4</w:t>
      </w:r>
      <w:r>
        <w:rPr>
          <w:rFonts w:ascii="Times New Roman" w:hAnsi="Times New Roman"/>
          <w:color w:val="auto"/>
          <w:sz w:val="24"/>
        </w:rPr>
        <w:t>）声级计测量前后均经标准声源校准且合格，测试时无雨雪，无雷电，风速小于5.0m/s。</w:t>
      </w:r>
    </w:p>
    <w:p>
      <w:pPr>
        <w:spacing w:line="440" w:lineRule="atLeast"/>
        <w:ind w:firstLine="480" w:firstLineChars="200"/>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rPr>
        <w:t>5</w:t>
      </w:r>
      <w:r>
        <w:rPr>
          <w:rFonts w:ascii="Times New Roman" w:hAnsi="Times New Roman"/>
          <w:color w:val="auto"/>
          <w:sz w:val="24"/>
        </w:rPr>
        <w:t>）检测数据严格执行三级审核制度。</w:t>
      </w:r>
      <w:bookmarkEnd w:id="230"/>
    </w:p>
    <w:p>
      <w:pPr>
        <w:pStyle w:val="6"/>
        <w:spacing w:before="156" w:beforeLines="50"/>
        <w:rPr>
          <w:rFonts w:ascii="Times New Roman" w:hAnsi="Times New Roman"/>
          <w:color w:val="auto"/>
        </w:rPr>
      </w:pPr>
      <w:bookmarkStart w:id="231" w:name="_Toc3676"/>
      <w:bookmarkStart w:id="232" w:name="_Toc8128"/>
      <w:bookmarkStart w:id="233" w:name="_Toc1077"/>
      <w:bookmarkStart w:id="234" w:name="_Toc32733"/>
      <w:r>
        <w:rPr>
          <w:rFonts w:ascii="Times New Roman" w:hAnsi="Times New Roman"/>
          <w:color w:val="auto"/>
        </w:rPr>
        <w:t>6.2 检测分析方法</w:t>
      </w:r>
      <w:bookmarkEnd w:id="231"/>
      <w:bookmarkEnd w:id="232"/>
      <w:bookmarkEnd w:id="233"/>
      <w:bookmarkEnd w:id="234"/>
    </w:p>
    <w:p>
      <w:pPr>
        <w:pStyle w:val="7"/>
        <w:spacing w:after="156" w:afterLines="50"/>
        <w:rPr>
          <w:rFonts w:ascii="Times New Roman" w:hAnsi="Times New Roman"/>
          <w:color w:val="auto"/>
        </w:rPr>
      </w:pPr>
      <w:bookmarkStart w:id="235" w:name="_Toc6111"/>
      <w:bookmarkStart w:id="236" w:name="_Toc4984"/>
      <w:bookmarkStart w:id="237" w:name="_Toc32561"/>
      <w:bookmarkStart w:id="238" w:name="_Toc25471"/>
      <w:bookmarkStart w:id="239" w:name="_Toc497001482"/>
      <w:r>
        <w:rPr>
          <w:rFonts w:ascii="Times New Roman" w:hAnsi="Times New Roman"/>
          <w:color w:val="auto"/>
        </w:rPr>
        <w:t>6.2.1 检测点位、项目及频次</w:t>
      </w:r>
      <w:bookmarkEnd w:id="235"/>
      <w:bookmarkEnd w:id="236"/>
      <w:bookmarkEnd w:id="237"/>
      <w:bookmarkEnd w:id="238"/>
      <w:bookmarkEnd w:id="239"/>
    </w:p>
    <w:p>
      <w:pPr>
        <w:spacing w:line="400" w:lineRule="atLeast"/>
        <w:ind w:firstLine="480" w:firstLineChars="200"/>
        <w:rPr>
          <w:rFonts w:ascii="Times New Roman" w:hAnsi="Times New Roman"/>
          <w:color w:val="auto"/>
          <w:sz w:val="24"/>
        </w:rPr>
      </w:pPr>
      <w:r>
        <w:rPr>
          <w:rFonts w:ascii="Times New Roman" w:hAnsi="Times New Roman"/>
          <w:color w:val="auto"/>
          <w:sz w:val="24"/>
        </w:rPr>
        <w:t>①废气排放检测</w:t>
      </w:r>
    </w:p>
    <w:p>
      <w:pPr>
        <w:spacing w:before="156" w:beforeLines="50" w:line="360" w:lineRule="auto"/>
        <w:jc w:val="center"/>
        <w:rPr>
          <w:rFonts w:ascii="Times New Roman" w:hAnsi="Times New Roman"/>
          <w:b/>
          <w:color w:val="auto"/>
          <w:sz w:val="24"/>
          <w:szCs w:val="24"/>
        </w:rPr>
      </w:pPr>
      <w:r>
        <w:rPr>
          <w:rFonts w:ascii="Times New Roman" w:hAnsi="Times New Roman"/>
          <w:b/>
          <w:color w:val="auto"/>
          <w:sz w:val="24"/>
          <w:szCs w:val="24"/>
        </w:rPr>
        <w:t>表6-</w:t>
      </w:r>
      <w:r>
        <w:rPr>
          <w:rFonts w:hint="eastAsia" w:ascii="Times New Roman" w:hAnsi="Times New Roman"/>
          <w:b/>
          <w:color w:val="auto"/>
          <w:sz w:val="24"/>
          <w:szCs w:val="24"/>
        </w:rPr>
        <w:t>2</w:t>
      </w:r>
      <w:r>
        <w:rPr>
          <w:rFonts w:ascii="Times New Roman" w:hAnsi="Times New Roman"/>
          <w:b/>
          <w:color w:val="auto"/>
          <w:sz w:val="24"/>
          <w:szCs w:val="24"/>
        </w:rPr>
        <w:t xml:space="preserve">  废气检测点位、项目及频次</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8"/>
        <w:gridCol w:w="2607"/>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607"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599" w:type="dxa"/>
            <w:vAlign w:val="center"/>
          </w:tcPr>
          <w:p>
            <w:pPr>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left="-107" w:leftChars="-51" w:right="-107" w:rightChars="-51"/>
              <w:jc w:val="center"/>
              <w:rPr>
                <w:rFonts w:hint="eastAsia" w:ascii="Times New Roman" w:hAnsi="Times New Roman"/>
                <w:color w:val="auto"/>
                <w:szCs w:val="21"/>
              </w:rPr>
            </w:pPr>
            <w:r>
              <w:rPr>
                <w:rFonts w:hint="eastAsia" w:ascii="Times New Roman" w:hAnsi="Times New Roman"/>
                <w:color w:val="auto"/>
                <w:szCs w:val="21"/>
                <w:lang w:val="en-US" w:eastAsia="zh-CN"/>
              </w:rPr>
              <w:t>有组织</w:t>
            </w:r>
            <w:r>
              <w:rPr>
                <w:rFonts w:ascii="Times New Roman" w:hAnsi="Times New Roman"/>
                <w:color w:val="auto"/>
                <w:szCs w:val="21"/>
              </w:rPr>
              <w:t>废气处理设施出口检测口</w:t>
            </w:r>
          </w:p>
        </w:tc>
        <w:tc>
          <w:tcPr>
            <w:tcW w:w="2607" w:type="dxa"/>
            <w:vAlign w:val="center"/>
          </w:tcPr>
          <w:p>
            <w:pPr>
              <w:ind w:right="139" w:rightChars="66"/>
              <w:jc w:val="center"/>
              <w:rPr>
                <w:rFonts w:hint="eastAsia" w:ascii="Times New Roman" w:hAnsi="Times New Roman"/>
                <w:color w:val="auto"/>
                <w:szCs w:val="21"/>
              </w:rPr>
            </w:pPr>
            <w:r>
              <w:rPr>
                <w:rFonts w:hint="eastAsia" w:ascii="Times New Roman" w:hAnsi="Times New Roman"/>
                <w:color w:val="auto"/>
                <w:szCs w:val="21"/>
              </w:rPr>
              <w:t>颗粒物</w:t>
            </w:r>
          </w:p>
        </w:tc>
        <w:tc>
          <w:tcPr>
            <w:tcW w:w="2599" w:type="dxa"/>
            <w:vAlign w:val="center"/>
          </w:tcPr>
          <w:p>
            <w:pPr>
              <w:ind w:right="139" w:rightChars="66"/>
              <w:jc w:val="center"/>
              <w:rPr>
                <w:rFonts w:hint="eastAsia" w:ascii="Times New Roman" w:hAnsi="Times New Roman"/>
                <w:color w:val="auto"/>
                <w:kern w:val="0"/>
                <w:szCs w:val="21"/>
              </w:rPr>
            </w:pPr>
            <w:r>
              <w:rPr>
                <w:rFonts w:hint="eastAsia" w:ascii="Times New Roman" w:hAnsi="Times New Roman"/>
                <w:color w:val="auto"/>
                <w:kern w:val="0"/>
                <w:szCs w:val="21"/>
                <w:lang w:val="en-US" w:eastAsia="zh-CN"/>
              </w:rPr>
              <w:t>检</w:t>
            </w:r>
            <w:r>
              <w:rPr>
                <w:rFonts w:hint="eastAsia" w:ascii="Times New Roman" w:hAnsi="Times New Roman"/>
                <w:color w:val="auto"/>
                <w:kern w:val="0"/>
                <w:szCs w:val="21"/>
              </w:rPr>
              <w:t>测2天，每天监测3次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298" w:type="dxa"/>
            <w:vAlign w:val="center"/>
          </w:tcPr>
          <w:p>
            <w:pPr>
              <w:ind w:left="-107" w:leftChars="-51" w:right="-107" w:rightChars="-51"/>
              <w:jc w:val="center"/>
              <w:rPr>
                <w:rFonts w:hint="eastAsia" w:ascii="Times New Roman" w:hAnsi="Times New Roman"/>
                <w:color w:val="auto"/>
                <w:szCs w:val="21"/>
              </w:rPr>
            </w:pPr>
            <w:r>
              <w:rPr>
                <w:rFonts w:hint="eastAsia" w:ascii="Times New Roman" w:hAnsi="Times New Roman"/>
                <w:color w:val="auto"/>
                <w:szCs w:val="21"/>
              </w:rPr>
              <w:t>厂界无组织废气（上风向1个点位，下风向3个点位）</w:t>
            </w:r>
          </w:p>
        </w:tc>
        <w:tc>
          <w:tcPr>
            <w:tcW w:w="2607" w:type="dxa"/>
            <w:vAlign w:val="center"/>
          </w:tcPr>
          <w:p>
            <w:pPr>
              <w:ind w:right="139" w:rightChars="66"/>
              <w:jc w:val="center"/>
              <w:rPr>
                <w:rFonts w:hint="eastAsia" w:ascii="Times New Roman" w:hAnsi="Times New Roman"/>
                <w:color w:val="auto"/>
                <w:szCs w:val="21"/>
              </w:rPr>
            </w:pPr>
            <w:r>
              <w:rPr>
                <w:rFonts w:hint="eastAsia" w:ascii="Times New Roman" w:hAnsi="Times New Roman"/>
                <w:color w:val="auto"/>
                <w:szCs w:val="21"/>
              </w:rPr>
              <w:t>颗粒物</w:t>
            </w:r>
          </w:p>
        </w:tc>
        <w:tc>
          <w:tcPr>
            <w:tcW w:w="2599" w:type="dxa"/>
            <w:vAlign w:val="center"/>
          </w:tcPr>
          <w:p>
            <w:pPr>
              <w:ind w:right="139" w:rightChars="66"/>
              <w:jc w:val="center"/>
              <w:rPr>
                <w:rFonts w:hint="eastAsia" w:ascii="Times New Roman" w:hAnsi="Times New Roman"/>
                <w:color w:val="auto"/>
                <w:kern w:val="0"/>
                <w:szCs w:val="21"/>
              </w:rPr>
            </w:pPr>
            <w:r>
              <w:rPr>
                <w:rFonts w:hint="eastAsia" w:ascii="Times New Roman" w:hAnsi="Times New Roman"/>
                <w:color w:val="auto"/>
                <w:kern w:val="0"/>
                <w:szCs w:val="21"/>
                <w:lang w:val="en-US" w:eastAsia="zh-CN"/>
              </w:rPr>
              <w:t>检</w:t>
            </w:r>
            <w:r>
              <w:rPr>
                <w:rFonts w:ascii="Times New Roman" w:hAnsi="Times New Roman"/>
                <w:color w:val="auto"/>
                <w:kern w:val="0"/>
                <w:szCs w:val="21"/>
              </w:rPr>
              <w:t>测2天，每天</w:t>
            </w:r>
            <w:r>
              <w:rPr>
                <w:rFonts w:hint="eastAsia" w:ascii="Times New Roman" w:hAnsi="Times New Roman"/>
                <w:color w:val="auto"/>
                <w:kern w:val="0"/>
                <w:szCs w:val="21"/>
              </w:rPr>
              <w:t>监</w:t>
            </w:r>
            <w:r>
              <w:rPr>
                <w:rFonts w:ascii="Times New Roman" w:hAnsi="Times New Roman"/>
                <w:color w:val="auto"/>
                <w:kern w:val="0"/>
                <w:szCs w:val="21"/>
              </w:rPr>
              <w:t>测4次</w:t>
            </w:r>
          </w:p>
        </w:tc>
      </w:tr>
    </w:tbl>
    <w:p>
      <w:pPr>
        <w:spacing w:before="156" w:beforeLines="50" w:after="156" w:afterLines="50" w:line="400" w:lineRule="atLeast"/>
        <w:ind w:firstLine="480" w:firstLineChars="200"/>
        <w:rPr>
          <w:rFonts w:ascii="Times New Roman" w:hAnsi="Times New Roman"/>
          <w:color w:val="auto"/>
          <w:sz w:val="24"/>
        </w:rPr>
      </w:pPr>
      <w:r>
        <w:rPr>
          <w:rFonts w:ascii="Times New Roman" w:hAnsi="Times New Roman"/>
          <w:color w:val="auto"/>
          <w:sz w:val="24"/>
        </w:rPr>
        <w:t>②噪声检测</w:t>
      </w:r>
    </w:p>
    <w:p>
      <w:pPr>
        <w:spacing w:line="400" w:lineRule="atLeast"/>
        <w:ind w:firstLine="482" w:firstLineChars="200"/>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3</w:t>
      </w:r>
      <w:r>
        <w:rPr>
          <w:rFonts w:ascii="Times New Roman" w:hAnsi="Times New Roman"/>
          <w:b/>
          <w:color w:val="auto"/>
          <w:sz w:val="24"/>
        </w:rPr>
        <w:t xml:space="preserve">  噪声检测点位、项目及频次</w:t>
      </w:r>
    </w:p>
    <w:tbl>
      <w:tblPr>
        <w:tblStyle w:val="19"/>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检测位置</w:t>
            </w:r>
          </w:p>
        </w:tc>
        <w:tc>
          <w:tcPr>
            <w:tcW w:w="2328"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检测内容</w:t>
            </w:r>
          </w:p>
        </w:tc>
        <w:tc>
          <w:tcPr>
            <w:tcW w:w="2764" w:type="dxa"/>
            <w:vAlign w:val="center"/>
          </w:tcPr>
          <w:p>
            <w:pPr>
              <w:spacing w:line="360" w:lineRule="auto"/>
              <w:ind w:right="139" w:rightChars="66"/>
              <w:jc w:val="center"/>
              <w:rPr>
                <w:rFonts w:ascii="Times New Roman" w:hAnsi="Times New Roman"/>
                <w:b/>
                <w:color w:val="auto"/>
                <w:kern w:val="0"/>
                <w:szCs w:val="21"/>
              </w:rPr>
            </w:pPr>
            <w:r>
              <w:rPr>
                <w:rFonts w:ascii="Times New Roman" w:hAnsi="Times New Roman"/>
                <w:b/>
                <w:color w:val="auto"/>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3447" w:type="dxa"/>
            <w:vAlign w:val="center"/>
          </w:tcPr>
          <w:p>
            <w:pPr>
              <w:spacing w:line="240" w:lineRule="exact"/>
              <w:ind w:left="-107" w:leftChars="-51" w:right="-107" w:rightChars="-51"/>
              <w:jc w:val="center"/>
              <w:rPr>
                <w:rFonts w:ascii="Times New Roman" w:hAnsi="Times New Roman"/>
                <w:color w:val="auto"/>
              </w:rPr>
            </w:pPr>
            <w:r>
              <w:rPr>
                <w:rFonts w:ascii="Times New Roman" w:hAnsi="Times New Roman"/>
                <w:color w:val="auto"/>
              </w:rPr>
              <w:t>厂界四周每个方向各布1个监测点</w:t>
            </w:r>
          </w:p>
        </w:tc>
        <w:tc>
          <w:tcPr>
            <w:tcW w:w="2328" w:type="dxa"/>
            <w:vAlign w:val="center"/>
          </w:tcPr>
          <w:p>
            <w:pPr>
              <w:ind w:right="139" w:rightChars="66"/>
              <w:jc w:val="center"/>
              <w:rPr>
                <w:rFonts w:ascii="Times New Roman" w:hAnsi="Times New Roman"/>
                <w:color w:val="auto"/>
                <w:szCs w:val="21"/>
              </w:rPr>
            </w:pPr>
            <w:r>
              <w:rPr>
                <w:rFonts w:ascii="Times New Roman" w:hAnsi="Times New Roman"/>
                <w:color w:val="auto"/>
                <w:szCs w:val="21"/>
              </w:rPr>
              <w:t>连续等效A声级，Leq(A)</w:t>
            </w:r>
          </w:p>
        </w:tc>
        <w:tc>
          <w:tcPr>
            <w:tcW w:w="2764" w:type="dxa"/>
            <w:vAlign w:val="center"/>
          </w:tcPr>
          <w:p>
            <w:pPr>
              <w:spacing w:line="360" w:lineRule="auto"/>
              <w:ind w:left="-107" w:leftChars="-51" w:right="-120" w:rightChars="-57"/>
              <w:jc w:val="center"/>
              <w:rPr>
                <w:rFonts w:ascii="Times New Roman" w:hAnsi="Times New Roman"/>
                <w:color w:val="auto"/>
                <w:kern w:val="0"/>
                <w:szCs w:val="21"/>
              </w:rPr>
            </w:pPr>
            <w:r>
              <w:rPr>
                <w:rFonts w:ascii="Times New Roman" w:hAnsi="Times New Roman"/>
                <w:color w:val="auto"/>
                <w:kern w:val="0"/>
                <w:szCs w:val="21"/>
              </w:rPr>
              <w:t>检测2天，昼</w:t>
            </w:r>
            <w:r>
              <w:rPr>
                <w:rFonts w:hint="eastAsia" w:ascii="Times New Roman" w:hAnsi="Times New Roman"/>
                <w:color w:val="auto"/>
                <w:kern w:val="0"/>
                <w:szCs w:val="21"/>
              </w:rPr>
              <w:t>间</w:t>
            </w:r>
            <w:r>
              <w:rPr>
                <w:rFonts w:ascii="Times New Roman" w:hAnsi="Times New Roman"/>
                <w:color w:val="auto"/>
                <w:kern w:val="0"/>
                <w:szCs w:val="21"/>
              </w:rPr>
              <w:t>检测1次</w:t>
            </w:r>
          </w:p>
        </w:tc>
      </w:tr>
    </w:tbl>
    <w:p>
      <w:pPr>
        <w:pStyle w:val="7"/>
        <w:spacing w:before="156" w:beforeLines="50" w:after="156" w:afterLines="50"/>
        <w:rPr>
          <w:rFonts w:ascii="Times New Roman" w:hAnsi="Times New Roman"/>
          <w:color w:val="auto"/>
        </w:rPr>
      </w:pPr>
      <w:bookmarkStart w:id="240" w:name="_Toc497001483"/>
      <w:bookmarkStart w:id="241" w:name="_Toc8755"/>
      <w:bookmarkStart w:id="242" w:name="_Toc20260"/>
      <w:bookmarkStart w:id="243" w:name="_Toc17272"/>
      <w:bookmarkStart w:id="244" w:name="_Toc26262"/>
      <w:r>
        <w:rPr>
          <w:rFonts w:ascii="Times New Roman" w:hAnsi="Times New Roman"/>
          <w:color w:val="auto"/>
        </w:rPr>
        <w:t>6.2.2检测分析方法</w:t>
      </w:r>
      <w:bookmarkEnd w:id="240"/>
      <w:bookmarkEnd w:id="241"/>
      <w:bookmarkEnd w:id="242"/>
      <w:bookmarkEnd w:id="243"/>
      <w:bookmarkEnd w:id="244"/>
    </w:p>
    <w:p>
      <w:pPr>
        <w:spacing w:line="400" w:lineRule="atLeast"/>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4</w:t>
      </w:r>
      <w:r>
        <w:rPr>
          <w:rFonts w:ascii="Times New Roman" w:hAnsi="Times New Roman"/>
          <w:b/>
          <w:color w:val="auto"/>
          <w:sz w:val="24"/>
        </w:rPr>
        <w:t xml:space="preserve">  废气检测项目分析方法及所用仪器</w:t>
      </w:r>
    </w:p>
    <w:tbl>
      <w:tblPr>
        <w:tblStyle w:val="19"/>
        <w:tblpPr w:leftFromText="180" w:rightFromText="180" w:vertAnchor="text" w:horzAnchor="page" w:tblpXSpec="center" w:tblpY="83"/>
        <w:tblW w:w="86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5"/>
        <w:gridCol w:w="1096"/>
        <w:gridCol w:w="2631"/>
        <w:gridCol w:w="3011"/>
        <w:gridCol w:w="15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395" w:type="dxa"/>
            <w:vAlign w:val="center"/>
          </w:tcPr>
          <w:p>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序号</w:t>
            </w:r>
          </w:p>
        </w:tc>
        <w:tc>
          <w:tcPr>
            <w:tcW w:w="1096" w:type="dxa"/>
            <w:vAlign w:val="center"/>
          </w:tcPr>
          <w:p>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项目名称</w:t>
            </w:r>
          </w:p>
        </w:tc>
        <w:tc>
          <w:tcPr>
            <w:tcW w:w="2631" w:type="dxa"/>
            <w:vAlign w:val="center"/>
          </w:tcPr>
          <w:p>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分析方法及国标代号</w:t>
            </w:r>
          </w:p>
        </w:tc>
        <w:tc>
          <w:tcPr>
            <w:tcW w:w="3011" w:type="dxa"/>
            <w:vAlign w:val="center"/>
          </w:tcPr>
          <w:p>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仪器名称及编号</w:t>
            </w:r>
          </w:p>
        </w:tc>
        <w:tc>
          <w:tcPr>
            <w:tcW w:w="1518" w:type="dxa"/>
            <w:vAlign w:val="center"/>
          </w:tcPr>
          <w:p>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3" w:hRule="atLeast"/>
        </w:trPr>
        <w:tc>
          <w:tcPr>
            <w:tcW w:w="395" w:type="dxa"/>
            <w:vAlign w:val="center"/>
          </w:tcPr>
          <w:p>
            <w:pPr>
              <w:adjustRightInd w:val="0"/>
              <w:snapToGrid w:val="0"/>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val="en-US" w:eastAsia="zh-CN"/>
              </w:rPr>
              <w:t>1</w:t>
            </w:r>
          </w:p>
        </w:tc>
        <w:tc>
          <w:tcPr>
            <w:tcW w:w="1096" w:type="dxa"/>
            <w:vAlign w:val="center"/>
          </w:tcPr>
          <w:p>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颗粒物</w:t>
            </w:r>
          </w:p>
        </w:tc>
        <w:tc>
          <w:tcPr>
            <w:tcW w:w="2631" w:type="dxa"/>
            <w:vAlign w:val="center"/>
          </w:tcPr>
          <w:p>
            <w:pPr>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《固定污染源废气低浓度颗粒物的测定重量法》</w:t>
            </w:r>
          </w:p>
          <w:p>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HJ836-2017</w:t>
            </w:r>
          </w:p>
        </w:tc>
        <w:tc>
          <w:tcPr>
            <w:tcW w:w="3011" w:type="dxa"/>
            <w:vAlign w:val="center"/>
          </w:tcPr>
          <w:p>
            <w:pPr>
              <w:jc w:val="both"/>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PT-104/55S电子天平（S029）</w:t>
            </w:r>
          </w:p>
        </w:tc>
        <w:tc>
          <w:tcPr>
            <w:tcW w:w="1518" w:type="dxa"/>
            <w:vAlign w:val="center"/>
          </w:tcPr>
          <w:p>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1.0</w:t>
            </w:r>
            <w:r>
              <w:rPr>
                <w:rFonts w:hint="default" w:ascii="Times New Roman" w:hAnsi="Times New Roman" w:cs="Times New Roman"/>
                <w:color w:val="auto"/>
                <w:sz w:val="21"/>
                <w:szCs w:val="21"/>
              </w:rPr>
              <w:t>mg/m</w:t>
            </w:r>
            <w:r>
              <w:rPr>
                <w:rFonts w:hint="default" w:ascii="Times New Roman" w:hAnsi="Times New Roman"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3" w:hRule="atLeast"/>
        </w:trPr>
        <w:tc>
          <w:tcPr>
            <w:tcW w:w="395" w:type="dxa"/>
            <w:vAlign w:val="center"/>
          </w:tcPr>
          <w:p>
            <w:pPr>
              <w:adjustRightInd w:val="0"/>
              <w:snapToGrid w:val="0"/>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c>
          <w:tcPr>
            <w:tcW w:w="1096" w:type="dxa"/>
            <w:vAlign w:val="center"/>
          </w:tcPr>
          <w:p>
            <w:pPr>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颗粒物</w:t>
            </w:r>
          </w:p>
        </w:tc>
        <w:tc>
          <w:tcPr>
            <w:tcW w:w="2631" w:type="dxa"/>
            <w:vAlign w:val="center"/>
          </w:tcPr>
          <w:p>
            <w:pPr>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《环境空气总悬浮颗粒物的测定重量法》</w:t>
            </w:r>
          </w:p>
          <w:p>
            <w:pPr>
              <w:jc w:val="both"/>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GB/T15432-1995及修改单</w:t>
            </w:r>
          </w:p>
        </w:tc>
        <w:tc>
          <w:tcPr>
            <w:tcW w:w="3011" w:type="dxa"/>
            <w:vAlign w:val="center"/>
          </w:tcPr>
          <w:p>
            <w:pPr>
              <w:jc w:val="both"/>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PT-104/55S电子天平（S029）</w:t>
            </w:r>
          </w:p>
        </w:tc>
        <w:tc>
          <w:tcPr>
            <w:tcW w:w="1518" w:type="dxa"/>
            <w:vAlign w:val="center"/>
          </w:tcPr>
          <w:p>
            <w:pPr>
              <w:adjustRightInd w:val="0"/>
              <w:snapToGrid w:val="0"/>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0.001mg/m</w:t>
            </w:r>
            <w:r>
              <w:rPr>
                <w:rFonts w:hint="default" w:ascii="Times New Roman" w:hAnsi="Times New Roman" w:cs="Times New Roman"/>
                <w:color w:val="auto"/>
                <w:sz w:val="21"/>
                <w:szCs w:val="21"/>
                <w:vertAlign w:val="superscript"/>
                <w:lang w:val="en-US" w:eastAsia="zh-CN"/>
              </w:rPr>
              <w:t>3</w:t>
            </w:r>
            <w:r>
              <w:rPr>
                <w:rFonts w:hint="default" w:ascii="Times New Roman" w:hAnsi="Times New Roman" w:cs="Times New Roman"/>
                <w:color w:val="auto"/>
                <w:sz w:val="21"/>
                <w:szCs w:val="21"/>
                <w:lang w:val="en-US" w:eastAsia="zh-CN"/>
              </w:rPr>
              <w:t xml:space="preserve"> </w:t>
            </w:r>
          </w:p>
          <w:p>
            <w:pPr>
              <w:adjustRightInd w:val="0"/>
              <w:snapToGrid w:val="0"/>
              <w:jc w:val="center"/>
              <w:rPr>
                <w:rFonts w:hint="default" w:ascii="Times New Roman" w:hAnsi="Times New Roman" w:cs="Times New Roman"/>
                <w:color w:val="auto"/>
                <w:sz w:val="21"/>
                <w:szCs w:val="21"/>
                <w:lang w:val="en-US" w:eastAsia="zh-CN"/>
              </w:rPr>
            </w:pPr>
          </w:p>
        </w:tc>
      </w:tr>
    </w:tbl>
    <w:p>
      <w:pPr>
        <w:spacing w:before="156" w:beforeLines="50" w:after="156" w:afterLines="50" w:line="400" w:lineRule="atLeast"/>
        <w:jc w:val="center"/>
        <w:rPr>
          <w:rFonts w:ascii="Times New Roman" w:hAnsi="Times New Roman"/>
          <w:b/>
          <w:color w:val="auto"/>
          <w:sz w:val="24"/>
        </w:rPr>
      </w:pPr>
      <w:r>
        <w:rPr>
          <w:rFonts w:ascii="Times New Roman" w:hAnsi="Times New Roman"/>
          <w:b/>
          <w:color w:val="auto"/>
          <w:sz w:val="24"/>
        </w:rPr>
        <w:t>表6-</w:t>
      </w:r>
      <w:r>
        <w:rPr>
          <w:rFonts w:hint="eastAsia" w:ascii="Times New Roman" w:hAnsi="Times New Roman"/>
          <w:b/>
          <w:color w:val="auto"/>
          <w:sz w:val="24"/>
        </w:rPr>
        <w:t>5</w:t>
      </w:r>
      <w:r>
        <w:rPr>
          <w:rFonts w:ascii="Times New Roman" w:hAnsi="Times New Roman"/>
          <w:b/>
          <w:color w:val="auto"/>
          <w:sz w:val="24"/>
        </w:rPr>
        <w:tab/>
      </w:r>
      <w:r>
        <w:rPr>
          <w:rFonts w:ascii="Times New Roman" w:hAnsi="Times New Roman"/>
          <w:b/>
          <w:color w:val="auto"/>
          <w:sz w:val="24"/>
        </w:rPr>
        <w:t xml:space="preserve"> 厂界噪声检测分析方法及所用仪器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1133" w:type="dxa"/>
            <w:vAlign w:val="center"/>
          </w:tcPr>
          <w:p>
            <w:pPr>
              <w:spacing w:line="360" w:lineRule="auto"/>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检测项目</w:t>
            </w:r>
          </w:p>
        </w:tc>
        <w:tc>
          <w:tcPr>
            <w:tcW w:w="3544" w:type="dxa"/>
            <w:vAlign w:val="center"/>
          </w:tcPr>
          <w:p>
            <w:pPr>
              <w:spacing w:line="360" w:lineRule="auto"/>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检测方法及方法来源</w:t>
            </w:r>
          </w:p>
        </w:tc>
        <w:tc>
          <w:tcPr>
            <w:tcW w:w="3827" w:type="dxa"/>
            <w:vAlign w:val="center"/>
          </w:tcPr>
          <w:p>
            <w:pPr>
              <w:spacing w:line="360" w:lineRule="auto"/>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1133" w:type="dxa"/>
            <w:vAlign w:val="center"/>
          </w:tcPr>
          <w:p>
            <w:pPr>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厂界噪声</w:t>
            </w:r>
          </w:p>
        </w:tc>
        <w:tc>
          <w:tcPr>
            <w:tcW w:w="3544" w:type="dxa"/>
            <w:vAlign w:val="center"/>
          </w:tcPr>
          <w:p>
            <w:pPr>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工业企业厂界环境噪声排放标准  GB12348-2008</w:t>
            </w:r>
          </w:p>
        </w:tc>
        <w:tc>
          <w:tcPr>
            <w:tcW w:w="3827" w:type="dxa"/>
            <w:vAlign w:val="center"/>
          </w:tcPr>
          <w:p>
            <w:pPr>
              <w:adjustRightIn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AWA5688多功能声级计</w:t>
            </w:r>
            <w:r>
              <w:rPr>
                <w:rFonts w:hint="eastAsia" w:ascii="Times New Roman" w:hAnsi="Times New Roman" w:cs="Times New Roman"/>
                <w:color w:val="auto"/>
                <w:sz w:val="21"/>
                <w:szCs w:val="21"/>
                <w:lang w:val="en-US" w:eastAsia="zh-CN"/>
              </w:rPr>
              <w:t>（S009）</w:t>
            </w:r>
          </w:p>
          <w:p>
            <w:pPr>
              <w:adjustRightInd w:val="0"/>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AWA6221B声校准器（S010）</w:t>
            </w:r>
          </w:p>
        </w:tc>
      </w:tr>
    </w:tbl>
    <w:p>
      <w:pPr>
        <w:pStyle w:val="7"/>
        <w:spacing w:before="156" w:beforeLines="50" w:after="156" w:afterLines="50"/>
        <w:rPr>
          <w:rFonts w:ascii="Times New Roman" w:hAnsi="Times New Roman"/>
          <w:color w:val="auto"/>
        </w:rPr>
      </w:pPr>
      <w:bookmarkStart w:id="245" w:name="_Toc29080"/>
      <w:bookmarkStart w:id="246" w:name="_Toc28512"/>
      <w:bookmarkStart w:id="247" w:name="_Toc19386"/>
      <w:bookmarkStart w:id="248" w:name="_Toc12330"/>
      <w:r>
        <w:rPr>
          <w:rFonts w:ascii="Times New Roman" w:hAnsi="Times New Roman"/>
          <w:color w:val="auto"/>
        </w:rPr>
        <w:t>6.2.3 检测点位示意图</w:t>
      </w:r>
      <w:bookmarkEnd w:id="245"/>
      <w:bookmarkEnd w:id="246"/>
      <w:bookmarkEnd w:id="247"/>
      <w:bookmarkEnd w:id="248"/>
    </w:p>
    <w:p>
      <w:pPr>
        <w:pStyle w:val="5"/>
        <w:spacing w:line="440" w:lineRule="atLeast"/>
        <w:rPr>
          <w:rFonts w:ascii="Times New Roman" w:hAnsi="Times New Roman"/>
          <w:color w:val="FF0000"/>
        </w:rPr>
      </w:pPr>
      <w:bookmarkStart w:id="249" w:name="_Toc4189"/>
      <w:r>
        <w:drawing>
          <wp:inline distT="0" distB="0" distL="114300" distR="114300">
            <wp:extent cx="5271770" cy="3578225"/>
            <wp:effectExtent l="0" t="0" r="5080" b="31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5271770" cy="3578225"/>
                    </a:xfrm>
                    <a:prstGeom prst="rect">
                      <a:avLst/>
                    </a:prstGeom>
                    <a:noFill/>
                    <a:ln>
                      <a:noFill/>
                    </a:ln>
                  </pic:spPr>
                </pic:pic>
              </a:graphicData>
            </a:graphic>
          </wp:inline>
        </w:drawing>
      </w:r>
    </w:p>
    <w:p>
      <w:pPr>
        <w:pStyle w:val="5"/>
        <w:spacing w:line="440" w:lineRule="atLeast"/>
        <w:rPr>
          <w:rFonts w:ascii="Times New Roman" w:hAnsi="Times New Roman"/>
          <w:color w:val="FF0000"/>
        </w:rPr>
      </w:pPr>
      <w:r>
        <w:drawing>
          <wp:inline distT="0" distB="0" distL="114300" distR="114300">
            <wp:extent cx="5267960" cy="3502025"/>
            <wp:effectExtent l="0" t="0" r="8890" b="317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5"/>
                    <a:stretch>
                      <a:fillRect/>
                    </a:stretch>
                  </pic:blipFill>
                  <pic:spPr>
                    <a:xfrm>
                      <a:off x="0" y="0"/>
                      <a:ext cx="5267960" cy="3502025"/>
                    </a:xfrm>
                    <a:prstGeom prst="rect">
                      <a:avLst/>
                    </a:prstGeom>
                    <a:noFill/>
                    <a:ln>
                      <a:noFill/>
                    </a:ln>
                  </pic:spPr>
                </pic:pic>
              </a:graphicData>
            </a:graphic>
          </wp:inline>
        </w:drawing>
      </w: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FF0000"/>
        </w:rPr>
      </w:pPr>
    </w:p>
    <w:p>
      <w:pPr>
        <w:pStyle w:val="5"/>
        <w:spacing w:line="440" w:lineRule="atLeast"/>
        <w:rPr>
          <w:rFonts w:ascii="Times New Roman" w:hAnsi="Times New Roman"/>
          <w:color w:val="auto"/>
        </w:rPr>
      </w:pPr>
      <w:r>
        <w:rPr>
          <w:rFonts w:ascii="Times New Roman" w:hAnsi="Times New Roman"/>
          <w:color w:val="FF0000"/>
        </w:rPr>
        <w:br w:type="page"/>
      </w:r>
      <w:bookmarkStart w:id="250" w:name="_Toc19136"/>
      <w:bookmarkStart w:id="251" w:name="_Toc22345"/>
      <w:bookmarkStart w:id="252" w:name="_Toc2862"/>
      <w:r>
        <w:rPr>
          <w:rFonts w:ascii="Times New Roman" w:hAnsi="Times New Roman"/>
          <w:color w:val="auto"/>
        </w:rPr>
        <w:t>7</w:t>
      </w:r>
      <w:r>
        <w:rPr>
          <w:rFonts w:ascii="Times New Roman" w:hAnsi="Times New Roman"/>
          <w:color w:val="auto"/>
        </w:rPr>
        <w:t xml:space="preserve"> 验收检测结果及分析</w:t>
      </w:r>
      <w:bookmarkEnd w:id="249"/>
      <w:bookmarkEnd w:id="250"/>
      <w:bookmarkEnd w:id="251"/>
      <w:bookmarkEnd w:id="252"/>
    </w:p>
    <w:p>
      <w:pPr>
        <w:pStyle w:val="6"/>
        <w:spacing w:line="440" w:lineRule="atLeast"/>
        <w:rPr>
          <w:rFonts w:ascii="Times New Roman" w:hAnsi="Times New Roman"/>
          <w:color w:val="auto"/>
        </w:rPr>
      </w:pPr>
      <w:bookmarkStart w:id="253" w:name="_Toc20500"/>
      <w:bookmarkStart w:id="254" w:name="_Toc10665"/>
      <w:bookmarkStart w:id="255" w:name="_Toc11364"/>
      <w:bookmarkStart w:id="256" w:name="_Toc32720"/>
      <w:r>
        <w:rPr>
          <w:rFonts w:ascii="Times New Roman" w:hAnsi="Times New Roman"/>
          <w:color w:val="auto"/>
        </w:rPr>
        <w:t>7.1 检测结果</w:t>
      </w:r>
      <w:bookmarkEnd w:id="253"/>
      <w:bookmarkEnd w:id="254"/>
      <w:bookmarkEnd w:id="255"/>
      <w:bookmarkEnd w:id="256"/>
    </w:p>
    <w:p>
      <w:pPr>
        <w:pStyle w:val="7"/>
        <w:rPr>
          <w:rFonts w:ascii="Times New Roman" w:hAnsi="Times New Roman"/>
          <w:color w:val="auto"/>
        </w:rPr>
      </w:pPr>
      <w:bookmarkStart w:id="257" w:name="_Toc19935"/>
      <w:bookmarkStart w:id="258" w:name="_Toc3464"/>
      <w:bookmarkStart w:id="259" w:name="_Toc6032"/>
      <w:bookmarkStart w:id="260" w:name="_Toc497001488"/>
      <w:bookmarkStart w:id="261" w:name="_Toc32125"/>
      <w:r>
        <w:rPr>
          <w:rFonts w:ascii="Times New Roman" w:hAnsi="Times New Roman"/>
          <w:color w:val="auto"/>
        </w:rPr>
        <w:t>7.1.1 废气检测结果</w:t>
      </w:r>
      <w:bookmarkEnd w:id="257"/>
      <w:bookmarkEnd w:id="258"/>
      <w:bookmarkEnd w:id="259"/>
      <w:bookmarkEnd w:id="260"/>
      <w:bookmarkEnd w:id="261"/>
    </w:p>
    <w:p>
      <w:pPr>
        <w:pStyle w:val="2"/>
        <w:spacing w:before="156" w:beforeLines="50"/>
        <w:ind w:firstLine="482"/>
        <w:jc w:val="center"/>
        <w:rPr>
          <w:rFonts w:ascii="Times New Roman" w:hAnsi="Times New Roman"/>
          <w:b/>
          <w:color w:val="auto"/>
          <w:sz w:val="24"/>
        </w:rPr>
      </w:pPr>
      <w:r>
        <w:rPr>
          <w:rFonts w:ascii="Times New Roman" w:hAnsi="Times New Roman"/>
          <w:b/>
          <w:color w:val="auto"/>
          <w:sz w:val="24"/>
        </w:rPr>
        <w:t>表7-</w:t>
      </w:r>
      <w:r>
        <w:rPr>
          <w:rFonts w:hint="eastAsia" w:ascii="Times New Roman" w:hAnsi="Times New Roman"/>
          <w:b/>
          <w:color w:val="auto"/>
          <w:sz w:val="24"/>
        </w:rPr>
        <w:t>1</w:t>
      </w:r>
      <w:r>
        <w:rPr>
          <w:rFonts w:ascii="Times New Roman" w:hAnsi="Times New Roman"/>
          <w:b/>
          <w:color w:val="auto"/>
          <w:sz w:val="24"/>
        </w:rPr>
        <w:t xml:space="preserve"> </w:t>
      </w:r>
      <w:r>
        <w:rPr>
          <w:rFonts w:hint="eastAsia" w:ascii="Times New Roman" w:hAnsi="Times New Roman"/>
          <w:b/>
          <w:color w:val="auto"/>
          <w:sz w:val="24"/>
        </w:rPr>
        <w:t>有组织</w:t>
      </w:r>
      <w:r>
        <w:rPr>
          <w:rFonts w:ascii="Times New Roman" w:hAnsi="Times New Roman"/>
          <w:b/>
          <w:color w:val="auto"/>
          <w:sz w:val="24"/>
        </w:rPr>
        <w:t>废气</w:t>
      </w:r>
      <w:r>
        <w:rPr>
          <w:rFonts w:hint="eastAsia" w:ascii="Times New Roman" w:hAnsi="Times New Roman"/>
          <w:b/>
          <w:color w:val="auto"/>
          <w:sz w:val="24"/>
        </w:rPr>
        <w:t>检</w:t>
      </w:r>
      <w:r>
        <w:rPr>
          <w:rFonts w:ascii="Times New Roman" w:hAnsi="Times New Roman"/>
          <w:b/>
          <w:color w:val="auto"/>
          <w:sz w:val="24"/>
        </w:rPr>
        <w:t>测结果</w:t>
      </w:r>
    </w:p>
    <w:p>
      <w:pPr>
        <w:pStyle w:val="2"/>
        <w:spacing w:before="156" w:beforeLines="50"/>
        <w:ind w:firstLine="482"/>
        <w:jc w:val="center"/>
        <w:rPr>
          <w:rFonts w:ascii="Times New Roman" w:hAnsi="Times New Roman"/>
          <w:b/>
          <w:color w:val="FF0000"/>
          <w:sz w:val="24"/>
        </w:rPr>
      </w:pPr>
      <w:r>
        <w:drawing>
          <wp:inline distT="0" distB="0" distL="114300" distR="114300">
            <wp:extent cx="5271135" cy="4177665"/>
            <wp:effectExtent l="0" t="0" r="571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6"/>
                    <a:stretch>
                      <a:fillRect/>
                    </a:stretch>
                  </pic:blipFill>
                  <pic:spPr>
                    <a:xfrm>
                      <a:off x="0" y="0"/>
                      <a:ext cx="5271135" cy="4177665"/>
                    </a:xfrm>
                    <a:prstGeom prst="rect">
                      <a:avLst/>
                    </a:prstGeom>
                    <a:noFill/>
                    <a:ln>
                      <a:noFill/>
                    </a:ln>
                  </pic:spPr>
                </pic:pic>
              </a:graphicData>
            </a:graphic>
          </wp:inline>
        </w:drawing>
      </w:r>
    </w:p>
    <w:p>
      <w:pPr>
        <w:pStyle w:val="2"/>
        <w:spacing w:before="156" w:beforeLines="50"/>
        <w:ind w:firstLine="482"/>
        <w:jc w:val="center"/>
        <w:rPr>
          <w:color w:val="auto"/>
        </w:rPr>
      </w:pPr>
      <w:r>
        <w:rPr>
          <w:rFonts w:ascii="Times New Roman" w:hAnsi="Times New Roman"/>
          <w:b/>
          <w:color w:val="auto"/>
          <w:sz w:val="24"/>
        </w:rPr>
        <w:t>表7-</w:t>
      </w:r>
      <w:r>
        <w:rPr>
          <w:rFonts w:hint="eastAsia" w:ascii="Times New Roman" w:hAnsi="Times New Roman"/>
          <w:b/>
          <w:color w:val="auto"/>
          <w:sz w:val="24"/>
        </w:rPr>
        <w:t>2</w:t>
      </w:r>
      <w:r>
        <w:rPr>
          <w:rFonts w:ascii="Times New Roman" w:hAnsi="Times New Roman"/>
          <w:b/>
          <w:color w:val="auto"/>
          <w:sz w:val="24"/>
        </w:rPr>
        <w:t xml:space="preserve"> 厂界无组织废气检测结果</w:t>
      </w:r>
      <w:r>
        <w:rPr>
          <w:rFonts w:hint="eastAsia" w:ascii="Times New Roman" w:hAnsi="Times New Roman"/>
          <w:b/>
          <w:color w:val="auto"/>
          <w:sz w:val="24"/>
        </w:rPr>
        <w:t>（</w:t>
      </w:r>
      <w:r>
        <w:rPr>
          <w:rFonts w:ascii="Times New Roman" w:hAnsi="Times New Roman"/>
          <w:b/>
          <w:color w:val="auto"/>
          <w:szCs w:val="21"/>
        </w:rPr>
        <w:t>单位</w:t>
      </w:r>
      <w:r>
        <w:rPr>
          <w:rFonts w:hint="eastAsia" w:ascii="Times New Roman" w:hAnsi="Times New Roman"/>
          <w:b/>
          <w:color w:val="auto"/>
          <w:szCs w:val="21"/>
        </w:rPr>
        <w:t>：</w:t>
      </w:r>
      <w:r>
        <w:rPr>
          <w:rFonts w:ascii="Times New Roman" w:hAnsi="Times New Roman"/>
          <w:b/>
          <w:bCs/>
          <w:color w:val="auto"/>
          <w:szCs w:val="21"/>
        </w:rPr>
        <w:t>mg/m</w:t>
      </w:r>
      <w:r>
        <w:rPr>
          <w:rFonts w:ascii="Times New Roman" w:hAnsi="Times New Roman"/>
          <w:b/>
          <w:bCs/>
          <w:color w:val="auto"/>
          <w:szCs w:val="21"/>
          <w:vertAlign w:val="superscript"/>
        </w:rPr>
        <w:t>3</w:t>
      </w:r>
      <w:r>
        <w:rPr>
          <w:rFonts w:hint="eastAsia" w:ascii="Times New Roman" w:hAnsi="Times New Roman"/>
          <w:b/>
          <w:color w:val="auto"/>
          <w:sz w:val="24"/>
        </w:rPr>
        <w:t>）</w:t>
      </w:r>
    </w:p>
    <w:p>
      <w:pPr>
        <w:pStyle w:val="7"/>
      </w:pPr>
      <w:bookmarkStart w:id="262" w:name="_Toc3240"/>
      <w:bookmarkStart w:id="263" w:name="_Toc8796"/>
      <w:bookmarkStart w:id="264" w:name="_Toc6567"/>
      <w:bookmarkStart w:id="265" w:name="_Toc7541"/>
      <w:bookmarkStart w:id="266" w:name="_Toc497001489"/>
      <w:r>
        <w:drawing>
          <wp:inline distT="0" distB="0" distL="114300" distR="114300">
            <wp:extent cx="5272405" cy="2112010"/>
            <wp:effectExtent l="0" t="0" r="4445" b="254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7"/>
                    <a:stretch>
                      <a:fillRect/>
                    </a:stretch>
                  </pic:blipFill>
                  <pic:spPr>
                    <a:xfrm>
                      <a:off x="0" y="0"/>
                      <a:ext cx="5272405" cy="2112010"/>
                    </a:xfrm>
                    <a:prstGeom prst="rect">
                      <a:avLst/>
                    </a:prstGeom>
                    <a:noFill/>
                    <a:ln>
                      <a:noFill/>
                    </a:ln>
                  </pic:spPr>
                </pic:pic>
              </a:graphicData>
            </a:graphic>
          </wp:inline>
        </w:drawing>
      </w:r>
    </w:p>
    <w:p>
      <w:pPr>
        <w:pStyle w:val="7"/>
      </w:pPr>
    </w:p>
    <w:p>
      <w:pPr>
        <w:pStyle w:val="7"/>
        <w:rPr>
          <w:rFonts w:ascii="Times New Roman" w:hAnsi="Times New Roman"/>
          <w:color w:val="auto"/>
        </w:rPr>
      </w:pPr>
      <w:r>
        <w:rPr>
          <w:rFonts w:ascii="Times New Roman" w:hAnsi="Times New Roman"/>
          <w:color w:val="auto"/>
        </w:rPr>
        <w:t>7.1.2 噪声检测结果</w:t>
      </w:r>
      <w:bookmarkEnd w:id="262"/>
      <w:bookmarkEnd w:id="263"/>
      <w:bookmarkEnd w:id="264"/>
      <w:bookmarkEnd w:id="265"/>
      <w:bookmarkEnd w:id="266"/>
    </w:p>
    <w:p>
      <w:pPr>
        <w:pStyle w:val="6"/>
        <w:spacing w:before="156" w:beforeLines="50" w:line="360" w:lineRule="auto"/>
        <w:jc w:val="center"/>
        <w:rPr>
          <w:rFonts w:ascii="Times New Roman" w:hAnsi="Times New Roman"/>
          <w:color w:val="auto"/>
          <w:sz w:val="24"/>
          <w:szCs w:val="24"/>
        </w:rPr>
      </w:pPr>
      <w:r>
        <w:rPr>
          <w:rFonts w:ascii="Times New Roman" w:hAnsi="Times New Roman"/>
          <w:color w:val="auto"/>
          <w:sz w:val="24"/>
          <w:szCs w:val="24"/>
        </w:rPr>
        <w:t>表 7-</w:t>
      </w:r>
      <w:r>
        <w:rPr>
          <w:rFonts w:hint="eastAsia" w:ascii="Times New Roman" w:hAnsi="Times New Roman"/>
          <w:color w:val="auto"/>
          <w:sz w:val="24"/>
          <w:szCs w:val="24"/>
        </w:rPr>
        <w:t>3</w:t>
      </w:r>
      <w:r>
        <w:rPr>
          <w:rFonts w:ascii="Times New Roman" w:hAnsi="Times New Roman"/>
          <w:color w:val="auto"/>
          <w:sz w:val="24"/>
          <w:szCs w:val="24"/>
        </w:rPr>
        <w:t xml:space="preserve"> 厂界噪声检测结果</w:t>
      </w:r>
      <w:bookmarkStart w:id="267" w:name="_Toc26119"/>
      <w:bookmarkStart w:id="268" w:name="_Toc21685"/>
      <w:bookmarkStart w:id="269" w:name="_Toc5375"/>
      <w:bookmarkStart w:id="270" w:name="_Toc5560"/>
    </w:p>
    <w:p>
      <w:pPr>
        <w:rPr>
          <w:color w:val="FF0000"/>
        </w:rPr>
      </w:pPr>
      <w:r>
        <w:drawing>
          <wp:inline distT="0" distB="0" distL="114300" distR="114300">
            <wp:extent cx="5273040" cy="3273425"/>
            <wp:effectExtent l="0" t="0" r="3810" b="317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8"/>
                    <a:stretch>
                      <a:fillRect/>
                    </a:stretch>
                  </pic:blipFill>
                  <pic:spPr>
                    <a:xfrm>
                      <a:off x="0" y="0"/>
                      <a:ext cx="5273040" cy="3273425"/>
                    </a:xfrm>
                    <a:prstGeom prst="rect">
                      <a:avLst/>
                    </a:prstGeom>
                    <a:noFill/>
                    <a:ln>
                      <a:noFill/>
                    </a:ln>
                  </pic:spPr>
                </pic:pic>
              </a:graphicData>
            </a:graphic>
          </wp:inline>
        </w:drawing>
      </w:r>
    </w:p>
    <w:p>
      <w:pPr>
        <w:pStyle w:val="6"/>
        <w:spacing w:before="156" w:beforeLines="50" w:line="360" w:lineRule="auto"/>
        <w:rPr>
          <w:rFonts w:ascii="Times New Roman" w:hAnsi="Times New Roman"/>
          <w:color w:val="auto"/>
        </w:rPr>
      </w:pPr>
      <w:r>
        <w:rPr>
          <w:rFonts w:ascii="Times New Roman" w:hAnsi="Times New Roman"/>
          <w:color w:val="auto"/>
        </w:rPr>
        <w:t>7.2 检测结果分析</w:t>
      </w:r>
      <w:bookmarkEnd w:id="267"/>
      <w:bookmarkEnd w:id="268"/>
      <w:bookmarkEnd w:id="269"/>
      <w:bookmarkEnd w:id="270"/>
    </w:p>
    <w:p>
      <w:pPr>
        <w:pStyle w:val="7"/>
        <w:spacing w:line="360" w:lineRule="auto"/>
        <w:ind w:firstLine="480" w:firstLineChars="200"/>
        <w:rPr>
          <w:rFonts w:ascii="Times New Roman" w:hAnsi="Times New Roman"/>
          <w:color w:val="auto"/>
        </w:rPr>
      </w:pPr>
      <w:bookmarkStart w:id="271" w:name="_Toc497001493"/>
      <w:bookmarkStart w:id="272" w:name="_Toc9795"/>
      <w:bookmarkStart w:id="273" w:name="_Toc30843"/>
      <w:bookmarkStart w:id="274" w:name="_Toc31512"/>
      <w:bookmarkStart w:id="275" w:name="_Toc3228"/>
      <w:r>
        <w:rPr>
          <w:rFonts w:ascii="Times New Roman" w:hAnsi="Times New Roman"/>
          <w:color w:val="auto"/>
        </w:rPr>
        <w:t>7.2.1 废气检测结果</w:t>
      </w:r>
      <w:bookmarkEnd w:id="271"/>
      <w:bookmarkEnd w:id="272"/>
      <w:bookmarkEnd w:id="273"/>
      <w:bookmarkEnd w:id="274"/>
      <w:bookmarkEnd w:id="275"/>
    </w:p>
    <w:p>
      <w:pPr>
        <w:pStyle w:val="7"/>
        <w:spacing w:line="360" w:lineRule="auto"/>
        <w:ind w:firstLine="480" w:firstLineChars="200"/>
        <w:rPr>
          <w:rFonts w:hint="eastAsia" w:ascii="Times New Roman" w:hAnsi="Times New Roman"/>
          <w:color w:val="auto"/>
          <w:sz w:val="24"/>
        </w:rPr>
      </w:pPr>
      <w:bookmarkStart w:id="276" w:name="_Toc497001494"/>
      <w:bookmarkStart w:id="277" w:name="_Toc1065"/>
      <w:bookmarkStart w:id="278" w:name="_Toc4404"/>
      <w:bookmarkStart w:id="279" w:name="_Toc5876"/>
      <w:r>
        <w:rPr>
          <w:rFonts w:hint="eastAsia" w:ascii="Times New Roman" w:hAnsi="Times New Roman"/>
          <w:color w:val="auto"/>
          <w:sz w:val="24"/>
        </w:rPr>
        <w:t>经监测，</w:t>
      </w:r>
      <w:bookmarkStart w:id="280" w:name="_Toc23179"/>
      <w:r>
        <w:rPr>
          <w:rFonts w:hint="eastAsia" w:ascii="Times New Roman" w:hAnsi="Times New Roman"/>
          <w:color w:val="auto"/>
          <w:sz w:val="24"/>
        </w:rPr>
        <w:t>项目</w:t>
      </w:r>
      <w:r>
        <w:rPr>
          <w:rFonts w:hint="eastAsia" w:ascii="Times New Roman" w:hAnsi="Times New Roman"/>
          <w:color w:val="auto"/>
          <w:sz w:val="24"/>
          <w:lang w:val="en-US" w:eastAsia="zh-CN"/>
        </w:rPr>
        <w:t>切割、修磨、焊接、喷砂工序固定工位，产生的废气经集气罩收集后与1台抛丸机废气经除尘器处理，处理后由1根15m高排气筒排放</w:t>
      </w:r>
      <w:r>
        <w:rPr>
          <w:rFonts w:hint="eastAsia" w:ascii="Times New Roman" w:hAnsi="Times New Roman"/>
          <w:color w:val="auto"/>
          <w:sz w:val="24"/>
        </w:rPr>
        <w:t>。排放浓度满足《大气污染物综合排放标准》（GB16297-1996）表2中排放标准。</w:t>
      </w:r>
    </w:p>
    <w:p>
      <w:pPr>
        <w:pStyle w:val="7"/>
        <w:spacing w:line="360" w:lineRule="auto"/>
        <w:ind w:firstLine="480" w:firstLineChars="200"/>
        <w:rPr>
          <w:rFonts w:ascii="Times New Roman" w:hAnsi="Times New Roman"/>
          <w:color w:val="auto"/>
        </w:rPr>
      </w:pPr>
      <w:r>
        <w:rPr>
          <w:rFonts w:hint="eastAsia" w:ascii="Times New Roman" w:hAnsi="Times New Roman"/>
          <w:color w:val="auto"/>
          <w:sz w:val="24"/>
        </w:rPr>
        <w:t>未收集颗粒物无组织排放，厂界浓度满足《大气污染物综合排放标准》（GB16297-1996）中表2无组织排放监控浓度限值</w:t>
      </w:r>
      <w:r>
        <w:rPr>
          <w:rFonts w:hint="eastAsia" w:ascii="Times New Roman" w:hAnsi="Times New Roman"/>
          <w:color w:val="auto"/>
        </w:rPr>
        <w:t>。</w:t>
      </w:r>
    </w:p>
    <w:p>
      <w:pPr>
        <w:pStyle w:val="7"/>
        <w:spacing w:line="360" w:lineRule="auto"/>
        <w:ind w:firstLine="480" w:firstLineChars="200"/>
        <w:rPr>
          <w:rFonts w:ascii="Times New Roman" w:hAnsi="Times New Roman"/>
          <w:color w:val="auto"/>
        </w:rPr>
      </w:pPr>
      <w:r>
        <w:rPr>
          <w:rFonts w:ascii="Times New Roman" w:hAnsi="Times New Roman"/>
          <w:color w:val="auto"/>
        </w:rPr>
        <w:t>7.2.2 噪声检测结果</w:t>
      </w:r>
      <w:bookmarkEnd w:id="276"/>
      <w:bookmarkEnd w:id="277"/>
      <w:bookmarkEnd w:id="278"/>
      <w:bookmarkEnd w:id="279"/>
      <w:bookmarkEnd w:id="280"/>
    </w:p>
    <w:p>
      <w:pPr>
        <w:spacing w:line="440" w:lineRule="exact"/>
        <w:ind w:firstLine="616" w:firstLineChars="257"/>
        <w:rPr>
          <w:rFonts w:ascii="Times New Roman" w:hAnsi="Times New Roman"/>
          <w:bCs/>
          <w:color w:val="auto"/>
          <w:sz w:val="24"/>
        </w:rPr>
      </w:pPr>
      <w:bookmarkStart w:id="281" w:name="_Toc503884785"/>
      <w:bookmarkStart w:id="282" w:name="_Toc19340"/>
      <w:bookmarkStart w:id="283" w:name="_Toc4679"/>
      <w:bookmarkStart w:id="284" w:name="_Toc3266"/>
      <w:r>
        <w:rPr>
          <w:rFonts w:ascii="Times New Roman" w:hAnsi="Times New Roman"/>
          <w:color w:val="auto"/>
          <w:kern w:val="0"/>
          <w:sz w:val="24"/>
          <w:szCs w:val="24"/>
        </w:rPr>
        <w:t>经监测，该项目厂界各监测点位昼间噪声监测结果均符合《工业企业厂界环境噪声排放标准》(GB 12348-2008)表I中2类</w:t>
      </w:r>
      <w:r>
        <w:rPr>
          <w:rFonts w:hint="eastAsia" w:ascii="Times New Roman" w:hAnsi="Times New Roman"/>
          <w:color w:val="auto"/>
          <w:kern w:val="0"/>
          <w:sz w:val="24"/>
          <w:szCs w:val="24"/>
          <w:lang w:val="en-US" w:eastAsia="zh-CN"/>
        </w:rPr>
        <w:t>和4类</w:t>
      </w:r>
      <w:r>
        <w:rPr>
          <w:rFonts w:ascii="Times New Roman" w:hAnsi="Times New Roman"/>
          <w:color w:val="auto"/>
          <w:kern w:val="0"/>
          <w:sz w:val="24"/>
          <w:szCs w:val="24"/>
        </w:rPr>
        <w:t>标准。</w:t>
      </w:r>
    </w:p>
    <w:p>
      <w:pPr>
        <w:pStyle w:val="6"/>
        <w:rPr>
          <w:rFonts w:ascii="Times New Roman" w:hAnsi="Times New Roman"/>
          <w:color w:val="auto"/>
        </w:rPr>
      </w:pPr>
      <w:bookmarkStart w:id="285" w:name="_Toc2782"/>
      <w:r>
        <w:rPr>
          <w:rFonts w:ascii="Times New Roman" w:hAnsi="Times New Roman"/>
          <w:color w:val="auto"/>
        </w:rPr>
        <w:t>7.3 总量控制要求</w:t>
      </w:r>
      <w:bookmarkEnd w:id="281"/>
      <w:bookmarkEnd w:id="282"/>
      <w:bookmarkEnd w:id="283"/>
      <w:bookmarkEnd w:id="285"/>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依据企业提供的资料和证明，年工作240天，每天工作8小时，采用1班制。年运行时间2400h，该企业污染物排放量为：</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项目无SO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和NOx排放。</w:t>
      </w:r>
    </w:p>
    <w:p>
      <w:pPr>
        <w:spacing w:line="360" w:lineRule="auto"/>
        <w:ind w:firstLine="480" w:firstLineChars="200"/>
        <w:rPr>
          <w:rFonts w:ascii="Times New Roman" w:hAnsi="Times New Roman"/>
          <w:color w:val="auto"/>
          <w:kern w:val="0"/>
          <w:sz w:val="24"/>
          <w:szCs w:val="21"/>
        </w:rPr>
      </w:pPr>
      <w:r>
        <w:rPr>
          <w:rFonts w:hint="eastAsia" w:ascii="Times New Roman" w:hAnsi="Times New Roman"/>
          <w:color w:val="auto"/>
          <w:kern w:val="0"/>
          <w:sz w:val="24"/>
          <w:szCs w:val="21"/>
        </w:rPr>
        <w:t>本项目无生产废水外排。满足环评中给出的总量控制指标，COD：0t/a；氨氮：0t/a；SO</w:t>
      </w:r>
      <w:r>
        <w:rPr>
          <w:rFonts w:hint="eastAsia" w:ascii="Times New Roman" w:hAnsi="Times New Roman"/>
          <w:color w:val="auto"/>
          <w:kern w:val="0"/>
          <w:sz w:val="24"/>
          <w:szCs w:val="21"/>
          <w:vertAlign w:val="subscript"/>
        </w:rPr>
        <w:t>2</w:t>
      </w:r>
      <w:r>
        <w:rPr>
          <w:rFonts w:hint="eastAsia" w:ascii="Times New Roman" w:hAnsi="Times New Roman"/>
          <w:color w:val="auto"/>
          <w:kern w:val="0"/>
          <w:sz w:val="24"/>
          <w:szCs w:val="21"/>
        </w:rPr>
        <w:t>：0t/a；NOx：0t/a。</w:t>
      </w:r>
    </w:p>
    <w:p>
      <w:pPr>
        <w:pStyle w:val="5"/>
        <w:spacing w:before="156" w:beforeLines="50"/>
        <w:rPr>
          <w:rFonts w:ascii="Times New Roman" w:hAnsi="Times New Roman"/>
          <w:color w:val="auto"/>
        </w:rPr>
      </w:pPr>
      <w:r>
        <w:rPr>
          <w:rFonts w:ascii="Times New Roman" w:hAnsi="Times New Roman"/>
          <w:color w:val="auto"/>
        </w:rPr>
        <w:br w:type="page"/>
      </w:r>
    </w:p>
    <w:p>
      <w:pPr>
        <w:pStyle w:val="5"/>
        <w:spacing w:before="156" w:beforeLines="50"/>
        <w:rPr>
          <w:rFonts w:ascii="Times New Roman" w:hAnsi="Times New Roman"/>
          <w:color w:val="auto"/>
        </w:rPr>
      </w:pPr>
      <w:bookmarkStart w:id="286" w:name="_Toc5202"/>
      <w:bookmarkStart w:id="287" w:name="_Toc20214"/>
      <w:bookmarkStart w:id="288" w:name="_Toc3191"/>
      <w:r>
        <w:rPr>
          <w:rFonts w:ascii="Times New Roman" w:hAnsi="Times New Roman"/>
          <w:color w:val="auto"/>
        </w:rPr>
        <w:t>8 环境管理检查</w:t>
      </w:r>
      <w:bookmarkEnd w:id="284"/>
      <w:bookmarkEnd w:id="286"/>
      <w:bookmarkEnd w:id="287"/>
      <w:bookmarkEnd w:id="288"/>
    </w:p>
    <w:p>
      <w:pPr>
        <w:pStyle w:val="6"/>
        <w:rPr>
          <w:rFonts w:ascii="Times New Roman" w:hAnsi="Times New Roman"/>
          <w:color w:val="auto"/>
        </w:rPr>
      </w:pPr>
      <w:bookmarkStart w:id="289" w:name="_Toc17414"/>
      <w:bookmarkStart w:id="290" w:name="_Toc5972"/>
      <w:bookmarkStart w:id="291" w:name="_Toc32093"/>
      <w:bookmarkStart w:id="292" w:name="_Toc23769"/>
      <w:r>
        <w:rPr>
          <w:rFonts w:ascii="Times New Roman" w:hAnsi="Times New Roman"/>
          <w:color w:val="auto"/>
        </w:rPr>
        <w:t>8.1 环保管理机构</w:t>
      </w:r>
      <w:bookmarkEnd w:id="289"/>
      <w:bookmarkEnd w:id="290"/>
      <w:bookmarkEnd w:id="291"/>
      <w:bookmarkEnd w:id="292"/>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lang w:eastAsia="zh-CN"/>
        </w:rPr>
        <w:t>盐山县贵新管件厂</w:t>
      </w:r>
      <w:r>
        <w:rPr>
          <w:rFonts w:ascii="Times New Roman" w:hAnsi="Times New Roman"/>
          <w:color w:val="auto"/>
          <w:sz w:val="24"/>
          <w:szCs w:val="24"/>
        </w:rPr>
        <w:t>环境管理由公司</w:t>
      </w:r>
      <w:r>
        <w:rPr>
          <w:rFonts w:hint="eastAsia" w:ascii="Times New Roman" w:hAnsi="Times New Roman"/>
          <w:color w:val="auto"/>
          <w:sz w:val="24"/>
          <w:szCs w:val="24"/>
        </w:rPr>
        <w:t>专人</w:t>
      </w:r>
      <w:r>
        <w:rPr>
          <w:rFonts w:ascii="Times New Roman" w:hAnsi="Times New Roman"/>
          <w:color w:val="auto"/>
          <w:sz w:val="24"/>
          <w:szCs w:val="24"/>
        </w:rPr>
        <w:t>负责监督，负责工程环境管理工作，定期进行巡检环境影响情况，及时处理环境问题，并进行有关环境保护法规宣传工作。</w:t>
      </w:r>
    </w:p>
    <w:p>
      <w:pPr>
        <w:pStyle w:val="6"/>
        <w:rPr>
          <w:rFonts w:ascii="Times New Roman" w:hAnsi="Times New Roman"/>
          <w:color w:val="auto"/>
          <w:szCs w:val="22"/>
        </w:rPr>
      </w:pPr>
      <w:bookmarkStart w:id="293" w:name="_Toc18585"/>
      <w:bookmarkStart w:id="294" w:name="_Toc25742"/>
      <w:bookmarkStart w:id="295" w:name="_Toc412705194"/>
      <w:bookmarkStart w:id="296" w:name="_Toc29686"/>
      <w:bookmarkStart w:id="297" w:name="_Toc14656"/>
      <w:bookmarkStart w:id="298" w:name="_Toc294178076"/>
      <w:r>
        <w:rPr>
          <w:rFonts w:ascii="Times New Roman" w:hAnsi="Times New Roman"/>
          <w:color w:val="auto"/>
          <w:szCs w:val="22"/>
        </w:rPr>
        <w:t>8.2 施工期环境管理</w:t>
      </w:r>
      <w:bookmarkEnd w:id="293"/>
      <w:bookmarkEnd w:id="294"/>
      <w:bookmarkEnd w:id="295"/>
      <w:bookmarkEnd w:id="296"/>
      <w:bookmarkEnd w:id="297"/>
      <w:bookmarkEnd w:id="298"/>
    </w:p>
    <w:p>
      <w:pPr>
        <w:spacing w:line="480" w:lineRule="atLeast"/>
        <w:ind w:firstLine="480" w:firstLineChars="200"/>
        <w:rPr>
          <w:rFonts w:ascii="Times New Roman" w:hAnsi="Times New Roman"/>
          <w:color w:val="auto"/>
          <w:sz w:val="24"/>
          <w:szCs w:val="24"/>
        </w:rPr>
      </w:pPr>
      <w:bookmarkStart w:id="299" w:name="_Toc294178077"/>
      <w:bookmarkStart w:id="300" w:name="_Toc412705195"/>
      <w:r>
        <w:rPr>
          <w:rFonts w:ascii="Times New Roman" w:hAnsi="Times New Roman"/>
          <w:color w:val="auto"/>
          <w:sz w:val="24"/>
          <w:szCs w:val="24"/>
        </w:rPr>
        <w:t>本工程在施工过程中严格按设计文件施工，特别是按环保设计要求和环评文件提出的措施要求进行施工。</w:t>
      </w:r>
      <w:r>
        <w:rPr>
          <w:rFonts w:ascii="Times New Roman" w:hAnsi="Times New Roman"/>
          <w:bCs/>
          <w:color w:val="auto"/>
          <w:sz w:val="24"/>
        </w:rPr>
        <w:t>切实落实工程环保实施方案，并且做到“三同时”。</w:t>
      </w:r>
    </w:p>
    <w:p>
      <w:pPr>
        <w:pStyle w:val="6"/>
        <w:rPr>
          <w:rFonts w:ascii="Times New Roman" w:hAnsi="Times New Roman"/>
          <w:color w:val="auto"/>
        </w:rPr>
      </w:pPr>
      <w:bookmarkStart w:id="301" w:name="_Toc7664"/>
      <w:bookmarkStart w:id="302" w:name="_Toc463"/>
      <w:bookmarkStart w:id="303" w:name="_Toc20253"/>
      <w:bookmarkStart w:id="304" w:name="_Toc30001"/>
      <w:r>
        <w:rPr>
          <w:rFonts w:ascii="Times New Roman" w:hAnsi="Times New Roman"/>
          <w:color w:val="auto"/>
        </w:rPr>
        <w:t>8.3 运行期环境管理</w:t>
      </w:r>
      <w:bookmarkEnd w:id="299"/>
      <w:bookmarkEnd w:id="300"/>
      <w:bookmarkEnd w:id="301"/>
      <w:bookmarkEnd w:id="302"/>
      <w:bookmarkEnd w:id="303"/>
      <w:bookmarkEnd w:id="304"/>
    </w:p>
    <w:p>
      <w:pPr>
        <w:spacing w:line="480" w:lineRule="atLeast"/>
        <w:ind w:firstLine="480" w:firstLineChars="200"/>
        <w:rPr>
          <w:rFonts w:ascii="Times New Roman" w:hAnsi="Times New Roman"/>
          <w:color w:val="auto"/>
          <w:sz w:val="24"/>
          <w:szCs w:val="24"/>
        </w:rPr>
      </w:pPr>
      <w:bookmarkStart w:id="305" w:name="_Toc294178078"/>
      <w:r>
        <w:rPr>
          <w:rFonts w:hint="eastAsia" w:ascii="Times New Roman" w:hAnsi="Times New Roman"/>
          <w:color w:val="auto"/>
          <w:sz w:val="24"/>
          <w:szCs w:val="24"/>
          <w:lang w:eastAsia="zh-CN"/>
        </w:rPr>
        <w:t>盐山县贵新管件厂</w:t>
      </w:r>
      <w:r>
        <w:rPr>
          <w:rFonts w:ascii="Times New Roman" w:hAnsi="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05"/>
      <w:bookmarkStart w:id="306" w:name="_Toc414220604"/>
      <w:bookmarkStart w:id="307" w:name="_Toc412705199"/>
    </w:p>
    <w:p>
      <w:pPr>
        <w:pStyle w:val="6"/>
        <w:spacing w:line="440" w:lineRule="atLeast"/>
        <w:rPr>
          <w:rFonts w:ascii="Times New Roman" w:hAnsi="Times New Roman"/>
          <w:color w:val="auto"/>
        </w:rPr>
      </w:pPr>
      <w:bookmarkStart w:id="308" w:name="_Toc414220602"/>
      <w:bookmarkStart w:id="309" w:name="_Toc28702"/>
      <w:bookmarkStart w:id="310" w:name="_Toc76"/>
      <w:bookmarkStart w:id="311" w:name="_Toc412705196"/>
      <w:bookmarkStart w:id="312" w:name="_Toc8826"/>
      <w:bookmarkStart w:id="313" w:name="_Toc5087"/>
      <w:r>
        <w:rPr>
          <w:rFonts w:ascii="Times New Roman" w:hAnsi="Times New Roman"/>
          <w:color w:val="auto"/>
        </w:rPr>
        <w:t>8.4 社会环境影响情况调查</w:t>
      </w:r>
      <w:bookmarkEnd w:id="308"/>
      <w:bookmarkEnd w:id="309"/>
      <w:bookmarkEnd w:id="310"/>
      <w:bookmarkEnd w:id="311"/>
      <w:bookmarkEnd w:id="312"/>
      <w:bookmarkEnd w:id="313"/>
    </w:p>
    <w:p>
      <w:pPr>
        <w:spacing w:line="440" w:lineRule="atLeast"/>
        <w:ind w:firstLine="480" w:firstLineChars="200"/>
        <w:rPr>
          <w:rFonts w:ascii="Times New Roman" w:hAnsi="Times New Roman"/>
          <w:color w:val="auto"/>
          <w:sz w:val="24"/>
          <w:szCs w:val="24"/>
        </w:rPr>
      </w:pPr>
      <w:r>
        <w:rPr>
          <w:rFonts w:ascii="Times New Roman" w:hAnsi="Times New Roman"/>
          <w:color w:val="auto"/>
          <w:sz w:val="24"/>
          <w:szCs w:val="24"/>
        </w:rPr>
        <w:t>经咨询当地环保主管部门，项目建设及试运行期间未发生扰民和公众投诉意见。</w:t>
      </w:r>
    </w:p>
    <w:p>
      <w:pPr>
        <w:pStyle w:val="6"/>
        <w:rPr>
          <w:rFonts w:ascii="Times New Roman" w:hAnsi="Times New Roman"/>
          <w:color w:val="auto"/>
        </w:rPr>
      </w:pPr>
      <w:bookmarkStart w:id="314" w:name="_Toc9083"/>
      <w:bookmarkStart w:id="315" w:name="_Toc26985"/>
      <w:bookmarkStart w:id="316" w:name="_Toc7270"/>
      <w:bookmarkStart w:id="317" w:name="_Toc15866"/>
      <w:r>
        <w:rPr>
          <w:rFonts w:ascii="Times New Roman" w:hAnsi="Times New Roman"/>
          <w:color w:val="auto"/>
        </w:rPr>
        <w:t>8.5 环境管理情况分析</w:t>
      </w:r>
      <w:bookmarkEnd w:id="306"/>
      <w:bookmarkEnd w:id="307"/>
      <w:bookmarkEnd w:id="314"/>
      <w:bookmarkEnd w:id="315"/>
      <w:bookmarkEnd w:id="316"/>
      <w:bookmarkEnd w:id="317"/>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建设单位设置了相应的环境管理机构，并且正常履行了运行期的环境职责，运行初期的检测工作也已经完成，后续检测计划按周期正常进行。</w:t>
      </w:r>
    </w:p>
    <w:p>
      <w:pPr>
        <w:pStyle w:val="5"/>
        <w:rPr>
          <w:rFonts w:ascii="Times New Roman" w:hAnsi="Times New Roman"/>
          <w:color w:val="auto"/>
        </w:rPr>
      </w:pPr>
      <w:bookmarkStart w:id="318" w:name="_Toc27984"/>
      <w:r>
        <w:rPr>
          <w:rFonts w:ascii="Times New Roman" w:hAnsi="Times New Roman"/>
          <w:color w:val="auto"/>
        </w:rPr>
        <w:br w:type="page"/>
      </w:r>
    </w:p>
    <w:p>
      <w:pPr>
        <w:pStyle w:val="5"/>
        <w:rPr>
          <w:rFonts w:ascii="Times New Roman" w:hAnsi="Times New Roman"/>
          <w:color w:val="auto"/>
        </w:rPr>
      </w:pPr>
      <w:bookmarkStart w:id="319" w:name="_Toc11667"/>
      <w:bookmarkStart w:id="320" w:name="_Toc18158"/>
      <w:bookmarkStart w:id="321" w:name="_Toc12811"/>
      <w:r>
        <w:rPr>
          <w:rFonts w:ascii="Times New Roman" w:hAnsi="Times New Roman"/>
          <w:color w:val="auto"/>
        </w:rPr>
        <w:t>9 结论和建议</w:t>
      </w:r>
      <w:bookmarkEnd w:id="318"/>
      <w:bookmarkEnd w:id="319"/>
      <w:bookmarkEnd w:id="320"/>
      <w:bookmarkEnd w:id="321"/>
    </w:p>
    <w:p>
      <w:pPr>
        <w:pStyle w:val="6"/>
        <w:rPr>
          <w:rFonts w:ascii="Times New Roman" w:hAnsi="Times New Roman"/>
          <w:color w:val="auto"/>
        </w:rPr>
      </w:pPr>
      <w:bookmarkStart w:id="322" w:name="_Toc8760"/>
      <w:bookmarkStart w:id="323" w:name="_Toc6888"/>
      <w:bookmarkStart w:id="324" w:name="_Toc25092"/>
      <w:bookmarkStart w:id="325" w:name="_Toc3234"/>
      <w:r>
        <w:rPr>
          <w:rFonts w:ascii="Times New Roman" w:hAnsi="Times New Roman"/>
          <w:color w:val="auto"/>
        </w:rPr>
        <w:t>9.1 验收主要结论</w:t>
      </w:r>
      <w:bookmarkEnd w:id="322"/>
      <w:bookmarkEnd w:id="323"/>
      <w:bookmarkEnd w:id="324"/>
      <w:bookmarkEnd w:id="325"/>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检测期间，该企业生产正常，设施运行稳定，生产负荷达到</w:t>
      </w:r>
      <w:r>
        <w:rPr>
          <w:rFonts w:hint="eastAsia" w:ascii="Times New Roman" w:hAnsi="Times New Roman"/>
          <w:color w:val="auto"/>
          <w:sz w:val="24"/>
          <w:szCs w:val="24"/>
          <w:lang w:val="en-US" w:eastAsia="zh-CN"/>
        </w:rPr>
        <w:t>90</w:t>
      </w:r>
      <w:r>
        <w:rPr>
          <w:rFonts w:ascii="Times New Roman" w:hAnsi="Times New Roman"/>
          <w:color w:val="auto"/>
          <w:sz w:val="24"/>
          <w:szCs w:val="24"/>
        </w:rPr>
        <w:t>%，满足验收检测技术规范要求。</w:t>
      </w:r>
    </w:p>
    <w:p>
      <w:pPr>
        <w:spacing w:line="480" w:lineRule="atLeast"/>
        <w:ind w:firstLine="480" w:firstLineChars="200"/>
        <w:rPr>
          <w:rFonts w:ascii="Times New Roman" w:hAnsi="Times New Roman"/>
          <w:color w:val="auto"/>
          <w:sz w:val="24"/>
          <w:szCs w:val="24"/>
        </w:rPr>
      </w:pPr>
      <w:bookmarkStart w:id="326" w:name="_Hlk496998889"/>
      <w:r>
        <w:rPr>
          <w:rFonts w:ascii="Times New Roman" w:hAnsi="Times New Roman"/>
          <w:color w:val="auto"/>
          <w:sz w:val="24"/>
          <w:szCs w:val="24"/>
        </w:rPr>
        <w:t>（1）废气</w:t>
      </w:r>
    </w:p>
    <w:bookmarkEnd w:id="326"/>
    <w:p>
      <w:pPr>
        <w:spacing w:line="480" w:lineRule="atLeast"/>
        <w:ind w:firstLine="480" w:firstLineChars="200"/>
        <w:rPr>
          <w:rFonts w:hint="eastAsia" w:ascii="Times New Roman" w:hAnsi="Times New Roman"/>
          <w:color w:val="auto"/>
          <w:sz w:val="24"/>
          <w:szCs w:val="24"/>
        </w:rPr>
      </w:pPr>
      <w:r>
        <w:rPr>
          <w:rFonts w:hint="eastAsia" w:ascii="Times New Roman" w:hAnsi="Times New Roman"/>
          <w:color w:val="auto"/>
          <w:sz w:val="24"/>
          <w:szCs w:val="24"/>
        </w:rPr>
        <w:t>项目</w:t>
      </w:r>
      <w:r>
        <w:rPr>
          <w:rFonts w:hint="eastAsia" w:ascii="Times New Roman" w:hAnsi="Times New Roman"/>
          <w:color w:val="auto"/>
          <w:sz w:val="24"/>
          <w:szCs w:val="24"/>
          <w:lang w:val="en-US" w:eastAsia="zh-CN"/>
        </w:rPr>
        <w:t>切割、修磨、焊接、喷砂工序固定工位，产生的废气经集气罩收集后与1台抛丸机废气经除尘器处理，处理后由1根15m高排气筒排放</w:t>
      </w:r>
      <w:r>
        <w:rPr>
          <w:rFonts w:hint="eastAsia" w:ascii="Times New Roman" w:hAnsi="Times New Roman"/>
          <w:color w:val="auto"/>
          <w:sz w:val="24"/>
          <w:szCs w:val="24"/>
        </w:rPr>
        <w:t>。排放浓度满足《大气污染物综合排放标准》（GB16297-1996）表2中排放标准。</w:t>
      </w:r>
    </w:p>
    <w:p>
      <w:pPr>
        <w:spacing w:line="480" w:lineRule="atLeast"/>
        <w:ind w:firstLine="480" w:firstLineChars="200"/>
        <w:rPr>
          <w:rFonts w:ascii="Times New Roman" w:hAnsi="Times New Roman"/>
          <w:color w:val="auto"/>
          <w:sz w:val="24"/>
          <w:szCs w:val="24"/>
        </w:rPr>
      </w:pPr>
      <w:r>
        <w:rPr>
          <w:rFonts w:hint="eastAsia" w:ascii="Times New Roman" w:hAnsi="Times New Roman"/>
          <w:color w:val="auto"/>
          <w:sz w:val="24"/>
          <w:szCs w:val="24"/>
        </w:rPr>
        <w:t>未收集颗粒物无组织排放，厂界浓度满足《大气污染物综合排放标准》（GB16297-1996）中表2无组织排放监控浓度限值。</w:t>
      </w:r>
    </w:p>
    <w:p>
      <w:p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（2）噪声</w:t>
      </w:r>
    </w:p>
    <w:p>
      <w:pPr>
        <w:spacing w:line="480" w:lineRule="atLeast"/>
        <w:ind w:firstLine="480" w:firstLineChars="200"/>
        <w:rPr>
          <w:rFonts w:ascii="Times New Roman" w:hAnsi="Times New Roman"/>
          <w:color w:val="auto"/>
          <w:kern w:val="0"/>
          <w:sz w:val="24"/>
          <w:szCs w:val="24"/>
        </w:rPr>
      </w:pPr>
      <w:bookmarkStart w:id="327" w:name="_Hlk496998963"/>
      <w:r>
        <w:rPr>
          <w:rFonts w:ascii="Times New Roman" w:hAnsi="Times New Roman"/>
          <w:color w:val="auto"/>
          <w:kern w:val="0"/>
          <w:sz w:val="24"/>
          <w:szCs w:val="24"/>
        </w:rPr>
        <w:t>经监测，该项目厂界各监测点位昼间噪声监测结果均符合《工业企业厂界环境噪声排放标准》(GB 12348-2008)表I中2类</w:t>
      </w:r>
      <w:r>
        <w:rPr>
          <w:rFonts w:hint="eastAsia" w:ascii="Times New Roman" w:hAnsi="Times New Roman"/>
          <w:color w:val="auto"/>
          <w:kern w:val="0"/>
          <w:sz w:val="24"/>
          <w:szCs w:val="24"/>
          <w:lang w:val="en-US" w:eastAsia="zh-CN"/>
        </w:rPr>
        <w:t>和4类</w:t>
      </w:r>
      <w:r>
        <w:rPr>
          <w:rFonts w:ascii="Times New Roman" w:hAnsi="Times New Roman"/>
          <w:color w:val="auto"/>
          <w:kern w:val="0"/>
          <w:sz w:val="24"/>
          <w:szCs w:val="24"/>
        </w:rPr>
        <w:t>标准。</w:t>
      </w:r>
    </w:p>
    <w:p>
      <w:pPr>
        <w:numPr>
          <w:ilvl w:val="0"/>
          <w:numId w:val="1"/>
        </w:numPr>
        <w:spacing w:line="480" w:lineRule="atLeast"/>
        <w:ind w:firstLine="480" w:firstLineChars="200"/>
        <w:rPr>
          <w:rFonts w:ascii="Times New Roman" w:hAnsi="Times New Roman"/>
          <w:color w:val="auto"/>
          <w:sz w:val="24"/>
          <w:szCs w:val="24"/>
        </w:rPr>
      </w:pPr>
      <w:r>
        <w:rPr>
          <w:rFonts w:ascii="Times New Roman" w:hAnsi="Times New Roman"/>
          <w:color w:val="auto"/>
          <w:sz w:val="24"/>
          <w:szCs w:val="24"/>
        </w:rPr>
        <w:t>废水</w:t>
      </w:r>
    </w:p>
    <w:bookmarkEnd w:id="327"/>
    <w:p>
      <w:pPr>
        <w:spacing w:line="480" w:lineRule="atLeast"/>
        <w:ind w:firstLine="480" w:firstLineChars="200"/>
        <w:rPr>
          <w:rFonts w:ascii="Times New Roman" w:hAnsi="Times New Roman"/>
          <w:color w:val="auto"/>
          <w:sz w:val="24"/>
          <w:szCs w:val="24"/>
        </w:rPr>
      </w:pPr>
      <w:bookmarkStart w:id="328" w:name="_Toc6926"/>
      <w:bookmarkStart w:id="329" w:name="_Toc4537"/>
      <w:r>
        <w:rPr>
          <w:rFonts w:hint="eastAsia" w:ascii="Times New Roman" w:hAnsi="Times New Roman"/>
          <w:color w:val="auto"/>
          <w:sz w:val="24"/>
          <w:szCs w:val="24"/>
        </w:rPr>
        <w:t>本项目</w:t>
      </w:r>
      <w:r>
        <w:rPr>
          <w:rFonts w:hint="eastAsia" w:ascii="Times New Roman" w:hAnsi="Times New Roman"/>
          <w:color w:val="auto"/>
          <w:sz w:val="24"/>
          <w:szCs w:val="24"/>
          <w:lang w:val="en-US" w:eastAsia="zh-CN"/>
        </w:rPr>
        <w:t>无生产废水产生</w:t>
      </w:r>
      <w:r>
        <w:rPr>
          <w:rFonts w:hint="eastAsia" w:ascii="Times New Roman" w:hAnsi="Times New Roman"/>
          <w:color w:val="auto"/>
          <w:sz w:val="24"/>
          <w:szCs w:val="24"/>
        </w:rPr>
        <w:t>；厂区职工产生的生活污水，排入化粪池，定期清掏。</w:t>
      </w:r>
    </w:p>
    <w:p>
      <w:pPr>
        <w:spacing w:line="480" w:lineRule="atLeast"/>
        <w:ind w:firstLine="480" w:firstLineChars="200"/>
        <w:rPr>
          <w:rFonts w:ascii="Times New Roman" w:hAnsi="Times New Roman"/>
          <w:color w:val="auto"/>
          <w:kern w:val="0"/>
          <w:sz w:val="24"/>
          <w:szCs w:val="21"/>
        </w:rPr>
      </w:pPr>
      <w:r>
        <w:rPr>
          <w:rFonts w:ascii="Times New Roman" w:hAnsi="Times New Roman"/>
          <w:color w:val="auto"/>
          <w:kern w:val="0"/>
          <w:sz w:val="24"/>
          <w:szCs w:val="21"/>
        </w:rPr>
        <w:t>（4）固体废弃物</w:t>
      </w:r>
      <w:bookmarkEnd w:id="328"/>
      <w:bookmarkEnd w:id="329"/>
    </w:p>
    <w:p>
      <w:pPr>
        <w:pStyle w:val="7"/>
        <w:ind w:firstLine="480" w:firstLineChars="200"/>
        <w:rPr>
          <w:rFonts w:hint="eastAsia" w:ascii="Times New Roman" w:hAnsi="Times New Roman"/>
          <w:color w:val="auto"/>
        </w:rPr>
      </w:pPr>
      <w:bookmarkStart w:id="330" w:name="_Toc6395"/>
      <w:bookmarkStart w:id="331" w:name="_Toc24650"/>
      <w:bookmarkStart w:id="332" w:name="_Hlk496999304"/>
      <w:r>
        <w:rPr>
          <w:rFonts w:hint="eastAsia" w:ascii="Times New Roman" w:hAnsi="Times New Roman"/>
          <w:color w:val="auto"/>
        </w:rPr>
        <w:t>本项目固废主要为</w:t>
      </w:r>
      <w:r>
        <w:rPr>
          <w:rFonts w:hint="eastAsia" w:ascii="Times New Roman" w:hAnsi="Times New Roman"/>
          <w:color w:val="auto"/>
          <w:lang w:val="en-US" w:eastAsia="zh-CN"/>
        </w:rPr>
        <w:t>切割工序产生的边角料、焊接工序产生废焊条、检验工序产生不合格品、布袋除尘器收集粉尘收集后外售，机油循环利用，设备维护过程中产生的含油废抹布与生活办公产生生活垃圾由垃圾箱收集，环卫部门定期清运</w:t>
      </w:r>
      <w:r>
        <w:rPr>
          <w:rFonts w:hint="eastAsia" w:ascii="Times New Roman" w:hAnsi="Times New Roman"/>
          <w:color w:val="auto"/>
        </w:rPr>
        <w:t>。</w:t>
      </w:r>
    </w:p>
    <w:p>
      <w:pPr>
        <w:pStyle w:val="7"/>
        <w:ind w:firstLine="480" w:firstLineChars="200"/>
        <w:rPr>
          <w:rFonts w:ascii="Times New Roman" w:hAnsi="Times New Roman"/>
          <w:color w:val="auto"/>
        </w:rPr>
      </w:pPr>
      <w:r>
        <w:rPr>
          <w:rFonts w:ascii="Times New Roman" w:hAnsi="Times New Roman"/>
          <w:color w:val="auto"/>
        </w:rPr>
        <w:t>（5）结论</w:t>
      </w:r>
      <w:bookmarkEnd w:id="330"/>
      <w:bookmarkEnd w:id="331"/>
    </w:p>
    <w:p>
      <w:pPr>
        <w:spacing w:line="480" w:lineRule="atLeast"/>
        <w:ind w:firstLine="480" w:firstLineChars="200"/>
        <w:rPr>
          <w:rFonts w:ascii="Times New Roman" w:hAnsi="Times New Roman"/>
          <w:color w:val="auto"/>
          <w:sz w:val="24"/>
          <w:szCs w:val="24"/>
        </w:rPr>
      </w:pPr>
      <w:r>
        <w:rPr>
          <w:rFonts w:hint="eastAsia" w:ascii="宋体" w:hAnsi="宋体"/>
          <w:color w:val="auto"/>
          <w:sz w:val="24"/>
          <w:szCs w:val="24"/>
        </w:rPr>
        <w:t>综上分析，项目已按环评及批复要求进行了环境保护设施建设，根据监测结果可满足相关环境排放标准要求。</w:t>
      </w:r>
    </w:p>
    <w:bookmarkEnd w:id="332"/>
    <w:p>
      <w:pPr>
        <w:pStyle w:val="6"/>
        <w:spacing w:before="156" w:beforeLines="50"/>
        <w:rPr>
          <w:rFonts w:ascii="Times New Roman" w:hAnsi="Times New Roman"/>
          <w:color w:val="auto"/>
        </w:rPr>
      </w:pPr>
      <w:bookmarkStart w:id="333" w:name="_Toc30691"/>
      <w:bookmarkStart w:id="334" w:name="_Toc21981"/>
      <w:bookmarkStart w:id="335" w:name="_Toc10340"/>
      <w:bookmarkStart w:id="336" w:name="_Toc18401"/>
      <w:r>
        <w:rPr>
          <w:rFonts w:ascii="Times New Roman" w:hAnsi="Times New Roman"/>
          <w:color w:val="auto"/>
        </w:rPr>
        <w:t>9.2 建议</w:t>
      </w:r>
      <w:bookmarkEnd w:id="333"/>
      <w:bookmarkEnd w:id="334"/>
      <w:bookmarkEnd w:id="335"/>
      <w:bookmarkEnd w:id="336"/>
    </w:p>
    <w:p>
      <w:pPr>
        <w:pStyle w:val="7"/>
        <w:spacing w:line="360" w:lineRule="auto"/>
        <w:ind w:firstLine="480" w:firstLineChars="200"/>
        <w:rPr>
          <w:rFonts w:ascii="Times New Roman" w:hAnsi="Times New Roman"/>
          <w:color w:val="auto"/>
          <w:sz w:val="24"/>
          <w:szCs w:val="24"/>
        </w:rPr>
        <w:sectPr>
          <w:pgSz w:w="11906" w:h="16838"/>
          <w:pgMar w:top="1440" w:right="1800" w:bottom="1440" w:left="1800" w:header="851" w:footer="992" w:gutter="0"/>
          <w:cols w:space="425" w:num="1"/>
          <w:docGrid w:type="lines" w:linePitch="312" w:charSpace="0"/>
        </w:sectPr>
      </w:pPr>
      <w:r>
        <w:rPr>
          <w:rFonts w:hint="eastAsia" w:ascii="Times New Roman" w:hAnsi="Times New Roman"/>
          <w:color w:val="auto"/>
        </w:rPr>
        <w:t>企业定期对设备设施进行维护、检修；定期对员工进行培训，提高员工安全环保意识。确保</w:t>
      </w:r>
      <w:r>
        <w:rPr>
          <w:rFonts w:ascii="Times New Roman" w:hAnsi="Times New Roman"/>
          <w:color w:val="auto"/>
        </w:rPr>
        <w:t>各项环保</w:t>
      </w:r>
      <w:r>
        <w:rPr>
          <w:rFonts w:hint="eastAsia" w:ascii="Times New Roman" w:hAnsi="Times New Roman"/>
          <w:color w:val="auto"/>
        </w:rPr>
        <w:t>设施正常运行</w:t>
      </w:r>
      <w:r>
        <w:rPr>
          <w:rFonts w:ascii="Times New Roman" w:hAnsi="Times New Roman"/>
          <w:color w:val="auto"/>
        </w:rPr>
        <w:t>，确保污染物达标排放。应加强环保管理，</w:t>
      </w:r>
      <w:r>
        <w:rPr>
          <w:rFonts w:hint="eastAsia" w:ascii="Times New Roman" w:hAnsi="Times New Roman"/>
          <w:color w:val="auto"/>
        </w:rPr>
        <w:t>加强巡检力度，</w:t>
      </w:r>
      <w:r>
        <w:rPr>
          <w:rFonts w:ascii="Times New Roman" w:hAnsi="Times New Roman"/>
          <w:color w:val="auto"/>
        </w:rPr>
        <w:t>发现问题及时处理。</w:t>
      </w:r>
    </w:p>
    <w:p>
      <w:pPr>
        <w:rPr>
          <w:color w:val="FF0000"/>
        </w:rPr>
      </w:pPr>
    </w:p>
    <w:p>
      <w:pPr>
        <w:widowControl/>
        <w:spacing w:line="480" w:lineRule="atLeast"/>
        <w:jc w:val="center"/>
        <w:rPr>
          <w:rFonts w:ascii="Times New Roman" w:hAnsi="Times New Roman"/>
          <w:b/>
          <w:bCs/>
          <w:color w:val="FF0000"/>
          <w:kern w:val="0"/>
          <w:sz w:val="24"/>
          <w:szCs w:val="24"/>
        </w:rPr>
      </w:pPr>
      <w:r>
        <w:rPr>
          <w:rFonts w:hint="eastAsia" w:ascii="Times New Roman" w:hAnsi="Times New Roman"/>
          <w:b/>
          <w:bCs/>
          <w:color w:val="FF0000"/>
          <w:kern w:val="0"/>
          <w:sz w:val="24"/>
          <w:szCs w:val="24"/>
        </w:rPr>
        <w:t>附件1  项目环评审批意见</w:t>
      </w:r>
      <w:r>
        <w:rPr>
          <w:rFonts w:hint="eastAsia" w:ascii="Times New Roman" w:hAnsi="Times New Roman" w:eastAsia="宋体"/>
          <w:b/>
          <w:bCs/>
          <w:color w:val="FF0000"/>
          <w:kern w:val="0"/>
          <w:sz w:val="24"/>
          <w:szCs w:val="24"/>
          <w:lang w:eastAsia="zh-CN"/>
        </w:rPr>
        <w:drawing>
          <wp:inline distT="0" distB="0" distL="114300" distR="114300">
            <wp:extent cx="4979035" cy="6909435"/>
            <wp:effectExtent l="0" t="0" r="12065" b="5715"/>
            <wp:docPr id="10" name="图片 10" descr="e5c000626ba69a4378ae0ff469c5d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5c000626ba69a4378ae0ff469c5d46"/>
                    <pic:cNvPicPr>
                      <a:picLocks noChangeAspect="1"/>
                    </pic:cNvPicPr>
                  </pic:nvPicPr>
                  <pic:blipFill>
                    <a:blip r:embed="rId19"/>
                    <a:srcRect t="4039" b="17899"/>
                    <a:stretch>
                      <a:fillRect/>
                    </a:stretch>
                  </pic:blipFill>
                  <pic:spPr>
                    <a:xfrm>
                      <a:off x="0" y="0"/>
                      <a:ext cx="4979035" cy="6909435"/>
                    </a:xfrm>
                    <a:prstGeom prst="rect">
                      <a:avLst/>
                    </a:prstGeom>
                  </pic:spPr>
                </pic:pic>
              </a:graphicData>
            </a:graphic>
          </wp:inline>
        </w:drawing>
      </w:r>
    </w:p>
    <w:p>
      <w:pPr>
        <w:widowControl/>
        <w:spacing w:line="480" w:lineRule="atLeast"/>
        <w:jc w:val="center"/>
        <w:rPr>
          <w:rFonts w:hint="eastAsia" w:ascii="Times New Roman" w:hAnsi="Times New Roman" w:eastAsia="宋体"/>
          <w:b/>
          <w:bCs/>
          <w:color w:val="FF0000"/>
          <w:kern w:val="0"/>
          <w:sz w:val="24"/>
          <w:szCs w:val="24"/>
          <w:lang w:eastAsia="zh-CN"/>
        </w:rPr>
      </w:pPr>
      <w:r>
        <w:rPr>
          <w:rFonts w:hint="eastAsia" w:ascii="Times New Roman" w:hAnsi="Times New Roman" w:eastAsia="宋体"/>
          <w:b/>
          <w:bCs/>
          <w:color w:val="FF0000"/>
          <w:kern w:val="0"/>
          <w:sz w:val="24"/>
          <w:szCs w:val="24"/>
          <w:lang w:eastAsia="zh-CN"/>
        </w:rPr>
        <w:drawing>
          <wp:inline distT="0" distB="0" distL="114300" distR="114300">
            <wp:extent cx="4979035" cy="8035290"/>
            <wp:effectExtent l="0" t="0" r="12065" b="3810"/>
            <wp:docPr id="9" name="图片 9" descr="6ab2e927c9e3432616ad7688d919c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ab2e927c9e3432616ad7688d919c3d"/>
                    <pic:cNvPicPr>
                      <a:picLocks noChangeAspect="1"/>
                    </pic:cNvPicPr>
                  </pic:nvPicPr>
                  <pic:blipFill>
                    <a:blip r:embed="rId20"/>
                    <a:srcRect t="2073" b="7145"/>
                    <a:stretch>
                      <a:fillRect/>
                    </a:stretch>
                  </pic:blipFill>
                  <pic:spPr>
                    <a:xfrm>
                      <a:off x="0" y="0"/>
                      <a:ext cx="4979035" cy="8035290"/>
                    </a:xfrm>
                    <a:prstGeom prst="rect">
                      <a:avLst/>
                    </a:prstGeom>
                  </pic:spPr>
                </pic:pic>
              </a:graphicData>
            </a:graphic>
          </wp:inline>
        </w:drawing>
      </w: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p>
    <w:p>
      <w:pPr>
        <w:widowControl/>
        <w:spacing w:line="440" w:lineRule="atLeast"/>
        <w:jc w:val="center"/>
        <w:rPr>
          <w:rFonts w:hint="eastAsia" w:ascii="Times New Roman" w:hAnsi="Times New Roman"/>
          <w:b/>
          <w:bCs/>
          <w:color w:val="FF0000"/>
          <w:sz w:val="24"/>
          <w:szCs w:val="24"/>
        </w:rPr>
      </w:pPr>
    </w:p>
    <w:p>
      <w:pPr>
        <w:widowControl/>
        <w:spacing w:line="440" w:lineRule="atLeast"/>
        <w:jc w:val="center"/>
        <w:rPr>
          <w:rFonts w:ascii="Times New Roman" w:hAnsi="Times New Roman"/>
          <w:b/>
          <w:bCs/>
          <w:color w:val="FF0000"/>
          <w:sz w:val="24"/>
          <w:szCs w:val="24"/>
        </w:rPr>
      </w:pPr>
      <w:bookmarkStart w:id="337" w:name="_GoBack"/>
      <w:bookmarkEnd w:id="337"/>
      <w:r>
        <w:rPr>
          <w:rFonts w:ascii="Times New Roman" w:hAnsi="Times New Roman"/>
          <w:b/>
          <w:bCs/>
          <w:color w:val="FF0000"/>
          <w:sz w:val="24"/>
          <w:szCs w:val="24"/>
        </w:rPr>
        <w:t>附件2  营业执照</w:t>
      </w:r>
    </w:p>
    <w:p>
      <w:pPr>
        <w:pStyle w:val="2"/>
        <w:ind w:firstLine="0" w:firstLineChars="0"/>
        <w:jc w:val="center"/>
        <w:rPr>
          <w:rFonts w:hint="eastAsia" w:ascii="Times New Roman" w:hAnsi="Times New Roman" w:eastAsia="宋体"/>
          <w:color w:val="FF0000"/>
          <w:lang w:eastAsia="zh-CN"/>
        </w:rPr>
      </w:pPr>
      <w:r>
        <w:rPr>
          <w:rFonts w:hint="eastAsia" w:ascii="Times New Roman" w:hAnsi="Times New Roman" w:eastAsia="宋体"/>
          <w:color w:val="FF0000"/>
          <w:lang w:eastAsia="zh-CN"/>
        </w:rPr>
        <w:drawing>
          <wp:inline distT="0" distB="0" distL="114300" distR="114300">
            <wp:extent cx="7681595" cy="5761990"/>
            <wp:effectExtent l="0" t="0" r="10160" b="14605"/>
            <wp:docPr id="8" name="图片 8" descr="附件5-营业执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附件5-营业执照"/>
                    <pic:cNvPicPr>
                      <a:picLocks noChangeAspect="1"/>
                    </pic:cNvPicPr>
                  </pic:nvPicPr>
                  <pic:blipFill>
                    <a:blip r:embed="rId21"/>
                    <a:stretch>
                      <a:fillRect/>
                    </a:stretch>
                  </pic:blipFill>
                  <pic:spPr>
                    <a:xfrm rot="16200000">
                      <a:off x="0" y="0"/>
                      <a:ext cx="7681595" cy="5761990"/>
                    </a:xfrm>
                    <a:prstGeom prst="rect">
                      <a:avLst/>
                    </a:prstGeom>
                  </pic:spPr>
                </pic:pic>
              </a:graphicData>
            </a:graphic>
          </wp:inline>
        </w:drawing>
      </w:r>
    </w:p>
    <w:p>
      <w:pPr>
        <w:rPr>
          <w:color w:val="FF0000"/>
        </w:rPr>
        <w:sectPr>
          <w:headerReference r:id="rId9" w:type="default"/>
          <w:footerReference r:id="rId10" w:type="default"/>
          <w:pgSz w:w="11906" w:h="16838"/>
          <w:pgMar w:top="1440" w:right="1800" w:bottom="1440" w:left="1800" w:header="851" w:footer="992" w:gutter="0"/>
          <w:cols w:space="425" w:num="1"/>
          <w:docGrid w:type="lines" w:linePitch="312" w:charSpace="0"/>
        </w:sectPr>
      </w:pPr>
    </w:p>
    <w:p>
      <w:pPr>
        <w:rPr>
          <w:rFonts w:ascii="Times New Roman" w:hAnsi="Times New Roman"/>
          <w:color w:val="FF0000"/>
        </w:rPr>
      </w:pPr>
      <w:r>
        <w:drawing>
          <wp:inline distT="0" distB="0" distL="114300" distR="114300">
            <wp:extent cx="5997575" cy="7269480"/>
            <wp:effectExtent l="0" t="0" r="3175" b="762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22"/>
                    <a:stretch>
                      <a:fillRect/>
                    </a:stretch>
                  </pic:blipFill>
                  <pic:spPr>
                    <a:xfrm>
                      <a:off x="0" y="0"/>
                      <a:ext cx="5997575" cy="7269480"/>
                    </a:xfrm>
                    <a:prstGeom prst="rect">
                      <a:avLst/>
                    </a:prstGeom>
                    <a:noFill/>
                    <a:ln>
                      <a:noFill/>
                    </a:ln>
                  </pic:spPr>
                </pic:pic>
              </a:graphicData>
            </a:graphic>
          </wp:inline>
        </w:drawing>
      </w:r>
    </w:p>
    <w:sectPr>
      <w:footerReference r:id="rId11" w:type="default"/>
      <w:pgSz w:w="11906" w:h="16838"/>
      <w:pgMar w:top="306" w:right="1230" w:bottom="306" w:left="123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 Light">
    <w:altName w:val="Segoe Print"/>
    <w:panose1 w:val="00000000000000000000"/>
    <w:charset w:val="00"/>
    <w:family w:val="auto"/>
    <w:pitch w:val="default"/>
    <w:sig w:usb0="00000000" w:usb1="00000000" w:usb2="00000000" w:usb3="00000000" w:csb0="00000001" w:csb1="00000000"/>
  </w:font>
  <w:font w:name="AIAUJG+ËÎÌå">
    <w:altName w:val="Verdana"/>
    <w:panose1 w:val="00000000000000000000"/>
    <w:charset w:val="01"/>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auto"/>
    <w:pitch w:val="default"/>
    <w:sig w:usb0="A00006FF" w:usb1="4000205B" w:usb2="0000001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sz w:val="18"/>
        <w:szCs w:val="18"/>
      </w:rPr>
      <w:t>河北宇富石油管业有限公司年产</w:t>
    </w:r>
    <w:r>
      <w:rPr>
        <w:rFonts w:ascii="Times New Roman" w:hAnsi="Times New Roman" w:eastAsiaTheme="minorEastAsia"/>
        <w:sz w:val="18"/>
        <w:szCs w:val="18"/>
      </w:rPr>
      <w:t>800</w:t>
    </w:r>
    <w:r>
      <w:rPr>
        <w:rFonts w:hint="eastAsia" w:asciiTheme="minorEastAsia" w:hAnsiTheme="minorEastAsia" w:eastAsiaTheme="minorEastAsia" w:cstheme="minorEastAsia"/>
        <w:sz w:val="18"/>
        <w:szCs w:val="18"/>
      </w:rPr>
      <w:t>万标米增强钢丝塑料管生产项目竣工环境保护验收报告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B9A5A21"/>
    <w:rsid w:val="00072EB5"/>
    <w:rsid w:val="000B0F86"/>
    <w:rsid w:val="000B23BC"/>
    <w:rsid w:val="0016213F"/>
    <w:rsid w:val="0022349B"/>
    <w:rsid w:val="00282B0D"/>
    <w:rsid w:val="002E5F54"/>
    <w:rsid w:val="002F309B"/>
    <w:rsid w:val="003C3041"/>
    <w:rsid w:val="004062B7"/>
    <w:rsid w:val="00560E4E"/>
    <w:rsid w:val="00590CD2"/>
    <w:rsid w:val="006B4CFC"/>
    <w:rsid w:val="006C034B"/>
    <w:rsid w:val="00784DA5"/>
    <w:rsid w:val="007A366B"/>
    <w:rsid w:val="007B74FF"/>
    <w:rsid w:val="00A63755"/>
    <w:rsid w:val="00A81D27"/>
    <w:rsid w:val="00D4719D"/>
    <w:rsid w:val="00D91EC6"/>
    <w:rsid w:val="00DD2A1C"/>
    <w:rsid w:val="00EE2D98"/>
    <w:rsid w:val="00FA03EF"/>
    <w:rsid w:val="01154659"/>
    <w:rsid w:val="011907BE"/>
    <w:rsid w:val="015604DD"/>
    <w:rsid w:val="018822EA"/>
    <w:rsid w:val="01E479C3"/>
    <w:rsid w:val="02F406E9"/>
    <w:rsid w:val="036C74A4"/>
    <w:rsid w:val="04A85E5B"/>
    <w:rsid w:val="04F624CA"/>
    <w:rsid w:val="07A36D9B"/>
    <w:rsid w:val="07C1255B"/>
    <w:rsid w:val="08354ED4"/>
    <w:rsid w:val="090066D1"/>
    <w:rsid w:val="099A0640"/>
    <w:rsid w:val="09F03240"/>
    <w:rsid w:val="0ABA0647"/>
    <w:rsid w:val="0AE0375C"/>
    <w:rsid w:val="0B6363A9"/>
    <w:rsid w:val="0B6667F7"/>
    <w:rsid w:val="0B6B7007"/>
    <w:rsid w:val="0B832E74"/>
    <w:rsid w:val="0BAC6F41"/>
    <w:rsid w:val="0D105D43"/>
    <w:rsid w:val="0E0E70D5"/>
    <w:rsid w:val="0ECF421D"/>
    <w:rsid w:val="0F053649"/>
    <w:rsid w:val="0F143ECE"/>
    <w:rsid w:val="0F7E3710"/>
    <w:rsid w:val="0F996560"/>
    <w:rsid w:val="10440ACB"/>
    <w:rsid w:val="11185061"/>
    <w:rsid w:val="11506FB2"/>
    <w:rsid w:val="12630E7F"/>
    <w:rsid w:val="1342171C"/>
    <w:rsid w:val="139C4038"/>
    <w:rsid w:val="143A4C1A"/>
    <w:rsid w:val="14CE2B18"/>
    <w:rsid w:val="16153F55"/>
    <w:rsid w:val="1649623B"/>
    <w:rsid w:val="167F2485"/>
    <w:rsid w:val="16A727EF"/>
    <w:rsid w:val="16D07C2A"/>
    <w:rsid w:val="171B5911"/>
    <w:rsid w:val="175F3F40"/>
    <w:rsid w:val="17B152E2"/>
    <w:rsid w:val="190C4832"/>
    <w:rsid w:val="191205C7"/>
    <w:rsid w:val="197A03A3"/>
    <w:rsid w:val="197A55F9"/>
    <w:rsid w:val="19F340F0"/>
    <w:rsid w:val="1A593FED"/>
    <w:rsid w:val="1A7E60A3"/>
    <w:rsid w:val="1BB914C5"/>
    <w:rsid w:val="1C6B70E4"/>
    <w:rsid w:val="1CFD4F4A"/>
    <w:rsid w:val="1D146AB0"/>
    <w:rsid w:val="1DC34DFA"/>
    <w:rsid w:val="1DE97DB3"/>
    <w:rsid w:val="1E787C3A"/>
    <w:rsid w:val="1EFE2753"/>
    <w:rsid w:val="1F184B76"/>
    <w:rsid w:val="21895209"/>
    <w:rsid w:val="22E826B5"/>
    <w:rsid w:val="230B1A45"/>
    <w:rsid w:val="23605E8E"/>
    <w:rsid w:val="24123644"/>
    <w:rsid w:val="24461371"/>
    <w:rsid w:val="24B0718C"/>
    <w:rsid w:val="2542404B"/>
    <w:rsid w:val="26B032CD"/>
    <w:rsid w:val="2781114D"/>
    <w:rsid w:val="286D3F7B"/>
    <w:rsid w:val="28BC7A5B"/>
    <w:rsid w:val="29EF18AB"/>
    <w:rsid w:val="2A7F01EB"/>
    <w:rsid w:val="2B9A5A21"/>
    <w:rsid w:val="2BFD0EEC"/>
    <w:rsid w:val="2C914E3F"/>
    <w:rsid w:val="2CE73E1C"/>
    <w:rsid w:val="2DD91141"/>
    <w:rsid w:val="2DEB55D6"/>
    <w:rsid w:val="2E082A95"/>
    <w:rsid w:val="2E535107"/>
    <w:rsid w:val="2EF23990"/>
    <w:rsid w:val="2F2473F1"/>
    <w:rsid w:val="2F3A716E"/>
    <w:rsid w:val="2FD14B32"/>
    <w:rsid w:val="30AB7CA3"/>
    <w:rsid w:val="31210606"/>
    <w:rsid w:val="3225051F"/>
    <w:rsid w:val="322B6C9D"/>
    <w:rsid w:val="32793228"/>
    <w:rsid w:val="33032D3C"/>
    <w:rsid w:val="333831BB"/>
    <w:rsid w:val="33642F1E"/>
    <w:rsid w:val="33A46444"/>
    <w:rsid w:val="344F2D38"/>
    <w:rsid w:val="34C07B39"/>
    <w:rsid w:val="35923813"/>
    <w:rsid w:val="35A534DF"/>
    <w:rsid w:val="35BC1C41"/>
    <w:rsid w:val="35D71A7C"/>
    <w:rsid w:val="37954092"/>
    <w:rsid w:val="37A44B25"/>
    <w:rsid w:val="387859EC"/>
    <w:rsid w:val="3884358F"/>
    <w:rsid w:val="38BF20A9"/>
    <w:rsid w:val="39F138C5"/>
    <w:rsid w:val="3A063711"/>
    <w:rsid w:val="3A914940"/>
    <w:rsid w:val="3B8A1DF8"/>
    <w:rsid w:val="3BB31EF2"/>
    <w:rsid w:val="3BD02128"/>
    <w:rsid w:val="3C774790"/>
    <w:rsid w:val="3C7E652C"/>
    <w:rsid w:val="3C8E4E00"/>
    <w:rsid w:val="3DC85DFF"/>
    <w:rsid w:val="3DDB20E2"/>
    <w:rsid w:val="3E0B53AA"/>
    <w:rsid w:val="3E0D7FF2"/>
    <w:rsid w:val="3E827254"/>
    <w:rsid w:val="4111649F"/>
    <w:rsid w:val="421B5153"/>
    <w:rsid w:val="421E388B"/>
    <w:rsid w:val="422C5F7B"/>
    <w:rsid w:val="4347397F"/>
    <w:rsid w:val="445F75CD"/>
    <w:rsid w:val="44AC4F97"/>
    <w:rsid w:val="458A0BC7"/>
    <w:rsid w:val="45D31AC8"/>
    <w:rsid w:val="45EE63E9"/>
    <w:rsid w:val="46956E76"/>
    <w:rsid w:val="474B1EB1"/>
    <w:rsid w:val="485A65CB"/>
    <w:rsid w:val="4A283569"/>
    <w:rsid w:val="4A6B7D3C"/>
    <w:rsid w:val="4A8D49E3"/>
    <w:rsid w:val="4AAA6ED1"/>
    <w:rsid w:val="4B0D2D46"/>
    <w:rsid w:val="4C1E03F9"/>
    <w:rsid w:val="4C72320F"/>
    <w:rsid w:val="4C902FFF"/>
    <w:rsid w:val="4DC537AE"/>
    <w:rsid w:val="4E801E3B"/>
    <w:rsid w:val="4E827D12"/>
    <w:rsid w:val="4EAC0405"/>
    <w:rsid w:val="4EDF4394"/>
    <w:rsid w:val="4F3C6A41"/>
    <w:rsid w:val="4FA225A3"/>
    <w:rsid w:val="4FE6264D"/>
    <w:rsid w:val="50A47F56"/>
    <w:rsid w:val="512E7FBA"/>
    <w:rsid w:val="51806F8B"/>
    <w:rsid w:val="54482B82"/>
    <w:rsid w:val="54511922"/>
    <w:rsid w:val="54626FB4"/>
    <w:rsid w:val="54713309"/>
    <w:rsid w:val="557A527E"/>
    <w:rsid w:val="5702376B"/>
    <w:rsid w:val="57723443"/>
    <w:rsid w:val="591F1701"/>
    <w:rsid w:val="59EB0033"/>
    <w:rsid w:val="5B916452"/>
    <w:rsid w:val="5B982079"/>
    <w:rsid w:val="5BA01B74"/>
    <w:rsid w:val="5BA85FF5"/>
    <w:rsid w:val="5DF16C64"/>
    <w:rsid w:val="5DFF2C8C"/>
    <w:rsid w:val="5EFA4D6F"/>
    <w:rsid w:val="5F0C1043"/>
    <w:rsid w:val="5FC943AC"/>
    <w:rsid w:val="60524FFB"/>
    <w:rsid w:val="60D513C5"/>
    <w:rsid w:val="61903CAC"/>
    <w:rsid w:val="619F3903"/>
    <w:rsid w:val="624A05B8"/>
    <w:rsid w:val="62504E4F"/>
    <w:rsid w:val="62574003"/>
    <w:rsid w:val="64471040"/>
    <w:rsid w:val="64790CF2"/>
    <w:rsid w:val="648E3223"/>
    <w:rsid w:val="6495713E"/>
    <w:rsid w:val="66144CBE"/>
    <w:rsid w:val="669E4292"/>
    <w:rsid w:val="67BB4024"/>
    <w:rsid w:val="682C719B"/>
    <w:rsid w:val="68A70E51"/>
    <w:rsid w:val="68C314A8"/>
    <w:rsid w:val="68D42B85"/>
    <w:rsid w:val="69030DD9"/>
    <w:rsid w:val="6957122A"/>
    <w:rsid w:val="69FC3B4D"/>
    <w:rsid w:val="6A0B0A00"/>
    <w:rsid w:val="6AF23142"/>
    <w:rsid w:val="6B184FC4"/>
    <w:rsid w:val="6B1B3C01"/>
    <w:rsid w:val="6CE06728"/>
    <w:rsid w:val="6DC30E5B"/>
    <w:rsid w:val="6DF077F3"/>
    <w:rsid w:val="6E0D5A43"/>
    <w:rsid w:val="6ED659BE"/>
    <w:rsid w:val="6F4B669E"/>
    <w:rsid w:val="6F6C06CA"/>
    <w:rsid w:val="6F7B6A60"/>
    <w:rsid w:val="702B2008"/>
    <w:rsid w:val="70FC22C7"/>
    <w:rsid w:val="71C6608B"/>
    <w:rsid w:val="72D179BF"/>
    <w:rsid w:val="73894780"/>
    <w:rsid w:val="74231176"/>
    <w:rsid w:val="75421315"/>
    <w:rsid w:val="756B2CFD"/>
    <w:rsid w:val="75874E09"/>
    <w:rsid w:val="75EB4796"/>
    <w:rsid w:val="78E8599C"/>
    <w:rsid w:val="790D46C0"/>
    <w:rsid w:val="79230E0C"/>
    <w:rsid w:val="794D7227"/>
    <w:rsid w:val="798A712A"/>
    <w:rsid w:val="79AB3592"/>
    <w:rsid w:val="79D11ED5"/>
    <w:rsid w:val="79E736E8"/>
    <w:rsid w:val="7B130FB2"/>
    <w:rsid w:val="7B455DCD"/>
    <w:rsid w:val="7B985219"/>
    <w:rsid w:val="7BE611BE"/>
    <w:rsid w:val="7C340821"/>
    <w:rsid w:val="7C3E570E"/>
    <w:rsid w:val="7D3B7439"/>
    <w:rsid w:val="7E072EBD"/>
    <w:rsid w:val="7E9A153F"/>
    <w:rsid w:val="7EB02159"/>
    <w:rsid w:val="7F021436"/>
    <w:rsid w:val="7F263E37"/>
    <w:rsid w:val="7FBD30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5">
    <w:name w:val="heading 1"/>
    <w:basedOn w:val="1"/>
    <w:next w:val="1"/>
    <w:qFormat/>
    <w:uiPriority w:val="0"/>
    <w:pPr>
      <w:spacing w:line="480" w:lineRule="atLeast"/>
      <w:outlineLvl w:val="0"/>
    </w:pPr>
    <w:rPr>
      <w:rFonts w:ascii="宋体" w:hAnsi="宋体"/>
      <w:b/>
      <w:sz w:val="30"/>
      <w:szCs w:val="30"/>
    </w:rPr>
  </w:style>
  <w:style w:type="paragraph" w:styleId="6">
    <w:name w:val="heading 2"/>
    <w:basedOn w:val="5"/>
    <w:next w:val="1"/>
    <w:semiHidden/>
    <w:unhideWhenUsed/>
    <w:qFormat/>
    <w:uiPriority w:val="0"/>
    <w:pPr>
      <w:outlineLvl w:val="1"/>
    </w:pPr>
    <w:rPr>
      <w:sz w:val="28"/>
    </w:rPr>
  </w:style>
  <w:style w:type="paragraph" w:styleId="7">
    <w:name w:val="heading 3"/>
    <w:basedOn w:val="1"/>
    <w:next w:val="1"/>
    <w:unhideWhenUsed/>
    <w:qFormat/>
    <w:uiPriority w:val="0"/>
    <w:pPr>
      <w:spacing w:line="480" w:lineRule="atLeast"/>
      <w:outlineLvl w:val="2"/>
    </w:pPr>
    <w:rPr>
      <w:rFonts w:ascii="宋体" w:hAnsi="宋体"/>
      <w:sz w:val="24"/>
      <w:szCs w:val="24"/>
    </w:rPr>
  </w:style>
  <w:style w:type="character" w:default="1" w:styleId="21">
    <w:name w:val="Default Paragraph Font"/>
    <w:semiHidden/>
    <w:unhideWhenUsed/>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2">
    <w:name w:val="Normal Indent"/>
    <w:basedOn w:val="1"/>
    <w:next w:val="3"/>
    <w:qFormat/>
    <w:uiPriority w:val="0"/>
    <w:pPr>
      <w:ind w:firstLine="420" w:firstLineChars="200"/>
    </w:pPr>
    <w:rPr>
      <w:szCs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cs="宋体"/>
      <w:sz w:val="24"/>
    </w:rPr>
  </w:style>
  <w:style w:type="paragraph" w:styleId="4">
    <w:name w:val="Body Text"/>
    <w:basedOn w:val="1"/>
    <w:qFormat/>
    <w:uiPriority w:val="0"/>
    <w:pPr>
      <w:spacing w:after="120"/>
    </w:pPr>
  </w:style>
  <w:style w:type="paragraph" w:styleId="8">
    <w:name w:val="Body Text Indent"/>
    <w:basedOn w:val="1"/>
    <w:qFormat/>
    <w:uiPriority w:val="0"/>
    <w:pPr>
      <w:spacing w:after="120"/>
      <w:ind w:left="420" w:leftChars="200"/>
    </w:pPr>
  </w:style>
  <w:style w:type="paragraph" w:styleId="9">
    <w:name w:val="toc 3"/>
    <w:basedOn w:val="1"/>
    <w:next w:val="1"/>
    <w:qFormat/>
    <w:uiPriority w:val="0"/>
    <w:pPr>
      <w:widowControl/>
      <w:spacing w:after="100" w:line="259" w:lineRule="auto"/>
      <w:ind w:left="440"/>
      <w:jc w:val="left"/>
    </w:pPr>
    <w:rPr>
      <w:kern w:val="0"/>
      <w:sz w:val="22"/>
    </w:rPr>
  </w:style>
  <w:style w:type="paragraph" w:styleId="10">
    <w:name w:val="Plain Text"/>
    <w:basedOn w:val="1"/>
    <w:link w:val="33"/>
    <w:qFormat/>
    <w:uiPriority w:val="0"/>
    <w:rPr>
      <w:rFonts w:ascii="宋体" w:hAnsi="Courier New" w:cs="Courier New"/>
      <w:szCs w:val="21"/>
    </w:rPr>
  </w:style>
  <w:style w:type="paragraph" w:styleId="11">
    <w:name w:val="footer"/>
    <w:basedOn w:val="1"/>
    <w:qFormat/>
    <w:uiPriority w:val="0"/>
    <w:pPr>
      <w:tabs>
        <w:tab w:val="center" w:pos="4153"/>
        <w:tab w:val="right" w:pos="8306"/>
      </w:tabs>
      <w:snapToGrid w:val="0"/>
      <w:jc w:val="left"/>
    </w:pPr>
    <w:rPr>
      <w:sz w:val="18"/>
      <w:szCs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3">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4">
    <w:name w:val="List"/>
    <w:basedOn w:val="1"/>
    <w:qFormat/>
    <w:uiPriority w:val="0"/>
    <w:pPr>
      <w:spacing w:line="360" w:lineRule="exact"/>
      <w:ind w:firstLine="38" w:firstLineChars="18"/>
      <w:jc w:val="left"/>
    </w:pPr>
    <w:rPr>
      <w:rFonts w:ascii="宋体" w:hAnsi="Times New Roman"/>
      <w:szCs w:val="21"/>
    </w:rPr>
  </w:style>
  <w:style w:type="paragraph" w:styleId="15">
    <w:name w:val="toc 2"/>
    <w:basedOn w:val="1"/>
    <w:next w:val="1"/>
    <w:qFormat/>
    <w:uiPriority w:val="0"/>
    <w:pPr>
      <w:ind w:left="420" w:leftChars="200"/>
    </w:pPr>
  </w:style>
  <w:style w:type="paragraph" w:styleId="16">
    <w:name w:val="Body Text 2"/>
    <w:basedOn w:val="1"/>
    <w:qFormat/>
    <w:uiPriority w:val="0"/>
    <w:pPr>
      <w:spacing w:after="120" w:line="480" w:lineRule="auto"/>
    </w:pPr>
  </w:style>
  <w:style w:type="paragraph" w:styleId="17">
    <w:name w:val="Body Text First Indent"/>
    <w:basedOn w:val="4"/>
    <w:qFormat/>
    <w:uiPriority w:val="0"/>
    <w:pPr>
      <w:ind w:firstLine="420" w:firstLineChars="100"/>
    </w:pPr>
    <w:rPr>
      <w:rFonts w:eastAsia="华文中宋"/>
    </w:rPr>
  </w:style>
  <w:style w:type="paragraph" w:styleId="18">
    <w:name w:val="Body Text First Indent 2"/>
    <w:basedOn w:val="8"/>
    <w:next w:val="1"/>
    <w:qFormat/>
    <w:uiPriority w:val="0"/>
    <w:pPr>
      <w:ind w:firstLine="420" w:firstLineChars="200"/>
    </w:pPr>
  </w:style>
  <w:style w:type="table" w:styleId="20">
    <w:name w:val="Table Grid"/>
    <w:basedOn w:val="1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annotation reference"/>
    <w:basedOn w:val="21"/>
    <w:qFormat/>
    <w:uiPriority w:val="0"/>
    <w:rPr>
      <w:rFonts w:ascii="Times New Roman" w:eastAsia="宋体"/>
      <w:color w:val="000000"/>
      <w:spacing w:val="0"/>
      <w:w w:val="100"/>
      <w:sz w:val="21"/>
      <w:szCs w:val="21"/>
      <w:u w:val="none" w:color="000000"/>
      <w:vertAlign w:val="baseline"/>
      <w:lang w:val="en-US" w:eastAsia="zh-CN"/>
    </w:rPr>
  </w:style>
  <w:style w:type="paragraph" w:customStyle="1" w:styleId="23">
    <w:name w:val="样式 样式 样式 四号 左侧:  1.53 厘米 + 首行缩进:  2 字符 + 居中 左侧:  2 字符 首行缩进:  2..."/>
    <w:basedOn w:val="24"/>
    <w:qFormat/>
    <w:uiPriority w:val="0"/>
    <w:pPr>
      <w:jc w:val="center"/>
    </w:pPr>
  </w:style>
  <w:style w:type="paragraph" w:customStyle="1" w:styleId="24">
    <w:name w:val="样式 样式 四号 左侧:  1.53 厘米 + 首行缩进:  2 字符"/>
    <w:basedOn w:val="25"/>
    <w:qFormat/>
    <w:uiPriority w:val="0"/>
    <w:pPr>
      <w:ind w:left="200" w:leftChars="200"/>
    </w:pPr>
    <w:rPr>
      <w:szCs w:val="20"/>
    </w:rPr>
  </w:style>
  <w:style w:type="paragraph" w:customStyle="1" w:styleId="25">
    <w:name w:val="样式 四号 左侧:  1.53 厘米"/>
    <w:basedOn w:val="1"/>
    <w:qFormat/>
    <w:uiPriority w:val="0"/>
    <w:pPr>
      <w:adjustRightInd w:val="0"/>
    </w:pPr>
    <w:rPr>
      <w:w w:val="90"/>
      <w:sz w:val="28"/>
      <w:szCs w:val="28"/>
    </w:rPr>
  </w:style>
  <w:style w:type="paragraph" w:customStyle="1" w:styleId="26">
    <w:name w:val="TOC Heading1"/>
    <w:basedOn w:val="5"/>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7">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8">
    <w:name w:val="列出段落1"/>
    <w:basedOn w:val="1"/>
    <w:qFormat/>
    <w:uiPriority w:val="99"/>
    <w:pPr>
      <w:ind w:firstLine="420" w:firstLineChars="200"/>
    </w:pPr>
  </w:style>
  <w:style w:type="table" w:customStyle="1" w:styleId="29">
    <w:name w:val="TableGrid"/>
    <w:qFormat/>
    <w:uiPriority w:val="0"/>
    <w:tblPr>
      <w:tblCellMar>
        <w:top w:w="0" w:type="dxa"/>
        <w:left w:w="0" w:type="dxa"/>
        <w:bottom w:w="0" w:type="dxa"/>
        <w:right w:w="0" w:type="dxa"/>
      </w:tblCellMar>
    </w:tblPr>
  </w:style>
  <w:style w:type="paragraph" w:customStyle="1" w:styleId="30">
    <w:name w:val="(1)"/>
    <w:basedOn w:val="1"/>
    <w:qFormat/>
    <w:uiPriority w:val="0"/>
    <w:rPr>
      <w:sz w:val="24"/>
    </w:rPr>
  </w:style>
  <w:style w:type="paragraph" w:customStyle="1" w:styleId="31">
    <w:name w:val="1"/>
    <w:basedOn w:val="1"/>
    <w:next w:val="10"/>
    <w:qFormat/>
    <w:uiPriority w:val="0"/>
    <w:rPr>
      <w:rFonts w:ascii="宋体" w:hAnsi="Courier New"/>
      <w:color w:val="000000"/>
      <w:kern w:val="44"/>
      <w:sz w:val="24"/>
      <w:szCs w:val="20"/>
    </w:rPr>
  </w:style>
  <w:style w:type="paragraph" w:customStyle="1" w:styleId="32">
    <w:name w:val="表格内容"/>
    <w:qFormat/>
    <w:uiPriority w:val="0"/>
    <w:pPr>
      <w:adjustRightInd w:val="0"/>
      <w:snapToGrid w:val="0"/>
      <w:spacing w:line="360" w:lineRule="exact"/>
      <w:jc w:val="center"/>
    </w:pPr>
    <w:rPr>
      <w:rFonts w:ascii="Times New Roman" w:hAnsi="Times New Roman" w:eastAsia="宋体" w:cs="Times New Roman"/>
      <w:color w:val="000000"/>
      <w:sz w:val="24"/>
      <w:lang w:val="en-US" w:eastAsia="zh-CN" w:bidi="ar-SA"/>
    </w:rPr>
  </w:style>
  <w:style w:type="character" w:customStyle="1" w:styleId="33">
    <w:name w:val="纯文本 字符"/>
    <w:link w:val="10"/>
    <w:qFormat/>
    <w:uiPriority w:val="0"/>
    <w:rPr>
      <w:rFonts w:ascii="宋体" w:hAnsi="Courier New" w:cs="Courier New"/>
      <w:kern w:val="2"/>
      <w:sz w:val="21"/>
      <w:szCs w:val="21"/>
    </w:rPr>
  </w:style>
  <w:style w:type="paragraph" w:customStyle="1" w:styleId="34">
    <w:name w:val="A-表格文字"/>
    <w:basedOn w:val="1"/>
    <w:next w:val="1"/>
    <w:qFormat/>
    <w:uiPriority w:val="0"/>
    <w:pPr>
      <w:autoSpaceDE w:val="0"/>
      <w:autoSpaceDN w:val="0"/>
      <w:adjustRightInd w:val="0"/>
      <w:jc w:val="center"/>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0.png"/><Relationship Id="rId21" Type="http://schemas.openxmlformats.org/officeDocument/2006/relationships/image" Target="media/image9.jpeg"/><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jpe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36</Pages>
  <Words>2736</Words>
  <Characters>15598</Characters>
  <Lines>129</Lines>
  <Paragraphs>36</Paragraphs>
  <TotalTime>1</TotalTime>
  <ScaleCrop>false</ScaleCrop>
  <LinksUpToDate>false</LinksUpToDate>
  <CharactersWithSpaces>18298</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Administrator</cp:lastModifiedBy>
  <cp:lastPrinted>2018-10-24T03:46:00Z</cp:lastPrinted>
  <dcterms:modified xsi:type="dcterms:W3CDTF">2020-08-03T03:42:53Z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