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imes New Roman" w:hAnsi="Times New Roman" w:eastAsia="黑体" w:cs="Times New Roman"/>
          <w:sz w:val="36"/>
          <w:szCs w:val="36"/>
          <w:lang w:eastAsia="zh-CN"/>
        </w:rPr>
      </w:pPr>
      <w:bookmarkStart w:id="0" w:name="_Hlk496949272"/>
      <w:bookmarkEnd w:id="0"/>
      <w:r>
        <w:rPr>
          <w:rFonts w:hint="eastAsia" w:ascii="Times New Roman" w:hAnsi="Times New Roman" w:eastAsia="黑体" w:cs="Times New Roman"/>
          <w:sz w:val="36"/>
          <w:szCs w:val="36"/>
          <w:lang w:val="en-US" w:eastAsia="zh-CN"/>
        </w:rPr>
        <w:t xml:space="preserve"> </w:t>
      </w:r>
    </w:p>
    <w:p>
      <w:pPr>
        <w:jc w:val="center"/>
        <w:rPr>
          <w:rFonts w:hint="default" w:ascii="Times New Roman" w:hAnsi="Times New Roman" w:eastAsia="黑体" w:cs="Times New Roman"/>
          <w:sz w:val="36"/>
          <w:szCs w:val="36"/>
        </w:rPr>
      </w:pPr>
    </w:p>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eastAsia" w:ascii="Times New Roman" w:hAnsi="Times New Roman" w:eastAsia="宋体" w:cs="Times New Roman"/>
          <w:b/>
          <w:bCs/>
          <w:sz w:val="48"/>
          <w:szCs w:val="48"/>
          <w:lang w:eastAsia="zh-CN"/>
        </w:rPr>
      </w:pPr>
      <w:bookmarkStart w:id="1" w:name="_Hlk496950128"/>
      <w:r>
        <w:rPr>
          <w:rFonts w:hint="eastAsia" w:ascii="Times New Roman" w:hAnsi="Times New Roman" w:eastAsia="宋体" w:cs="Times New Roman"/>
          <w:b/>
          <w:bCs/>
          <w:sz w:val="48"/>
          <w:szCs w:val="48"/>
          <w:lang w:eastAsia="zh-CN"/>
        </w:rPr>
        <w:t>盐山县泰达房地产开发有限公司</w:t>
      </w:r>
    </w:p>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default" w:ascii="Times New Roman" w:hAnsi="Times New Roman" w:eastAsia="宋体" w:cs="Times New Roman"/>
          <w:b/>
          <w:bCs/>
          <w:sz w:val="52"/>
          <w:szCs w:val="52"/>
          <w:lang w:eastAsia="zh-CN"/>
        </w:rPr>
      </w:pPr>
      <w:r>
        <w:rPr>
          <w:rFonts w:hint="eastAsia" w:ascii="Times New Roman" w:hAnsi="Times New Roman" w:eastAsia="宋体" w:cs="Times New Roman"/>
          <w:b/>
          <w:bCs/>
          <w:sz w:val="48"/>
          <w:szCs w:val="48"/>
          <w:lang w:eastAsia="zh-CN"/>
        </w:rPr>
        <w:t>盐山县泰达国际城（北区）项目</w:t>
      </w:r>
    </w:p>
    <w:p>
      <w:pPr>
        <w:keepNext w:val="0"/>
        <w:keepLines w:val="0"/>
        <w:pageBreakBefore w:val="0"/>
        <w:widowControl w:val="0"/>
        <w:kinsoku/>
        <w:wordWrap/>
        <w:overflowPunct/>
        <w:topLinePunct w:val="0"/>
        <w:autoSpaceDE/>
        <w:autoSpaceDN/>
        <w:bidi w:val="0"/>
        <w:adjustRightInd/>
        <w:snapToGrid/>
        <w:spacing w:line="800" w:lineRule="exact"/>
        <w:ind w:left="0" w:leftChars="0" w:right="0" w:rightChars="0" w:firstLine="0" w:firstLineChars="0"/>
        <w:jc w:val="center"/>
        <w:textAlignment w:val="auto"/>
        <w:outlineLvl w:val="9"/>
        <w:rPr>
          <w:rFonts w:hint="default" w:ascii="Times New Roman" w:hAnsi="Times New Roman" w:eastAsia="宋体" w:cs="Times New Roman"/>
          <w:b/>
          <w:bCs/>
          <w:sz w:val="52"/>
          <w:szCs w:val="52"/>
        </w:rPr>
      </w:pPr>
      <w:r>
        <w:rPr>
          <w:rFonts w:hint="default" w:ascii="Times New Roman" w:hAnsi="Times New Roman" w:eastAsia="宋体" w:cs="Times New Roman"/>
          <w:b/>
          <w:bCs/>
          <w:sz w:val="52"/>
          <w:szCs w:val="52"/>
        </w:rPr>
        <w:t>竣工环境保护验收报告</w:t>
      </w:r>
      <w:bookmarkEnd w:id="1"/>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ind w:firstLine="1120" w:firstLineChars="400"/>
        <w:jc w:val="center"/>
        <w:rPr>
          <w:rFonts w:hint="default" w:ascii="Times New Roman" w:hAnsi="Times New Roman" w:eastAsia="宋体" w:cs="Times New Roman"/>
          <w:sz w:val="28"/>
          <w:szCs w:val="28"/>
        </w:rPr>
      </w:pPr>
      <w:r>
        <w:rPr>
          <w:rFonts w:hint="default" w:ascii="Times New Roman" w:hAnsi="Times New Roman" w:eastAsia="宋体" w:cs="Times New Roman"/>
          <w:sz w:val="28"/>
          <w:szCs w:val="28"/>
        </w:rPr>
        <w:t>建设单位：</w:t>
      </w:r>
      <w:r>
        <w:rPr>
          <w:rFonts w:hint="eastAsia" w:ascii="Times New Roman" w:hAnsi="Times New Roman" w:eastAsia="宋体" w:cs="Times New Roman"/>
          <w:sz w:val="28"/>
          <w:szCs w:val="28"/>
          <w:lang w:eastAsia="zh-CN"/>
        </w:rPr>
        <w:t>盐山县泰达房地产开发有限公司</w:t>
      </w:r>
    </w:p>
    <w:p>
      <w:pPr>
        <w:ind w:firstLine="1120" w:firstLineChars="400"/>
        <w:jc w:val="center"/>
        <w:rPr>
          <w:rFonts w:hint="default" w:ascii="Times New Roman" w:hAnsi="Times New Roman" w:eastAsia="宋体" w:cs="Times New Roman"/>
          <w:sz w:val="28"/>
          <w:szCs w:val="28"/>
        </w:rPr>
      </w:pPr>
      <w:r>
        <w:rPr>
          <w:rFonts w:hint="default" w:ascii="Times New Roman" w:hAnsi="Times New Roman" w:eastAsia="宋体" w:cs="Times New Roman"/>
          <w:sz w:val="28"/>
          <w:szCs w:val="28"/>
          <w:lang w:val="en-US" w:eastAsia="zh-CN"/>
        </w:rPr>
        <w:t>编制</w:t>
      </w:r>
      <w:r>
        <w:rPr>
          <w:rFonts w:hint="default" w:ascii="Times New Roman" w:hAnsi="Times New Roman" w:eastAsia="宋体" w:cs="Times New Roman"/>
          <w:sz w:val="28"/>
          <w:szCs w:val="28"/>
        </w:rPr>
        <w:t>单位：</w:t>
      </w:r>
      <w:r>
        <w:rPr>
          <w:rFonts w:hint="eastAsia" w:ascii="Times New Roman" w:hAnsi="Times New Roman" w:eastAsia="宋体" w:cs="Times New Roman"/>
          <w:sz w:val="28"/>
          <w:szCs w:val="28"/>
          <w:lang w:eastAsia="zh-CN"/>
        </w:rPr>
        <w:t>盐山县泰达房地产开发有限公司</w:t>
      </w:r>
    </w:p>
    <w:p>
      <w:pPr>
        <w:jc w:val="center"/>
        <w:rPr>
          <w:rFonts w:hint="default" w:ascii="Times New Roman" w:hAnsi="Times New Roman" w:eastAsia="宋体" w:cs="Times New Roman"/>
          <w:sz w:val="28"/>
          <w:szCs w:val="28"/>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sz w:val="28"/>
          <w:szCs w:val="28"/>
          <w:lang w:val="en-US" w:eastAsia="zh-CN"/>
        </w:rPr>
        <w:t xml:space="preserve">       </w:t>
      </w:r>
      <w:r>
        <w:rPr>
          <w:rFonts w:hint="default" w:ascii="Times New Roman" w:hAnsi="Times New Roman" w:eastAsia="宋体" w:cs="Times New Roman"/>
          <w:sz w:val="28"/>
          <w:szCs w:val="28"/>
        </w:rPr>
        <w:t>20</w:t>
      </w:r>
      <w:r>
        <w:rPr>
          <w:rFonts w:hint="eastAsia" w:ascii="Times New Roman" w:hAnsi="Times New Roman" w:eastAsia="宋体" w:cs="Times New Roman"/>
          <w:sz w:val="28"/>
          <w:szCs w:val="28"/>
          <w:lang w:val="en-US" w:eastAsia="zh-CN"/>
        </w:rPr>
        <w:t>20</w:t>
      </w:r>
      <w:r>
        <w:rPr>
          <w:rFonts w:hint="default" w:ascii="Times New Roman" w:hAnsi="Times New Roman" w:eastAsia="宋体" w:cs="Times New Roman"/>
          <w:sz w:val="28"/>
          <w:szCs w:val="28"/>
        </w:rPr>
        <w:t>年</w:t>
      </w:r>
      <w:r>
        <w:rPr>
          <w:rFonts w:hint="eastAsia" w:ascii="Times New Roman" w:hAnsi="Times New Roman" w:eastAsia="宋体" w:cs="Times New Roman"/>
          <w:sz w:val="28"/>
          <w:szCs w:val="28"/>
          <w:lang w:val="en-US" w:eastAsia="zh-CN"/>
        </w:rPr>
        <w:t>9</w:t>
      </w:r>
      <w:r>
        <w:rPr>
          <w:rFonts w:hint="default" w:ascii="Times New Roman" w:hAnsi="Times New Roman" w:eastAsia="宋体" w:cs="Times New Roman"/>
          <w:sz w:val="28"/>
          <w:szCs w:val="28"/>
        </w:rPr>
        <w:t>月</w:t>
      </w:r>
    </w:p>
    <w:sdt>
      <w:sdtPr>
        <w:rPr>
          <w:rFonts w:hint="default" w:ascii="Times New Roman" w:hAnsi="Times New Roman" w:eastAsia="宋体" w:cs="Times New Roman"/>
          <w:color w:val="auto"/>
          <w:kern w:val="2"/>
          <w:sz w:val="21"/>
          <w:szCs w:val="21"/>
          <w:lang w:val="zh-CN"/>
        </w:rPr>
        <w:id w:val="1886829262"/>
        <w:docPartObj>
          <w:docPartGallery w:val="Table of Contents"/>
          <w:docPartUnique/>
        </w:docPartObj>
      </w:sdtPr>
      <w:sdtEndPr>
        <w:rPr>
          <w:rFonts w:hint="default" w:ascii="Times New Roman" w:hAnsi="Times New Roman" w:eastAsia="宋体" w:cs="Times New Roman"/>
          <w:b/>
          <w:bCs/>
          <w:color w:val="auto"/>
          <w:kern w:val="2"/>
          <w:sz w:val="21"/>
          <w:szCs w:val="21"/>
          <w:lang w:val="zh-CN"/>
        </w:rPr>
      </w:sdtEndPr>
      <w:sdtContent>
        <w:p>
          <w:pPr>
            <w:pStyle w:val="3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目</w:t>
          </w:r>
          <w:r>
            <w:rPr>
              <w:rFonts w:hint="default" w:ascii="Times New Roman" w:hAnsi="Times New Roman" w:eastAsia="宋体" w:cs="Times New Roman"/>
              <w:sz w:val="21"/>
              <w:szCs w:val="21"/>
              <w:lang w:val="en-US" w:eastAsia="zh-CN"/>
            </w:rPr>
            <w:t xml:space="preserve"> </w:t>
          </w:r>
          <w:r>
            <w:rPr>
              <w:rFonts w:hint="default" w:ascii="Times New Roman" w:hAnsi="Times New Roman" w:eastAsia="宋体" w:cs="Times New Roman"/>
              <w:sz w:val="21"/>
              <w:szCs w:val="21"/>
            </w:rPr>
            <w:t>录</w:t>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TOC \o "1-3" \h \z \u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_Toc31182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前  言</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_Toc31182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_Toc9978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 验收编制依据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_Toc9978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_Toc1764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1.1 法律、法规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_Toc1764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_Toc29516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1.2 验收技术规范</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_Toc29516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_Toc592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1.3 工程技术文件及批复文件</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_Toc592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_Toc11900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 工程概况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_Toc11900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_Toc23675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 项目基本情况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_Toc23675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_Toc16488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2.1.1 基本情况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_Toc16488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_Toc31383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2.1.2 地理位置及周边情况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_Toc31383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_Toc19221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 建设内容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_Toc19221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_Toc2476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 xml:space="preserve">2.2.1 </w:t>
          </w:r>
          <w:r>
            <w:rPr>
              <w:rFonts w:hint="default" w:ascii="Times New Roman" w:hAnsi="Times New Roman" w:eastAsia="宋体" w:cs="Times New Roman"/>
              <w:sz w:val="21"/>
              <w:szCs w:val="21"/>
              <w:lang w:val="en-US" w:eastAsia="zh-CN"/>
            </w:rPr>
            <w:t>建设</w:t>
          </w:r>
          <w:r>
            <w:rPr>
              <w:rFonts w:hint="default" w:ascii="Times New Roman" w:hAnsi="Times New Roman" w:eastAsia="宋体" w:cs="Times New Roman"/>
              <w:sz w:val="21"/>
              <w:szCs w:val="21"/>
              <w:lang w:val="zh-CN"/>
            </w:rPr>
            <w:t>规模</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_Toc2476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_Toc30238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2.2.2 主要</w:t>
          </w:r>
          <w:r>
            <w:rPr>
              <w:rFonts w:hint="default" w:ascii="Times New Roman" w:hAnsi="Times New Roman" w:eastAsia="宋体" w:cs="Times New Roman"/>
              <w:sz w:val="21"/>
              <w:szCs w:val="21"/>
              <w:lang w:val="en-US" w:eastAsia="zh-CN"/>
            </w:rPr>
            <w:t>建设内容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_Toc30238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_Toc20184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2.2.</w:t>
          </w:r>
          <w:r>
            <w:rPr>
              <w:rFonts w:hint="default"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主要技术指标</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_Toc20184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_Toc26222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 xml:space="preserve">2.3 </w:t>
          </w:r>
          <w:r>
            <w:rPr>
              <w:rFonts w:hint="default" w:ascii="Times New Roman" w:hAnsi="Times New Roman" w:eastAsia="宋体" w:cs="Times New Roman"/>
              <w:sz w:val="21"/>
              <w:szCs w:val="21"/>
              <w:lang w:val="en-US" w:eastAsia="zh-CN"/>
            </w:rPr>
            <w:t>工艺及污染源分析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_Toc26222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5</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_Toc19718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4</w:t>
          </w:r>
          <w:r>
            <w:rPr>
              <w:rFonts w:hint="default" w:ascii="Times New Roman" w:hAnsi="Times New Roman" w:eastAsia="宋体" w:cs="Times New Roman"/>
              <w:sz w:val="21"/>
              <w:szCs w:val="21"/>
              <w:lang w:val="zh-CN"/>
            </w:rPr>
            <w:t xml:space="preserve"> 公用工程</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_Toc19718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_Toc13014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5</w:t>
          </w:r>
          <w:r>
            <w:rPr>
              <w:rFonts w:hint="default" w:ascii="Times New Roman" w:hAnsi="Times New Roman" w:eastAsia="宋体" w:cs="Times New Roman"/>
              <w:sz w:val="21"/>
              <w:szCs w:val="21"/>
              <w:lang w:val="zh-CN"/>
            </w:rPr>
            <w:t xml:space="preserve"> 环评审批情况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_Toc13014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_Toc3219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6</w:t>
          </w:r>
          <w:r>
            <w:rPr>
              <w:rFonts w:hint="default" w:ascii="Times New Roman" w:hAnsi="Times New Roman" w:eastAsia="宋体" w:cs="Times New Roman"/>
              <w:sz w:val="21"/>
              <w:szCs w:val="21"/>
              <w:lang w:val="zh-CN"/>
            </w:rPr>
            <w:t xml:space="preserve"> 项目投资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_Toc3219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_Toc30980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7</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项目变更情况说明</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_Toc30980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_Toc13606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8</w:t>
          </w:r>
          <w:r>
            <w:rPr>
              <w:rFonts w:hint="default" w:ascii="Times New Roman" w:hAnsi="Times New Roman" w:eastAsia="宋体" w:cs="Times New Roman"/>
              <w:sz w:val="21"/>
              <w:szCs w:val="21"/>
              <w:lang w:val="zh-CN"/>
            </w:rPr>
            <w:t xml:space="preserve"> 环境保护“三同时”落实情况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_Toc13606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_Toc28944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w:t>
          </w:r>
          <w:r>
            <w:rPr>
              <w:rFonts w:hint="eastAsia" w:cs="Times New Roman"/>
              <w:sz w:val="21"/>
              <w:szCs w:val="21"/>
              <w:lang w:val="en-US" w:eastAsia="zh-CN"/>
            </w:rPr>
            <w:t>9</w:t>
          </w:r>
          <w:r>
            <w:rPr>
              <w:rFonts w:hint="default" w:ascii="Times New Roman" w:hAnsi="Times New Roman" w:eastAsia="宋体" w:cs="Times New Roman"/>
              <w:sz w:val="21"/>
              <w:szCs w:val="21"/>
              <w:lang w:val="zh-CN"/>
            </w:rPr>
            <w:t xml:space="preserve"> 验收范围及内容</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_Toc28944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_Toc20051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 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_Toc20051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_Toc7607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3.1 施工期主要污染源及治理措施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_Toc7607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_Toc27507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 运行期主要污染源及治理措施</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_Toc27507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_Toc14904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3.2.1 废水</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_Toc14904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_Toc8937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en-US" w:eastAsia="zh-CN"/>
            </w:rPr>
            <w:t>3.2.2 废气</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_Toc8937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_Toc13062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3.2.3 噪声</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_Toc13062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_Toc3292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3.2.4 固体废物</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_Toc3292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_Toc6763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 环评主要结论及环评批复要求</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_Toc6763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_Toc27883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4.1 建设项目环评</w:t>
          </w:r>
          <w:r>
            <w:rPr>
              <w:rFonts w:hint="eastAsia" w:ascii="Times New Roman" w:hAnsi="Times New Roman" w:eastAsia="宋体" w:cs="Times New Roman"/>
              <w:sz w:val="21"/>
              <w:szCs w:val="21"/>
              <w:lang w:val="zh-CN"/>
            </w:rPr>
            <w:t>报告表</w:t>
          </w:r>
          <w:r>
            <w:rPr>
              <w:rFonts w:hint="default" w:ascii="Times New Roman" w:hAnsi="Times New Roman" w:eastAsia="宋体" w:cs="Times New Roman"/>
              <w:sz w:val="21"/>
              <w:szCs w:val="21"/>
              <w:lang w:val="zh-CN"/>
            </w:rPr>
            <w:t>的主要结论</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_Toc27883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_Toc28049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4.2 审批部门审批意见</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_Toc28049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_Toc1571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4.3 审批意见落实情况</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_Toc1571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15</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_Toc9231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5 验收评价标准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_Toc9231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16</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_Toc11727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 质量保障措施和检测分析方法</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_Toc11727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_Toc22196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6.1 质量保障体系</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_Toc22196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_Toc30605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6.2 检测点位、项目及频次</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_Toc30605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17</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_Toc14489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 验收检测结果及分析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_Toc14489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_Toc26651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 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_Toc26651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_Toc10580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7.1.1 废气检测结果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_Toc10580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_Toc16224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w:t>
          </w: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lang w:val="zh-CN"/>
            </w:rPr>
            <w:t xml:space="preserve"> 噪声检测结果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_Toc16224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19</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_Toc21828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7.1.</w:t>
          </w:r>
          <w:r>
            <w:rPr>
              <w:rFonts w:hint="default"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lang w:val="zh-CN"/>
            </w:rPr>
            <w:t xml:space="preserve"> </w:t>
          </w:r>
          <w:r>
            <w:rPr>
              <w:rFonts w:hint="default" w:ascii="Times New Roman" w:hAnsi="Times New Roman" w:eastAsia="宋体" w:cs="Times New Roman"/>
              <w:sz w:val="21"/>
              <w:szCs w:val="21"/>
              <w:lang w:val="en-US" w:eastAsia="zh-CN"/>
            </w:rPr>
            <w:t>废水</w:t>
          </w:r>
          <w:r>
            <w:rPr>
              <w:rFonts w:hint="default" w:ascii="Times New Roman" w:hAnsi="Times New Roman" w:eastAsia="宋体" w:cs="Times New Roman"/>
              <w:sz w:val="21"/>
              <w:szCs w:val="21"/>
              <w:lang w:val="zh-CN"/>
            </w:rPr>
            <w:t>检测结果</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_Toc21828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20</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_Toc7147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7.2 检测结果分析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_Toc7147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21</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_Toc15787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 环境管理检查</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_Toc15787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8.1 环保管理机构</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_Toc2880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_Toc3637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8.2 施工期环境管理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_Toc3637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_Toc30117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8.3 运行期环境管理</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_Toc30117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_Toc5148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8.4 社会环境影响情况调查</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_Toc5148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_Toc2387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8.5 环境管理情况分析</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_Toc2387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23</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_Toc2827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 结论和建议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_Toc2827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_Toc10295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9.1 验收主要结论</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_Toc10295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24</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HYPERLINK \l _Toc15520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9.2 建议</w:t>
          </w:r>
          <w:r>
            <w:rPr>
              <w:rFonts w:hint="default" w:ascii="Times New Roman" w:hAnsi="Times New Roman" w:eastAsia="宋体" w:cs="Times New Roman"/>
              <w:sz w:val="21"/>
              <w:szCs w:val="21"/>
              <w:lang w:val="zh-CN"/>
            </w:rPr>
            <w:tab/>
          </w:r>
          <w:r>
            <w:rPr>
              <w:rFonts w:hint="default" w:ascii="Times New Roman" w:hAnsi="Times New Roman" w:eastAsia="宋体" w:cs="Times New Roman"/>
              <w:sz w:val="21"/>
              <w:szCs w:val="21"/>
              <w:lang w:val="zh-CN"/>
            </w:rPr>
            <w:fldChar w:fldCharType="begin"/>
          </w:r>
          <w:r>
            <w:rPr>
              <w:rFonts w:hint="default" w:ascii="Times New Roman" w:hAnsi="Times New Roman" w:eastAsia="宋体" w:cs="Times New Roman"/>
              <w:sz w:val="21"/>
              <w:szCs w:val="21"/>
              <w:lang w:val="zh-CN"/>
            </w:rPr>
            <w:instrText xml:space="preserve"> PAGEREF _Toc15520 </w:instrText>
          </w:r>
          <w:r>
            <w:rPr>
              <w:rFonts w:hint="default" w:ascii="Times New Roman" w:hAnsi="Times New Roman" w:eastAsia="宋体" w:cs="Times New Roman"/>
              <w:sz w:val="21"/>
              <w:szCs w:val="21"/>
              <w:lang w:val="zh-CN"/>
            </w:rPr>
            <w:fldChar w:fldCharType="separate"/>
          </w:r>
          <w:r>
            <w:rPr>
              <w:rFonts w:hint="default" w:ascii="Times New Roman" w:hAnsi="Times New Roman" w:eastAsia="宋体" w:cs="Times New Roman"/>
              <w:sz w:val="21"/>
              <w:szCs w:val="21"/>
              <w:lang w:val="zh-CN"/>
            </w:rPr>
            <w:t>25</w:t>
          </w:r>
          <w:r>
            <w:rPr>
              <w:rFonts w:hint="default" w:ascii="Times New Roman" w:hAnsi="Times New Roman" w:eastAsia="宋体" w:cs="Times New Roman"/>
              <w:sz w:val="21"/>
              <w:szCs w:val="21"/>
              <w:lang w:val="zh-CN"/>
            </w:rPr>
            <w:fldChar w:fldCharType="end"/>
          </w: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r>
            <w:rPr>
              <w:rFonts w:hint="default" w:ascii="Times New Roman" w:hAnsi="Times New Roman" w:eastAsia="宋体" w:cs="Times New Roman"/>
              <w:sz w:val="21"/>
              <w:szCs w:val="21"/>
              <w:lang w:val="zh-CN"/>
            </w:rPr>
            <w:fldChar w:fldCharType="end"/>
          </w: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lang w:val="zh-CN"/>
            </w:rPr>
          </w:pPr>
        </w:p>
        <w:p>
          <w:pPr>
            <w:pStyle w:val="22"/>
            <w:keepNext w:val="0"/>
            <w:keepLines w:val="0"/>
            <w:pageBreakBefore w:val="0"/>
            <w:tabs>
              <w:tab w:val="right" w:leader="dot" w:pos="8306"/>
            </w:tabs>
            <w:kinsoku/>
            <w:wordWrap/>
            <w:overflowPunct/>
            <w:topLinePunct w:val="0"/>
            <w:autoSpaceDE/>
            <w:autoSpaceDN/>
            <w:bidi w:val="0"/>
            <w:adjustRightInd/>
            <w:snapToGrid/>
            <w:spacing w:line="360" w:lineRule="exact"/>
            <w:ind w:left="0" w:leftChars="0"/>
            <w:textAlignment w:val="auto"/>
            <w:rPr>
              <w:rFonts w:hint="default" w:ascii="Times New Roman" w:hAnsi="Times New Roman" w:eastAsia="宋体" w:cs="Times New Roman"/>
              <w:sz w:val="21"/>
              <w:szCs w:val="21"/>
            </w:rPr>
          </w:pPr>
        </w:p>
      </w:sdtContent>
    </w:sdt>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default" w:ascii="Times New Roman" w:hAnsi="Times New Roman" w:eastAsia="宋体" w:cs="Times New Roman"/>
          <w:b/>
          <w:color w:val="auto"/>
          <w:sz w:val="30"/>
          <w:szCs w:val="30"/>
        </w:rPr>
      </w:pPr>
      <w:r>
        <w:rPr>
          <w:rFonts w:hint="default" w:ascii="Times New Roman" w:hAnsi="Times New Roman" w:eastAsia="宋体" w:cs="Times New Roman"/>
          <w:b/>
          <w:color w:val="auto"/>
          <w:sz w:val="30"/>
          <w:szCs w:val="30"/>
        </w:rPr>
        <w:t>附图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1、地理位置图；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w:t>
      </w:r>
      <w:r>
        <w:rPr>
          <w:rFonts w:hint="default" w:ascii="Times New Roman" w:hAnsi="Times New Roman" w:eastAsia="宋体" w:cs="Times New Roman"/>
          <w:color w:val="auto"/>
          <w:sz w:val="24"/>
          <w:szCs w:val="24"/>
          <w:lang w:val="en-US" w:eastAsia="zh-CN"/>
        </w:rPr>
        <w:t>周边关系</w:t>
      </w:r>
      <w:r>
        <w:rPr>
          <w:rFonts w:hint="default" w:ascii="Times New Roman" w:hAnsi="Times New Roman" w:eastAsia="宋体" w:cs="Times New Roman"/>
          <w:color w:val="auto"/>
          <w:sz w:val="24"/>
          <w:szCs w:val="24"/>
        </w:rPr>
        <w:t>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3、平面布置图。</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default" w:ascii="Times New Roman" w:hAnsi="Times New Roman" w:eastAsia="宋体" w:cs="Times New Roman"/>
          <w:b/>
          <w:color w:val="auto"/>
          <w:sz w:val="30"/>
          <w:szCs w:val="30"/>
        </w:rPr>
      </w:pPr>
      <w:r>
        <w:rPr>
          <w:rFonts w:hint="default" w:ascii="Times New Roman" w:hAnsi="Times New Roman" w:eastAsia="宋体" w:cs="Times New Roman"/>
          <w:b/>
          <w:color w:val="auto"/>
          <w:sz w:val="30"/>
          <w:szCs w:val="30"/>
        </w:rPr>
        <w:t>附件</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监测报告；</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right="0" w:rightChars="0" w:firstLine="0" w:firstLineChars="0"/>
        <w:textAlignment w:val="auto"/>
        <w:outlineLvl w:val="9"/>
        <w:rPr>
          <w:rFonts w:hint="default" w:ascii="Times New Roman" w:hAnsi="Times New Roman" w:eastAsia="宋体" w:cs="Times New Roman"/>
          <w:color w:val="auto"/>
          <w:sz w:val="24"/>
          <w:szCs w:val="24"/>
        </w:rPr>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r>
        <w:rPr>
          <w:rFonts w:hint="default" w:ascii="Times New Roman" w:hAnsi="Times New Roman" w:eastAsia="宋体" w:cs="Times New Roman"/>
          <w:color w:val="auto"/>
          <w:sz w:val="24"/>
          <w:szCs w:val="24"/>
          <w:lang w:val="en-US" w:eastAsia="zh-CN"/>
        </w:rPr>
        <w:t>验收意见</w:t>
      </w:r>
      <w:r>
        <w:rPr>
          <w:rFonts w:hint="default" w:ascii="Times New Roman" w:hAnsi="Times New Roman" w:eastAsia="宋体" w:cs="Times New Roman"/>
          <w:color w:val="auto"/>
          <w:sz w:val="24"/>
          <w:szCs w:val="24"/>
        </w:rPr>
        <w:t>。</w:t>
      </w:r>
    </w:p>
    <w:p>
      <w:pPr>
        <w:pStyle w:val="4"/>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center"/>
        <w:textAlignment w:val="auto"/>
        <w:outlineLvl w:val="0"/>
        <w:rPr>
          <w:rFonts w:hint="default" w:ascii="Times New Roman" w:hAnsi="Times New Roman" w:eastAsia="宋体" w:cs="Times New Roman"/>
        </w:rPr>
      </w:pPr>
      <w:bookmarkStart w:id="2" w:name="_Toc31182"/>
      <w:r>
        <w:rPr>
          <w:rFonts w:hint="default" w:ascii="Times New Roman" w:hAnsi="Times New Roman" w:eastAsia="宋体" w:cs="Times New Roman"/>
        </w:rPr>
        <w:t>前  言</w:t>
      </w:r>
      <w:bookmarkEnd w:id="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eastAsia="zh-CN"/>
        </w:rPr>
        <w:t>盐山县泰达房地产开发有限公司</w:t>
      </w:r>
      <w:r>
        <w:rPr>
          <w:rFonts w:hint="default" w:ascii="Times New Roman" w:hAnsi="Times New Roman" w:eastAsia="宋体" w:cs="Times New Roman"/>
          <w:color w:val="auto"/>
          <w:sz w:val="24"/>
          <w:szCs w:val="24"/>
        </w:rPr>
        <w:t>投资</w:t>
      </w:r>
      <w:r>
        <w:rPr>
          <w:rFonts w:hint="eastAsia" w:ascii="Times New Roman" w:hAnsi="Times New Roman" w:eastAsia="宋体" w:cs="Times New Roman"/>
          <w:color w:val="auto"/>
          <w:sz w:val="24"/>
          <w:szCs w:val="24"/>
          <w:lang w:val="en-US" w:eastAsia="zh-CN"/>
        </w:rPr>
        <w:t>18200</w:t>
      </w:r>
      <w:r>
        <w:rPr>
          <w:rFonts w:hint="default" w:ascii="Times New Roman" w:hAnsi="Times New Roman" w:eastAsia="宋体" w:cs="Times New Roman"/>
          <w:color w:val="auto"/>
          <w:sz w:val="24"/>
          <w:szCs w:val="24"/>
        </w:rPr>
        <w:t>万元在</w:t>
      </w:r>
      <w:r>
        <w:rPr>
          <w:rFonts w:hint="eastAsia" w:ascii="Times New Roman" w:hAnsi="Times New Roman" w:eastAsia="宋体" w:cs="Times New Roman"/>
          <w:color w:val="auto"/>
          <w:sz w:val="24"/>
          <w:szCs w:val="24"/>
          <w:lang w:val="en-US" w:eastAsia="zh-CN"/>
        </w:rPr>
        <w:t>盐山县城西南部，东至银河大街，西至千童大街</w:t>
      </w:r>
      <w:r>
        <w:rPr>
          <w:rFonts w:hint="default" w:ascii="Times New Roman" w:hAnsi="Times New Roman" w:eastAsia="宋体" w:cs="Times New Roman"/>
          <w:color w:val="auto"/>
          <w:sz w:val="24"/>
          <w:szCs w:val="24"/>
        </w:rPr>
        <w:t>建设</w:t>
      </w:r>
      <w:r>
        <w:rPr>
          <w:rFonts w:hint="eastAsia" w:ascii="Times New Roman" w:hAnsi="Times New Roman" w:eastAsia="宋体" w:cs="Times New Roman"/>
          <w:color w:val="auto"/>
          <w:sz w:val="24"/>
          <w:szCs w:val="24"/>
          <w:lang w:eastAsia="zh-CN"/>
        </w:rPr>
        <w:t>盐山县泰达房地产开发有限公司盐山县泰达国际城（北区）项目</w:t>
      </w:r>
      <w:r>
        <w:rPr>
          <w:rFonts w:hint="default" w:ascii="Times New Roman" w:hAnsi="Times New Roman" w:eastAsia="宋体" w:cs="Times New Roman"/>
          <w:color w:val="auto"/>
          <w:sz w:val="24"/>
          <w:szCs w:val="24"/>
        </w:rPr>
        <w:t>，</w:t>
      </w:r>
      <w:bookmarkStart w:id="3" w:name="_Hlk496980272"/>
      <w:bookmarkStart w:id="4" w:name="_Hlk496987392"/>
      <w:r>
        <w:rPr>
          <w:rFonts w:hint="default" w:ascii="Times New Roman" w:hAnsi="Times New Roman" w:eastAsia="宋体" w:cs="Times New Roman"/>
          <w:color w:val="auto"/>
          <w:sz w:val="24"/>
          <w:szCs w:val="24"/>
        </w:rPr>
        <w:t>项目内容包括：总占地</w:t>
      </w:r>
      <w:r>
        <w:rPr>
          <w:rFonts w:hint="default" w:ascii="Times New Roman" w:hAnsi="Times New Roman" w:eastAsia="宋体" w:cs="Times New Roman"/>
          <w:color w:val="auto"/>
          <w:sz w:val="24"/>
          <w:szCs w:val="24"/>
          <w:lang w:val="en-US" w:eastAsia="zh-CN"/>
        </w:rPr>
        <w:t>面积</w:t>
      </w:r>
      <w:r>
        <w:rPr>
          <w:rFonts w:hint="eastAsia" w:ascii="Times New Roman" w:hAnsi="Times New Roman" w:eastAsia="宋体" w:cs="Times New Roman"/>
          <w:color w:val="auto"/>
          <w:sz w:val="24"/>
          <w:szCs w:val="24"/>
          <w:lang w:val="en-US" w:eastAsia="zh-CN"/>
        </w:rPr>
        <w:t>14152.86</w:t>
      </w:r>
      <w:r>
        <w:rPr>
          <w:rFonts w:hint="default" w:ascii="Times New Roman" w:hAnsi="Times New Roman" w:eastAsia="宋体" w:cs="Times New Roman"/>
          <w:color w:val="auto"/>
          <w:sz w:val="24"/>
          <w:szCs w:val="24"/>
        </w:rPr>
        <w:t>平方米，总建筑面积</w:t>
      </w:r>
      <w:r>
        <w:rPr>
          <w:rFonts w:hint="eastAsia" w:ascii="Times New Roman" w:hAnsi="Times New Roman" w:eastAsia="宋体" w:cs="Times New Roman"/>
          <w:color w:val="auto"/>
          <w:sz w:val="24"/>
          <w:szCs w:val="24"/>
          <w:lang w:val="en-US" w:eastAsia="zh-CN"/>
        </w:rPr>
        <w:t>99922.80</w:t>
      </w:r>
      <w:r>
        <w:rPr>
          <w:rFonts w:hint="default" w:ascii="Times New Roman" w:hAnsi="Times New Roman" w:eastAsia="宋体" w:cs="Times New Roman"/>
          <w:color w:val="auto"/>
          <w:sz w:val="24"/>
          <w:szCs w:val="24"/>
        </w:rPr>
        <w:t>平方米，</w:t>
      </w:r>
      <w:r>
        <w:rPr>
          <w:rFonts w:hint="eastAsia" w:ascii="Times New Roman" w:hAnsi="Times New Roman" w:eastAsia="宋体" w:cs="Times New Roman"/>
          <w:color w:val="auto"/>
          <w:sz w:val="24"/>
          <w:szCs w:val="24"/>
          <w:lang w:val="en-US" w:eastAsia="zh-CN"/>
        </w:rPr>
        <w:t>包括地上建筑面积80372平方米，地下建筑面积19550.8平方米。本项目主体工程为20F住宅楼7栋，2F商业楼2栋。政府调控后实际为3栋24F住宅楼</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该项目环境影响报告</w:t>
      </w:r>
      <w:r>
        <w:rPr>
          <w:rFonts w:hint="eastAsia" w:ascii="Times New Roman" w:hAnsi="Times New Roman" w:eastAsia="宋体" w:cs="Times New Roman"/>
          <w:color w:val="auto"/>
          <w:sz w:val="24"/>
          <w:szCs w:val="24"/>
          <w:lang w:val="en-US" w:eastAsia="zh-CN"/>
        </w:rPr>
        <w:t>表</w:t>
      </w:r>
      <w:r>
        <w:rPr>
          <w:rFonts w:hint="default" w:ascii="Times New Roman" w:hAnsi="Times New Roman" w:eastAsia="宋体" w:cs="Times New Roman"/>
          <w:color w:val="auto"/>
          <w:sz w:val="24"/>
          <w:szCs w:val="24"/>
        </w:rPr>
        <w:t>于</w:t>
      </w:r>
      <w:r>
        <w:rPr>
          <w:rFonts w:hint="eastAsia" w:ascii="Times New Roman" w:hAnsi="Times New Roman" w:eastAsia="宋体" w:cs="Times New Roman"/>
          <w:color w:val="auto"/>
          <w:sz w:val="24"/>
          <w:szCs w:val="24"/>
          <w:lang w:val="en-US" w:eastAsia="zh-CN"/>
        </w:rPr>
        <w:t>2015</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日取得</w:t>
      </w:r>
      <w:r>
        <w:rPr>
          <w:rFonts w:hint="eastAsia" w:ascii="Times New Roman" w:hAnsi="Times New Roman" w:eastAsia="宋体" w:cs="Times New Roman"/>
          <w:color w:val="auto"/>
          <w:sz w:val="24"/>
          <w:szCs w:val="24"/>
          <w:lang w:val="en-US" w:eastAsia="zh-CN"/>
        </w:rPr>
        <w:t>原盐山县环保局</w:t>
      </w:r>
      <w:r>
        <w:rPr>
          <w:rFonts w:hint="default" w:ascii="Times New Roman" w:hAnsi="Times New Roman" w:eastAsia="宋体" w:cs="Times New Roman"/>
          <w:color w:val="auto"/>
          <w:sz w:val="24"/>
          <w:szCs w:val="24"/>
        </w:rPr>
        <w:t>批复，批复文号：</w:t>
      </w:r>
      <w:r>
        <w:rPr>
          <w:rFonts w:hint="eastAsia" w:ascii="Times New Roman" w:hAnsi="Times New Roman" w:eastAsia="宋体" w:cs="Times New Roman"/>
          <w:color w:val="auto"/>
          <w:sz w:val="24"/>
          <w:szCs w:val="24"/>
          <w:lang w:val="en-US" w:eastAsia="zh-CN"/>
        </w:rPr>
        <w:t>盐环表[2015]08号</w:t>
      </w:r>
      <w:r>
        <w:rPr>
          <w:rFonts w:hint="default" w:ascii="Times New Roman" w:hAnsi="Times New Roman" w:eastAsia="宋体" w:cs="Times New Roman"/>
          <w:color w:val="auto"/>
          <w:sz w:val="24"/>
          <w:szCs w:val="24"/>
        </w:rPr>
        <w:t>。</w:t>
      </w:r>
    </w:p>
    <w:bookmarkEnd w:id="3"/>
    <w:bookmarkEnd w:id="4"/>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color w:val="auto"/>
          <w:sz w:val="24"/>
          <w:szCs w:val="24"/>
        </w:rPr>
        <w:t>根据《中华人民共和国环境保护法》和《建设项目环境保护管理条例》（国务院第682号令）等有关规定，按照环境保护设施与主体</w:t>
      </w:r>
      <w:r>
        <w:rPr>
          <w:rFonts w:hint="default" w:ascii="Times New Roman" w:hAnsi="Times New Roman" w:eastAsia="宋体" w:cs="Times New Roman"/>
          <w:sz w:val="24"/>
          <w:szCs w:val="24"/>
        </w:rPr>
        <w:t>工程同时设计、同时施工、同时投入使用的“三同时”制度要求，建设单位需查清工程在施工过程中对环境影响报告表和工程设计文件所提出的环境保护措施和要求的落实情况，调查分析工程在建设和试运行期间对环境造成的实际影响及可能存在的潜在影响，是否已采取有效的环境保护预防、减缓和补救措施，全面做好环境保护工作，为工程竣工环境保护验收提供依据。</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r>
        <w:rPr>
          <w:rFonts w:hint="default" w:ascii="Times New Roman" w:hAnsi="Times New Roman" w:eastAsia="宋体" w:cs="Times New Roman"/>
          <w:sz w:val="24"/>
          <w:szCs w:val="24"/>
        </w:rPr>
        <w:t>20</w:t>
      </w:r>
      <w:r>
        <w:rPr>
          <w:rFonts w:hint="eastAsia" w:ascii="Times New Roman" w:hAnsi="Times New Roman" w:eastAsia="宋体" w:cs="Times New Roman"/>
          <w:sz w:val="24"/>
          <w:szCs w:val="24"/>
          <w:lang w:val="en-US" w:eastAsia="zh-CN"/>
        </w:rPr>
        <w:t>20</w:t>
      </w:r>
      <w:r>
        <w:rPr>
          <w:rFonts w:hint="default"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9</w:t>
      </w:r>
      <w:r>
        <w:rPr>
          <w:rFonts w:hint="default" w:ascii="Times New Roman" w:hAnsi="Times New Roman" w:eastAsia="宋体" w:cs="Times New Roman"/>
          <w:sz w:val="24"/>
          <w:szCs w:val="24"/>
        </w:rPr>
        <w:t>月，</w:t>
      </w:r>
      <w:r>
        <w:rPr>
          <w:rFonts w:hint="eastAsia" w:ascii="Times New Roman" w:hAnsi="Times New Roman" w:eastAsia="宋体" w:cs="Times New Roman"/>
          <w:sz w:val="24"/>
          <w:szCs w:val="24"/>
          <w:lang w:eastAsia="zh-CN"/>
        </w:rPr>
        <w:t>盐山县泰达房地产开发有限公司</w:t>
      </w:r>
      <w:r>
        <w:rPr>
          <w:rFonts w:hint="default" w:ascii="Times New Roman" w:hAnsi="Times New Roman" w:eastAsia="宋体" w:cs="Times New Roman"/>
          <w:sz w:val="24"/>
          <w:szCs w:val="24"/>
        </w:rPr>
        <w:t>为该项目编制竣工环境保护验收报告，参照环保部《建设项目竣工环境保护验收暂行办法》（征求意见稿）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eastAsia="宋体" w:cs="Times New Roman"/>
          <w:sz w:val="24"/>
          <w:szCs w:val="24"/>
          <w:lang w:eastAsia="zh-CN"/>
        </w:rPr>
        <w:t>盐山县泰达房地产开发有限公司</w:t>
      </w:r>
      <w:r>
        <w:rPr>
          <w:rFonts w:hint="default" w:ascii="Times New Roman" w:hAnsi="Times New Roman" w:eastAsia="宋体" w:cs="Times New Roman"/>
          <w:color w:val="000000" w:themeColor="text1"/>
          <w:sz w:val="24"/>
          <w:szCs w:val="24"/>
          <w14:textFill>
            <w14:solidFill>
              <w14:schemeClr w14:val="tx1"/>
            </w14:solidFill>
          </w14:textFill>
        </w:rPr>
        <w:t>委托</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河北科友环保科技有限公司</w:t>
      </w:r>
      <w:r>
        <w:rPr>
          <w:rFonts w:hint="default" w:ascii="Times New Roman" w:hAnsi="Times New Roman" w:eastAsia="宋体" w:cs="Times New Roman"/>
          <w:color w:val="000000" w:themeColor="text1"/>
          <w:sz w:val="24"/>
          <w:szCs w:val="24"/>
          <w14:textFill>
            <w14:solidFill>
              <w14:schemeClr w14:val="tx1"/>
            </w14:solidFill>
          </w14:textFill>
        </w:rPr>
        <w:t>于</w:t>
      </w:r>
      <w:bookmarkStart w:id="5" w:name="_Hlk496985984"/>
      <w:r>
        <w:rPr>
          <w:rFonts w:hint="default" w:ascii="Times New Roman" w:hAnsi="Times New Roman" w:eastAsia="宋体" w:cs="Times New Roman"/>
          <w:color w:val="000000" w:themeColor="text1"/>
          <w:sz w:val="24"/>
          <w:szCs w:val="24"/>
          <w14:textFill>
            <w14:solidFill>
              <w14:schemeClr w14:val="tx1"/>
            </w14:solidFill>
          </w14:textFill>
        </w:rPr>
        <w:t>20</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20</w:t>
      </w:r>
      <w:r>
        <w:rPr>
          <w:rFonts w:hint="default" w:ascii="Times New Roman" w:hAnsi="Times New Roman" w:eastAsia="宋体" w:cs="Times New Roman"/>
          <w:color w:val="000000" w:themeColor="text1"/>
          <w:sz w:val="24"/>
          <w:szCs w:val="24"/>
          <w14:textFill>
            <w14:solidFill>
              <w14:schemeClr w14:val="tx1"/>
            </w14:solidFill>
          </w14:textFill>
        </w:rPr>
        <w:t>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9</w:t>
      </w:r>
      <w:r>
        <w:rPr>
          <w:rFonts w:hint="default" w:ascii="Times New Roman" w:hAnsi="Times New Roman" w:eastAsia="宋体" w:cs="Times New Roman"/>
          <w:color w:val="000000" w:themeColor="text1"/>
          <w:sz w:val="24"/>
          <w:szCs w:val="24"/>
          <w14:textFill>
            <w14:solidFill>
              <w14:schemeClr w14:val="tx1"/>
            </w14:solidFill>
          </w14:textFill>
        </w:rPr>
        <w:t>月</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hint="default" w:ascii="Times New Roman" w:hAnsi="Times New Roman" w:eastAsia="宋体" w:cs="Times New Roman"/>
          <w:color w:val="000000" w:themeColor="text1"/>
          <w:sz w:val="24"/>
          <w:szCs w:val="24"/>
          <w14:textFill>
            <w14:solidFill>
              <w14:schemeClr w14:val="tx1"/>
            </w14:solidFill>
          </w14:textFill>
        </w:rPr>
        <w:t>日至</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w:t>
      </w:r>
      <w:r>
        <w:rPr>
          <w:rFonts w:hint="default" w:ascii="Times New Roman" w:hAnsi="Times New Roman" w:eastAsia="宋体" w:cs="Times New Roman"/>
          <w:color w:val="000000" w:themeColor="text1"/>
          <w:sz w:val="24"/>
          <w:szCs w:val="24"/>
          <w14:textFill>
            <w14:solidFill>
              <w14:schemeClr w14:val="tx1"/>
            </w14:solidFill>
          </w14:textFill>
        </w:rPr>
        <w:t>日</w:t>
      </w:r>
      <w:bookmarkEnd w:id="5"/>
      <w:r>
        <w:rPr>
          <w:rFonts w:hint="default" w:ascii="Times New Roman" w:hAnsi="Times New Roman" w:eastAsia="宋体" w:cs="Times New Roman"/>
          <w:color w:val="000000" w:themeColor="text1"/>
          <w:sz w:val="24"/>
          <w:szCs w:val="24"/>
          <w14:textFill>
            <w14:solidFill>
              <w14:schemeClr w14:val="tx1"/>
            </w14:solidFill>
          </w14:textFill>
        </w:rPr>
        <w:t>进行了竣工验收检测并出具检测报告</w:t>
      </w:r>
      <w:r>
        <w:rPr>
          <w:rFonts w:hint="default" w:ascii="Times New Roman" w:hAnsi="Times New Roman" w:eastAsia="宋体" w:cs="Times New Roman"/>
          <w:color w:val="000000" w:themeColor="text1"/>
          <w:sz w:val="24"/>
          <w:szCs w:val="24"/>
          <w:lang w:eastAsia="zh-CN"/>
          <w14:textFill>
            <w14:solidFill>
              <w14:schemeClr w14:val="tx1"/>
            </w14:solidFill>
          </w14:textFill>
        </w:rPr>
        <w:t>，</w:t>
      </w:r>
      <w:r>
        <w:rPr>
          <w:rFonts w:hint="default" w:ascii="Times New Roman" w:hAnsi="Times New Roman" w:eastAsia="宋体" w:cs="Times New Roman"/>
          <w:color w:val="000000" w:themeColor="text1"/>
          <w:sz w:val="24"/>
          <w:szCs w:val="24"/>
          <w14:textFill>
            <w14:solidFill>
              <w14:schemeClr w14:val="tx1"/>
            </w14:solidFill>
          </w14:textFill>
        </w:rPr>
        <w:t>根据现场调查情况和检测报告按照</w:t>
      </w:r>
      <w:r>
        <w:rPr>
          <w:rFonts w:hint="default" w:ascii="Times New Roman" w:hAnsi="Times New Roman" w:eastAsia="宋体" w:cs="Times New Roman"/>
          <w:sz w:val="24"/>
          <w:szCs w:val="24"/>
        </w:rPr>
        <w:t>《建设项目竣工环境保护验收技术指南》</w:t>
      </w:r>
      <w:r>
        <w:rPr>
          <w:rFonts w:hint="default" w:ascii="Times New Roman" w:hAnsi="Times New Roman" w:eastAsia="宋体" w:cs="Times New Roman"/>
          <w:color w:val="000000" w:themeColor="text1"/>
          <w:sz w:val="24"/>
          <w:szCs w:val="24"/>
          <w14:textFill>
            <w14:solidFill>
              <w14:schemeClr w14:val="tx1"/>
            </w14:solidFill>
          </w14:textFill>
        </w:rPr>
        <w:t>编制完成竣工环境保护验收报告。</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000000" w:themeColor="text1"/>
          <w:sz w:val="24"/>
          <w:szCs w:val="24"/>
          <w14:textFill>
            <w14:solidFill>
              <w14:schemeClr w14:val="tx1"/>
            </w14:solidFill>
          </w14:textFill>
        </w:rPr>
        <w:sectPr>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p>
    <w:p>
      <w:pPr>
        <w:pStyle w:val="4"/>
        <w:rPr>
          <w:rFonts w:hint="default" w:ascii="Times New Roman" w:hAnsi="Times New Roman" w:eastAsia="宋体" w:cs="Times New Roman"/>
        </w:rPr>
      </w:pPr>
      <w:bookmarkStart w:id="6" w:name="_Toc9978"/>
      <w:r>
        <w:rPr>
          <w:rFonts w:hint="default" w:ascii="Times New Roman" w:hAnsi="Times New Roman" w:eastAsia="宋体" w:cs="Times New Roman"/>
        </w:rPr>
        <w:t>1 验收编制依据</w:t>
      </w:r>
      <w:bookmarkEnd w:id="6"/>
    </w:p>
    <w:p>
      <w:pPr>
        <w:pStyle w:val="5"/>
        <w:rPr>
          <w:rFonts w:hint="default" w:ascii="Times New Roman" w:hAnsi="Times New Roman" w:eastAsia="宋体" w:cs="Times New Roman"/>
        </w:rPr>
      </w:pPr>
      <w:bookmarkStart w:id="7" w:name="_Toc1764"/>
      <w:r>
        <w:rPr>
          <w:rFonts w:hint="default" w:ascii="Times New Roman" w:hAnsi="Times New Roman" w:eastAsia="宋体" w:cs="Times New Roman"/>
        </w:rPr>
        <w:t>1.1 法律、法规</w:t>
      </w:r>
      <w:bookmarkEnd w:id="7"/>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（1）《中华人民共和国环境保护法》，（2015年1月1日起施行）；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（2）《中华人民共和国环境影响评价法》，（2016年9月1日起施行）；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（3）《中华人民共和国水污染防治法》（2008年6月1日起施行）；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（4）《中华人民共和国大气污染防治法》，（2016年1月1日施行）；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（5）《中华人民共和国环境噪声污染防治法》，（1997年3月1日起施行）；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（6）《中华人民共和国固体废物污染环境防治法》，2015年4月1日起施行）；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（8）《建设项目环境影响评价分类管理名录》（2017年9月1日起施行）</w:t>
      </w:r>
      <w:r>
        <w:rPr>
          <w:rFonts w:hint="default" w:ascii="Times New Roman" w:hAnsi="Times New Roman" w:eastAsia="宋体" w:cs="Times New Roman"/>
          <w:sz w:val="24"/>
          <w:szCs w:val="24"/>
          <w:lang w:eastAsia="zh-CN"/>
        </w:rPr>
        <w:t>。</w:t>
      </w:r>
    </w:p>
    <w:p>
      <w:pPr>
        <w:pStyle w:val="5"/>
        <w:rPr>
          <w:rFonts w:hint="default" w:ascii="Times New Roman" w:hAnsi="Times New Roman" w:eastAsia="宋体" w:cs="Times New Roman"/>
        </w:rPr>
      </w:pPr>
      <w:bookmarkStart w:id="8" w:name="_Toc29516"/>
      <w:r>
        <w:rPr>
          <w:rFonts w:hint="default" w:ascii="Times New Roman" w:hAnsi="Times New Roman" w:eastAsia="宋体" w:cs="Times New Roman"/>
        </w:rPr>
        <w:t>1.2 验收技术规范</w:t>
      </w:r>
      <w:bookmarkEnd w:id="8"/>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default" w:ascii="Times New Roman" w:hAnsi="Times New Roman" w:eastAsia="宋体" w:cs="Times New Roman"/>
          <w:sz w:val="24"/>
          <w:szCs w:val="24"/>
          <w:lang w:val="en-US" w:eastAsia="zh-CN"/>
        </w:rPr>
        <w:t>建设项目</w:t>
      </w:r>
      <w:r>
        <w:rPr>
          <w:rFonts w:hint="default" w:ascii="Times New Roman" w:hAnsi="Times New Roman" w:eastAsia="宋体" w:cs="Times New Roman"/>
          <w:sz w:val="24"/>
          <w:szCs w:val="24"/>
        </w:rPr>
        <w:t>环境影响评价技术导则  总纲》（HJ 2.1-2016）；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（2）《环境影响评价技术导则  大气环境》（HJ 2.2-2008）；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）《环境影响评价技术导则  地下水环境》（HJ 610-2016）；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）《环境影响评价技术导则  声环境》（HJ 2.4-2009）；</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）《环境影响评价技术导则  生态影响》（HJ 19-2011）；</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rPr>
        <w:t>）《环境空气质量标准》（GB3095-2012）；</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7</w:t>
      </w:r>
      <w:r>
        <w:rPr>
          <w:rFonts w:hint="default" w:ascii="Times New Roman" w:hAnsi="Times New Roman" w:eastAsia="宋体" w:cs="Times New Roman"/>
          <w:sz w:val="24"/>
          <w:szCs w:val="24"/>
        </w:rPr>
        <w:t>）《声环境质量标准》（GB3096-2008）；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rPr>
        <w:t>）《地下水质量标准》（GB/14848-</w:t>
      </w:r>
      <w:r>
        <w:rPr>
          <w:rFonts w:hint="default" w:ascii="Times New Roman" w:hAnsi="Times New Roman" w:eastAsia="宋体" w:cs="Times New Roman"/>
          <w:sz w:val="24"/>
          <w:szCs w:val="24"/>
          <w:lang w:val="en-US" w:eastAsia="zh-CN"/>
        </w:rPr>
        <w:t>2017</w:t>
      </w:r>
      <w:r>
        <w:rPr>
          <w:rFonts w:hint="default" w:ascii="Times New Roman" w:hAnsi="Times New Roman" w:eastAsia="宋体" w:cs="Times New Roman"/>
          <w:sz w:val="24"/>
          <w:szCs w:val="24"/>
        </w:rPr>
        <w:t>）；</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9</w:t>
      </w:r>
      <w:r>
        <w:rPr>
          <w:rFonts w:hint="default" w:ascii="Times New Roman" w:hAnsi="Times New Roman" w:eastAsia="宋体" w:cs="Times New Roman"/>
          <w:sz w:val="24"/>
          <w:szCs w:val="24"/>
        </w:rPr>
        <w:t>）《大气污染物综合排放标准》（GB16297-1996）；</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10</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《恶臭污染物排放标准》（GB14554-93）</w:t>
      </w:r>
      <w:r>
        <w:rPr>
          <w:rFonts w:hint="default" w:ascii="Times New Roman" w:hAnsi="Times New Roman" w:eastAsia="宋体" w:cs="Times New Roman"/>
          <w:sz w:val="24"/>
          <w:szCs w:val="24"/>
          <w:lang w:eastAsia="zh-CN"/>
        </w:rPr>
        <w:t>；</w:t>
      </w:r>
    </w:p>
    <w:p>
      <w:pPr>
        <w:spacing w:line="440" w:lineRule="atLeast"/>
        <w:ind w:firstLine="480" w:firstLineChars="200"/>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1</w:t>
      </w:r>
      <w:r>
        <w:rPr>
          <w:rFonts w:hint="eastAsia"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rPr>
        <w:t>《污水综合排放标准》（GB8978-1996）</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）《社会生活环境噪声排放标准》（GB22337-2008）；</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）《一般工业固体废物贮存、处置场污染控制标准》（GB18599-2001）；</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）《建设项目竣工环境保护验收技术指南》（环境保护部）；</w:t>
      </w:r>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）《建设项目环境影响评价文件审批及建设单位自主开展环境保护设施验收工作指引（试行）》（征求意见稿）（河北省环境保护厅）。</w:t>
      </w:r>
    </w:p>
    <w:p>
      <w:pPr>
        <w:spacing w:line="480" w:lineRule="atLeast"/>
        <w:ind w:firstLine="480" w:firstLineChars="200"/>
        <w:rPr>
          <w:rFonts w:hint="default" w:ascii="Times New Roman" w:hAnsi="Times New Roman" w:eastAsia="宋体" w:cs="Times New Roman"/>
          <w:sz w:val="24"/>
          <w:szCs w:val="24"/>
        </w:rPr>
      </w:pPr>
    </w:p>
    <w:p>
      <w:pPr>
        <w:spacing w:line="480" w:lineRule="atLeast"/>
        <w:ind w:firstLine="480" w:firstLineChars="200"/>
        <w:rPr>
          <w:rFonts w:hint="default" w:ascii="Times New Roman" w:hAnsi="Times New Roman" w:eastAsia="宋体" w:cs="Times New Roman"/>
          <w:sz w:val="24"/>
          <w:szCs w:val="24"/>
        </w:rPr>
      </w:pPr>
    </w:p>
    <w:p>
      <w:pPr>
        <w:pStyle w:val="5"/>
        <w:rPr>
          <w:rFonts w:hint="default" w:ascii="Times New Roman" w:hAnsi="Times New Roman" w:eastAsia="宋体" w:cs="Times New Roman"/>
        </w:rPr>
      </w:pPr>
      <w:bookmarkStart w:id="9" w:name="_Toc592"/>
      <w:r>
        <w:rPr>
          <w:rFonts w:hint="default" w:ascii="Times New Roman" w:hAnsi="Times New Roman" w:eastAsia="宋体" w:cs="Times New Roman"/>
        </w:rPr>
        <w:t>1.3 工程技术文件及批复文件</w:t>
      </w:r>
      <w:bookmarkEnd w:id="9"/>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lang w:eastAsia="zh-CN"/>
        </w:rPr>
        <w:t xml:space="preserve"> 盐山县泰达房地产开发有限公司盐山县泰达国际城（北区）项目</w:t>
      </w:r>
      <w:r>
        <w:rPr>
          <w:rFonts w:hint="default" w:ascii="Times New Roman" w:hAnsi="Times New Roman" w:eastAsia="宋体" w:cs="Times New Roman"/>
          <w:color w:val="auto"/>
          <w:sz w:val="24"/>
          <w:szCs w:val="24"/>
        </w:rPr>
        <w:t>环境影响报告</w:t>
      </w:r>
      <w:r>
        <w:rPr>
          <w:rFonts w:hint="eastAsia" w:ascii="Times New Roman" w:hAnsi="Times New Roman" w:eastAsia="宋体" w:cs="Times New Roman"/>
          <w:color w:val="auto"/>
          <w:sz w:val="24"/>
          <w:szCs w:val="24"/>
          <w:lang w:val="en-US" w:eastAsia="zh-CN"/>
        </w:rPr>
        <w:t>表</w:t>
      </w:r>
      <w:r>
        <w:rPr>
          <w:rFonts w:hint="default" w:ascii="Times New Roman" w:hAnsi="Times New Roman" w:eastAsia="宋体" w:cs="Times New Roman"/>
          <w:color w:val="auto"/>
          <w:sz w:val="24"/>
          <w:szCs w:val="24"/>
        </w:rPr>
        <w:t>》（20</w:t>
      </w:r>
      <w:r>
        <w:rPr>
          <w:rFonts w:hint="eastAsia"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rPr>
        <w:t>月）；</w:t>
      </w:r>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盐山县环保局</w:t>
      </w:r>
      <w:r>
        <w:rPr>
          <w:rFonts w:hint="default" w:ascii="Times New Roman" w:hAnsi="Times New Roman" w:eastAsia="宋体" w:cs="Times New Roman"/>
          <w:color w:val="auto"/>
          <w:sz w:val="24"/>
          <w:szCs w:val="24"/>
        </w:rPr>
        <w:t>关于《</w:t>
      </w:r>
      <w:r>
        <w:rPr>
          <w:rFonts w:hint="eastAsia" w:ascii="Times New Roman" w:hAnsi="Times New Roman" w:eastAsia="宋体" w:cs="Times New Roman"/>
          <w:sz w:val="24"/>
          <w:szCs w:val="24"/>
          <w:lang w:eastAsia="zh-CN"/>
        </w:rPr>
        <w:t>盐山县泰达房地产开发有限公司盐山县泰达国际城（北区）项目</w:t>
      </w:r>
      <w:r>
        <w:rPr>
          <w:rFonts w:hint="default" w:ascii="Times New Roman" w:hAnsi="Times New Roman" w:eastAsia="宋体" w:cs="Times New Roman"/>
          <w:sz w:val="24"/>
          <w:szCs w:val="24"/>
        </w:rPr>
        <w:t>环境影响报告</w:t>
      </w:r>
      <w:r>
        <w:rPr>
          <w:rFonts w:hint="eastAsia" w:ascii="Times New Roman" w:hAnsi="Times New Roman" w:eastAsia="宋体" w:cs="Times New Roman"/>
          <w:sz w:val="24"/>
          <w:szCs w:val="24"/>
          <w:lang w:val="en-US" w:eastAsia="zh-CN"/>
        </w:rPr>
        <w:t>表</w:t>
      </w:r>
      <w:r>
        <w:rPr>
          <w:rFonts w:hint="default" w:ascii="Times New Roman" w:hAnsi="Times New Roman" w:eastAsia="宋体" w:cs="Times New Roman"/>
          <w:sz w:val="24"/>
          <w:szCs w:val="24"/>
        </w:rPr>
        <w:t>》的审批意见</w:t>
      </w:r>
      <w:r>
        <w:rPr>
          <w:rFonts w:hint="default"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盐环表[2015]08号</w:t>
      </w:r>
      <w:r>
        <w:rPr>
          <w:rFonts w:hint="default" w:ascii="Times New Roman" w:hAnsi="Times New Roman" w:eastAsia="宋体" w:cs="Times New Roman"/>
          <w:sz w:val="24"/>
          <w:szCs w:val="24"/>
        </w:rPr>
        <w:t>；</w:t>
      </w:r>
    </w:p>
    <w:p>
      <w:pPr>
        <w:spacing w:line="440" w:lineRule="atLeast"/>
        <w:ind w:firstLine="480" w:firstLineChars="200"/>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）环保设计资料、工程竣工资料等其它相关资料。</w:t>
      </w:r>
    </w:p>
    <w:p>
      <w:pPr>
        <w:pStyle w:val="4"/>
        <w:rPr>
          <w:rFonts w:hint="default" w:ascii="Times New Roman" w:hAnsi="Times New Roman" w:eastAsia="宋体" w:cs="Times New Roman"/>
          <w:color w:val="auto"/>
        </w:rPr>
      </w:pPr>
      <w:bookmarkStart w:id="10" w:name="_Toc11900"/>
      <w:r>
        <w:rPr>
          <w:rFonts w:hint="default" w:ascii="Times New Roman" w:hAnsi="Times New Roman" w:eastAsia="宋体" w:cs="Times New Roman"/>
          <w:color w:val="auto"/>
        </w:rPr>
        <w:t>2 工程概况</w:t>
      </w:r>
      <w:bookmarkEnd w:id="10"/>
    </w:p>
    <w:p>
      <w:pPr>
        <w:pStyle w:val="5"/>
        <w:rPr>
          <w:rFonts w:hint="default" w:ascii="Times New Roman" w:hAnsi="Times New Roman" w:eastAsia="宋体" w:cs="Times New Roman"/>
          <w:color w:val="auto"/>
        </w:rPr>
      </w:pPr>
      <w:bookmarkStart w:id="11" w:name="_Toc23675"/>
      <w:r>
        <w:rPr>
          <w:rFonts w:hint="default" w:ascii="Times New Roman" w:hAnsi="Times New Roman" w:eastAsia="宋体" w:cs="Times New Roman"/>
          <w:color w:val="auto"/>
        </w:rPr>
        <w:t>2.1 项目基本情况</w:t>
      </w:r>
      <w:bookmarkEnd w:id="11"/>
    </w:p>
    <w:p>
      <w:pPr>
        <w:pStyle w:val="6"/>
        <w:rPr>
          <w:rFonts w:hint="default" w:ascii="Times New Roman" w:hAnsi="Times New Roman" w:eastAsia="宋体" w:cs="Times New Roman"/>
          <w:color w:val="auto"/>
        </w:rPr>
      </w:pPr>
      <w:bookmarkStart w:id="12" w:name="_Toc496979000"/>
      <w:bookmarkStart w:id="13" w:name="_Toc497001436"/>
      <w:bookmarkStart w:id="14" w:name="_Toc16488"/>
      <w:bookmarkStart w:id="15" w:name="_Hlk496952384"/>
      <w:r>
        <w:rPr>
          <w:rFonts w:hint="default" w:ascii="Times New Roman" w:hAnsi="Times New Roman" w:eastAsia="宋体" w:cs="Times New Roman"/>
          <w:color w:val="auto"/>
        </w:rPr>
        <w:t>2.1.1 基本情况</w:t>
      </w:r>
      <w:bookmarkEnd w:id="12"/>
      <w:bookmarkEnd w:id="13"/>
      <w:bookmarkEnd w:id="14"/>
    </w:p>
    <w:bookmarkEnd w:id="15"/>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表2-1  项目基本情况</w:t>
      </w:r>
    </w:p>
    <w:tbl>
      <w:tblPr>
        <w:tblStyle w:val="30"/>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69"/>
        <w:gridCol w:w="1880"/>
        <w:gridCol w:w="1874"/>
        <w:gridCol w:w="28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项目名称</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盐山县泰达国际城（北区）项目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盐山县泰达房地产开发有限公司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法人代表</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张瑞行</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联系人</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闫希胜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通信地址</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eastAsia="zh-CN"/>
              </w:rPr>
              <w:t>盐山县城西南部银河大街西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联系电话</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15933272080</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邮编</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06</w:t>
            </w:r>
            <w:r>
              <w:rPr>
                <w:rFonts w:hint="eastAsia" w:ascii="Times New Roman" w:hAnsi="Times New Roman" w:eastAsia="宋体" w:cs="Times New Roman"/>
                <w:color w:val="auto"/>
                <w:sz w:val="21"/>
                <w:szCs w:val="21"/>
                <w:lang w:val="en-US" w:eastAsia="zh-CN"/>
              </w:rPr>
              <w:t>13</w:t>
            </w:r>
            <w:r>
              <w:rPr>
                <w:rFonts w:hint="default" w:ascii="Times New Roman" w:hAnsi="Times New Roman" w:eastAsia="宋体" w:cs="Times New Roman"/>
                <w:color w:val="auto"/>
                <w:sz w:val="21"/>
                <w:szCs w:val="21"/>
                <w:lang w:val="en-US" w:eastAsia="zh-CN"/>
              </w:rPr>
              <w:t>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项目性质</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105" w:firstLineChars="5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新建</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行业类别</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K7010房地产开发经营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建设地点</w:t>
            </w:r>
          </w:p>
        </w:tc>
        <w:tc>
          <w:tcPr>
            <w:tcW w:w="6653"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盐山县城西南部，东至银河大街，西至千童大街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占地面积</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14152.86</w:t>
            </w:r>
            <w:r>
              <w:rPr>
                <w:rFonts w:hint="default" w:ascii="Times New Roman" w:hAnsi="Times New Roman" w:eastAsia="宋体" w:cs="Times New Roman"/>
                <w:color w:val="auto"/>
                <w:sz w:val="21"/>
                <w:szCs w:val="21"/>
              </w:rPr>
              <w:t>m</w:t>
            </w:r>
            <w:r>
              <w:rPr>
                <w:rFonts w:hint="default" w:ascii="Times New Roman" w:hAnsi="Times New Roman" w:eastAsia="宋体" w:cs="Times New Roman"/>
                <w:color w:val="auto"/>
                <w:sz w:val="21"/>
                <w:szCs w:val="21"/>
                <w:vertAlign w:val="superscript"/>
                <w:lang w:val="en-US" w:eastAsia="zh-CN"/>
              </w:rPr>
              <w:t>2</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经纬度</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北纬</w:t>
            </w:r>
            <w:r>
              <w:rPr>
                <w:rFonts w:hint="eastAsia" w:ascii="Times New Roman" w:hAnsi="Times New Roman" w:eastAsia="宋体" w:cs="Times New Roman"/>
                <w:color w:val="auto"/>
                <w:sz w:val="21"/>
                <w:szCs w:val="21"/>
                <w:lang w:eastAsia="zh-CN"/>
              </w:rPr>
              <w:t>38°</w:t>
            </w:r>
            <w:r>
              <w:rPr>
                <w:rFonts w:hint="eastAsia" w:ascii="Times New Roman" w:hAnsi="Times New Roman" w:eastAsia="宋体" w:cs="Times New Roman"/>
                <w:color w:val="auto"/>
                <w:sz w:val="21"/>
                <w:szCs w:val="21"/>
                <w:lang w:val="en-US" w:eastAsia="zh-CN"/>
              </w:rPr>
              <w:t>3</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1.05</w:t>
            </w:r>
            <w:r>
              <w:rPr>
                <w:rFonts w:hint="eastAsia" w:ascii="Times New Roman" w:hAnsi="Times New Roman" w:eastAsia="宋体" w:cs="Times New Roman"/>
                <w:color w:val="auto"/>
                <w:sz w:val="21"/>
                <w:szCs w:val="21"/>
                <w:lang w:eastAsia="zh-CN"/>
              </w:rPr>
              <w:t>"</w:t>
            </w:r>
          </w:p>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东经</w:t>
            </w:r>
            <w:r>
              <w:rPr>
                <w:rFonts w:hint="eastAsia" w:ascii="Times New Roman" w:hAnsi="Times New Roman" w:eastAsia="宋体" w:cs="Times New Roman"/>
                <w:color w:val="auto"/>
                <w:sz w:val="21"/>
                <w:szCs w:val="21"/>
                <w:lang w:eastAsia="zh-CN"/>
              </w:rPr>
              <w:t>117°</w:t>
            </w:r>
            <w:r>
              <w:rPr>
                <w:rFonts w:hint="eastAsia" w:ascii="Times New Roman" w:hAnsi="Times New Roman" w:eastAsia="宋体" w:cs="Times New Roman"/>
                <w:color w:val="auto"/>
                <w:sz w:val="21"/>
                <w:szCs w:val="21"/>
                <w:lang w:val="en-US" w:eastAsia="zh-CN"/>
              </w:rPr>
              <w:t>13</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11.25</w:t>
            </w:r>
            <w:r>
              <w:rPr>
                <w:rFonts w:hint="eastAsia" w:ascii="Times New Roman" w:hAnsi="Times New Roman" w:eastAsia="宋体" w:cs="Times New Roman"/>
                <w:color w:val="auto"/>
                <w:sz w:val="21"/>
                <w:szCs w:val="21"/>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86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开工时间</w:t>
            </w:r>
          </w:p>
        </w:tc>
        <w:tc>
          <w:tcPr>
            <w:tcW w:w="1880"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201</w:t>
            </w:r>
            <w:r>
              <w:rPr>
                <w:rFonts w:hint="eastAsia" w:ascii="Times New Roman" w:hAnsi="Times New Roman" w:eastAsia="宋体" w:cs="Times New Roman"/>
                <w:color w:val="auto"/>
                <w:sz w:val="21"/>
                <w:szCs w:val="21"/>
                <w:lang w:val="en-US" w:eastAsia="zh-CN"/>
              </w:rPr>
              <w:t>5</w:t>
            </w:r>
            <w:r>
              <w:rPr>
                <w:rFonts w:hint="default" w:ascii="Times New Roman" w:hAnsi="Times New Roman" w:eastAsia="宋体" w:cs="Times New Roman"/>
                <w:color w:val="auto"/>
                <w:sz w:val="21"/>
                <w:szCs w:val="21"/>
              </w:rPr>
              <w:t>年</w:t>
            </w:r>
            <w:r>
              <w:rPr>
                <w:rFonts w:hint="eastAsia" w:ascii="Times New Roman" w:hAnsi="Times New Roman" w:eastAsia="宋体" w:cs="Times New Roman"/>
                <w:color w:val="auto"/>
                <w:sz w:val="21"/>
                <w:szCs w:val="21"/>
                <w:lang w:val="en-US" w:eastAsia="zh-CN"/>
              </w:rPr>
              <w:t>5</w:t>
            </w:r>
            <w:r>
              <w:rPr>
                <w:rFonts w:hint="default" w:ascii="Times New Roman" w:hAnsi="Times New Roman" w:eastAsia="宋体" w:cs="Times New Roman"/>
                <w:color w:val="auto"/>
                <w:sz w:val="21"/>
                <w:szCs w:val="21"/>
              </w:rPr>
              <w:t>月</w:t>
            </w:r>
          </w:p>
        </w:tc>
        <w:tc>
          <w:tcPr>
            <w:tcW w:w="187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建成</w:t>
            </w:r>
            <w:r>
              <w:rPr>
                <w:rFonts w:hint="default" w:ascii="Times New Roman" w:hAnsi="Times New Roman" w:eastAsia="宋体" w:cs="Times New Roman"/>
                <w:color w:val="auto"/>
                <w:sz w:val="21"/>
                <w:szCs w:val="21"/>
              </w:rPr>
              <w:t>时间</w:t>
            </w:r>
          </w:p>
        </w:tc>
        <w:tc>
          <w:tcPr>
            <w:tcW w:w="2899"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w:t>
            </w:r>
            <w:r>
              <w:rPr>
                <w:rFonts w:hint="eastAsia" w:ascii="Times New Roman" w:hAnsi="Times New Roman" w:eastAsia="宋体" w:cs="Times New Roman"/>
                <w:color w:val="auto"/>
                <w:sz w:val="21"/>
                <w:szCs w:val="21"/>
                <w:lang w:val="en-US" w:eastAsia="zh-CN"/>
              </w:rPr>
              <w:t>20</w:t>
            </w:r>
            <w:r>
              <w:rPr>
                <w:rFonts w:hint="default" w:ascii="Times New Roman" w:hAnsi="Times New Roman" w:eastAsia="宋体" w:cs="Times New Roman"/>
                <w:color w:val="auto"/>
                <w:sz w:val="21"/>
                <w:szCs w:val="21"/>
              </w:rPr>
              <w:t>年</w:t>
            </w:r>
            <w:r>
              <w:rPr>
                <w:rFonts w:hint="eastAsia" w:ascii="Times New Roman" w:hAnsi="Times New Roman" w:eastAsia="宋体" w:cs="Times New Roman"/>
                <w:color w:val="auto"/>
                <w:sz w:val="21"/>
                <w:szCs w:val="21"/>
                <w:lang w:val="en-US" w:eastAsia="zh-CN"/>
              </w:rPr>
              <w:t>8</w:t>
            </w:r>
            <w:r>
              <w:rPr>
                <w:rFonts w:hint="default" w:ascii="Times New Roman" w:hAnsi="Times New Roman" w:eastAsia="宋体" w:cs="Times New Roman"/>
                <w:color w:val="auto"/>
                <w:sz w:val="21"/>
                <w:szCs w:val="21"/>
              </w:rPr>
              <w:t>月</w:t>
            </w:r>
          </w:p>
        </w:tc>
      </w:tr>
    </w:tbl>
    <w:p>
      <w:pPr>
        <w:pStyle w:val="6"/>
        <w:rPr>
          <w:rFonts w:hint="default" w:ascii="Times New Roman" w:hAnsi="Times New Roman" w:eastAsia="宋体" w:cs="Times New Roman"/>
          <w:color w:val="auto"/>
        </w:rPr>
      </w:pPr>
      <w:bookmarkStart w:id="16" w:name="_Toc496979001"/>
      <w:bookmarkStart w:id="17" w:name="_Toc497001437"/>
      <w:bookmarkStart w:id="18" w:name="_Toc31383"/>
      <w:r>
        <w:rPr>
          <w:rFonts w:hint="default" w:ascii="Times New Roman" w:hAnsi="Times New Roman" w:eastAsia="宋体" w:cs="Times New Roman"/>
          <w:color w:val="auto"/>
        </w:rPr>
        <w:t>2.1.2 地理位置及周边情况</w:t>
      </w:r>
      <w:bookmarkEnd w:id="16"/>
      <w:bookmarkEnd w:id="17"/>
      <w:bookmarkEnd w:id="18"/>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本项目位于</w:t>
      </w:r>
      <w:r>
        <w:rPr>
          <w:rFonts w:hint="eastAsia" w:ascii="Times New Roman" w:hAnsi="Times New Roman" w:eastAsia="宋体" w:cs="Times New Roman"/>
          <w:color w:val="auto"/>
          <w:sz w:val="24"/>
          <w:szCs w:val="24"/>
          <w:lang w:val="en-US" w:eastAsia="zh-CN"/>
        </w:rPr>
        <w:t>盐山县城西南部，银河大街西侧，千童大街东侧，渤海路南侧，中心坐标为北纬38°3'1.05"，东经117°13'11.25"。项目东至银河大街，隔银河大街为临街商铺；南侧为拟建盐山县泰达国际城（南区）项目</w:t>
      </w:r>
      <w:r>
        <w:rPr>
          <w:rFonts w:hint="default" w:ascii="Times New Roman" w:hAnsi="Times New Roman" w:eastAsia="宋体" w:cs="Times New Roman"/>
          <w:color w:val="auto"/>
          <w:sz w:val="24"/>
          <w:szCs w:val="24"/>
        </w:rPr>
        <w:t>。项目地理位置见附图1，周边关系见附图2。</w:t>
      </w:r>
    </w:p>
    <w:p>
      <w:pPr>
        <w:pStyle w:val="5"/>
        <w:rPr>
          <w:rFonts w:hint="default" w:ascii="Times New Roman" w:hAnsi="Times New Roman" w:eastAsia="宋体" w:cs="Times New Roman"/>
          <w:color w:val="auto"/>
        </w:rPr>
      </w:pPr>
      <w:bookmarkStart w:id="19" w:name="_Toc19221"/>
      <w:r>
        <w:rPr>
          <w:rFonts w:hint="default" w:ascii="Times New Roman" w:hAnsi="Times New Roman" w:eastAsia="宋体" w:cs="Times New Roman"/>
          <w:color w:val="auto"/>
        </w:rPr>
        <w:t>2.2 建设内容</w:t>
      </w:r>
      <w:bookmarkEnd w:id="19"/>
    </w:p>
    <w:p>
      <w:pPr>
        <w:pStyle w:val="6"/>
        <w:spacing w:line="440" w:lineRule="atLeast"/>
        <w:rPr>
          <w:rFonts w:hint="default" w:ascii="Times New Roman" w:hAnsi="Times New Roman" w:eastAsia="宋体" w:cs="Times New Roman"/>
          <w:color w:val="auto"/>
        </w:rPr>
      </w:pPr>
      <w:bookmarkStart w:id="20" w:name="_Toc2476"/>
      <w:bookmarkStart w:id="21" w:name="_Toc496979004"/>
      <w:bookmarkStart w:id="22" w:name="_Toc497001440"/>
      <w:r>
        <w:rPr>
          <w:rFonts w:hint="default" w:ascii="Times New Roman" w:hAnsi="Times New Roman" w:eastAsia="宋体" w:cs="Times New Roman"/>
          <w:color w:val="auto"/>
        </w:rPr>
        <w:t xml:space="preserve">2.2.1 </w:t>
      </w:r>
      <w:r>
        <w:rPr>
          <w:rFonts w:hint="default" w:ascii="Times New Roman" w:hAnsi="Times New Roman" w:eastAsia="宋体" w:cs="Times New Roman"/>
          <w:color w:val="auto"/>
          <w:lang w:val="en-US" w:eastAsia="zh-CN"/>
        </w:rPr>
        <w:t>建设</w:t>
      </w:r>
      <w:r>
        <w:rPr>
          <w:rFonts w:hint="default" w:ascii="Times New Roman" w:hAnsi="Times New Roman" w:eastAsia="宋体" w:cs="Times New Roman"/>
          <w:color w:val="auto"/>
        </w:rPr>
        <w:t>规模</w:t>
      </w:r>
      <w:bookmarkEnd w:id="20"/>
      <w:bookmarkEnd w:id="21"/>
      <w:bookmarkEnd w:id="22"/>
    </w:p>
    <w:p>
      <w:pPr>
        <w:spacing w:line="440" w:lineRule="atLeast"/>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本项目总占地面积为14152.86m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（约21.23亩），总建筑面积为99922.80m</w:t>
      </w:r>
      <w:r>
        <w:rPr>
          <w:rFonts w:hint="default" w:ascii="Times New Roman" w:hAnsi="Times New Roman" w:eastAsia="宋体" w:cs="Times New Roman"/>
          <w:color w:val="auto"/>
          <w:sz w:val="24"/>
          <w:szCs w:val="24"/>
          <w:vertAlign w:val="superscript"/>
        </w:rPr>
        <w:t>2</w:t>
      </w:r>
      <w:r>
        <w:rPr>
          <w:rFonts w:hint="eastAsia" w:ascii="Times New Roman" w:hAnsi="Times New Roman" w:eastAsia="宋体" w:cs="Times New Roman"/>
          <w:color w:val="auto"/>
          <w:sz w:val="24"/>
          <w:szCs w:val="24"/>
          <w:lang w:eastAsia="zh-CN"/>
        </w:rPr>
        <w:t>。</w:t>
      </w:r>
    </w:p>
    <w:p>
      <w:pPr>
        <w:pStyle w:val="6"/>
        <w:spacing w:line="440" w:lineRule="atLeast"/>
        <w:rPr>
          <w:rFonts w:hint="default" w:ascii="Times New Roman" w:hAnsi="Times New Roman" w:eastAsia="宋体" w:cs="Times New Roman"/>
          <w:color w:val="auto"/>
          <w:lang w:val="en-US" w:eastAsia="zh-CN"/>
        </w:rPr>
      </w:pPr>
      <w:bookmarkStart w:id="23" w:name="_Toc496979005"/>
      <w:bookmarkStart w:id="24" w:name="_Toc497001441"/>
      <w:bookmarkStart w:id="25" w:name="_Toc30238"/>
      <w:r>
        <w:rPr>
          <w:rFonts w:hint="default" w:ascii="Times New Roman" w:hAnsi="Times New Roman" w:eastAsia="宋体" w:cs="Times New Roman"/>
          <w:color w:val="auto"/>
        </w:rPr>
        <w:t>2.2.2 主要</w:t>
      </w:r>
      <w:bookmarkEnd w:id="23"/>
      <w:bookmarkEnd w:id="24"/>
      <w:r>
        <w:rPr>
          <w:rFonts w:hint="default" w:ascii="Times New Roman" w:hAnsi="Times New Roman" w:eastAsia="宋体" w:cs="Times New Roman"/>
          <w:color w:val="auto"/>
          <w:lang w:val="en-US" w:eastAsia="zh-CN"/>
        </w:rPr>
        <w:t>建设内容</w:t>
      </w:r>
      <w:bookmarkEnd w:id="25"/>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rPr>
        <w:t>地上建筑面积80372m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，地下建筑面积19550.80m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。本项目主体工程为20F住宅楼7栋，2F商业楼2栋。除此之外，还包括垃圾中转站、公共厕所、水、暖、电、通讯设施、化粪池及外排污水管道等附属设施建设。</w:t>
      </w:r>
    </w:p>
    <w:p>
      <w:pPr>
        <w:pStyle w:val="6"/>
        <w:rPr>
          <w:rFonts w:hint="default" w:ascii="Times New Roman" w:hAnsi="Times New Roman" w:eastAsia="宋体" w:cs="Times New Roman"/>
          <w:color w:val="auto"/>
          <w:lang w:val="en-US" w:eastAsia="zh-CN"/>
        </w:rPr>
      </w:pPr>
      <w:bookmarkStart w:id="26" w:name="_Toc496979007"/>
      <w:bookmarkStart w:id="27" w:name="_Toc497001443"/>
      <w:bookmarkStart w:id="28" w:name="_Toc20184"/>
      <w:r>
        <w:rPr>
          <w:rFonts w:hint="default" w:ascii="Times New Roman" w:hAnsi="Times New Roman" w:eastAsia="宋体" w:cs="Times New Roman"/>
          <w:color w:val="auto"/>
        </w:rPr>
        <w:t>2.2.</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bookmarkEnd w:id="26"/>
      <w:bookmarkEnd w:id="27"/>
      <w:r>
        <w:rPr>
          <w:rFonts w:hint="default" w:ascii="Times New Roman" w:hAnsi="Times New Roman" w:eastAsia="宋体" w:cs="Times New Roman"/>
          <w:color w:val="auto"/>
          <w:lang w:val="en-US" w:eastAsia="zh-CN"/>
        </w:rPr>
        <w:t>主要技术指标</w:t>
      </w:r>
      <w:bookmarkEnd w:id="28"/>
    </w:p>
    <w:p>
      <w:pPr>
        <w:spacing w:line="360" w:lineRule="auto"/>
        <w:ind w:firstLine="480" w:firstLineChars="200"/>
        <w:textAlignment w:val="baseline"/>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项目</w:t>
      </w:r>
      <w:r>
        <w:rPr>
          <w:rFonts w:hint="default" w:ascii="Times New Roman" w:hAnsi="Times New Roman" w:eastAsia="宋体" w:cs="Times New Roman"/>
          <w:color w:val="auto"/>
          <w:sz w:val="24"/>
          <w:szCs w:val="24"/>
          <w:lang w:val="en-US" w:eastAsia="zh-CN"/>
        </w:rPr>
        <w:t>主要技术指标见</w:t>
      </w:r>
      <w:r>
        <w:rPr>
          <w:rFonts w:hint="default" w:ascii="Times New Roman" w:hAnsi="Times New Roman" w:eastAsia="宋体" w:cs="Times New Roman"/>
          <w:color w:val="auto"/>
          <w:sz w:val="24"/>
          <w:szCs w:val="24"/>
        </w:rPr>
        <w:t>表2-</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w:t>
      </w:r>
    </w:p>
    <w:p>
      <w:pPr>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r>
        <w:rPr>
          <w:rFonts w:hint="eastAsia" w:ascii="Times New Roman" w:hAnsi="Times New Roman" w:eastAsia="宋体" w:cs="Times New Roman"/>
          <w:b/>
          <w:color w:val="auto"/>
          <w:sz w:val="24"/>
          <w:szCs w:val="24"/>
          <w:lang w:val="en-US" w:eastAsia="zh-CN"/>
        </w:rPr>
        <w:t>2</w:t>
      </w:r>
      <w:r>
        <w:rPr>
          <w:rFonts w:hint="default" w:ascii="Times New Roman" w:hAnsi="Times New Roman" w:eastAsia="宋体" w:cs="Times New Roman"/>
          <w:b/>
          <w:color w:val="auto"/>
          <w:sz w:val="24"/>
          <w:szCs w:val="24"/>
        </w:rPr>
        <w:t xml:space="preserve">  </w:t>
      </w:r>
      <w:r>
        <w:rPr>
          <w:rFonts w:hint="default" w:ascii="Times New Roman" w:hAnsi="Times New Roman" w:eastAsia="宋体" w:cs="Times New Roman"/>
          <w:b/>
          <w:color w:val="auto"/>
          <w:sz w:val="24"/>
          <w:szCs w:val="24"/>
          <w:lang w:val="en-US" w:eastAsia="zh-CN"/>
        </w:rPr>
        <w:t>主要技术指标</w:t>
      </w:r>
      <w:r>
        <w:rPr>
          <w:rFonts w:hint="default" w:ascii="Times New Roman" w:hAnsi="Times New Roman" w:eastAsia="宋体" w:cs="Times New Roman"/>
          <w:b/>
          <w:color w:val="auto"/>
          <w:sz w:val="24"/>
          <w:szCs w:val="24"/>
        </w:rPr>
        <w:t>一览表</w:t>
      </w:r>
    </w:p>
    <w:tbl>
      <w:tblPr>
        <w:tblStyle w:val="30"/>
        <w:tblW w:w="8522" w:type="dxa"/>
        <w:jc w:val="center"/>
        <w:tblLayout w:type="fixed"/>
        <w:tblCellMar>
          <w:top w:w="0" w:type="dxa"/>
          <w:left w:w="108" w:type="dxa"/>
          <w:bottom w:w="0" w:type="dxa"/>
          <w:right w:w="108" w:type="dxa"/>
        </w:tblCellMar>
      </w:tblPr>
      <w:tblGrid>
        <w:gridCol w:w="562"/>
        <w:gridCol w:w="1357"/>
        <w:gridCol w:w="32"/>
        <w:gridCol w:w="1355"/>
        <w:gridCol w:w="3252"/>
        <w:gridCol w:w="1964"/>
      </w:tblGrid>
      <w:tr>
        <w:tblPrEx>
          <w:tblCellMar>
            <w:top w:w="0" w:type="dxa"/>
            <w:left w:w="108" w:type="dxa"/>
            <w:bottom w:w="0" w:type="dxa"/>
            <w:right w:w="108" w:type="dxa"/>
          </w:tblCellMar>
        </w:tblPrEx>
        <w:trPr>
          <w:trHeight w:val="45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序号</w:t>
            </w:r>
          </w:p>
        </w:tc>
        <w:tc>
          <w:tcPr>
            <w:tcW w:w="5996" w:type="dxa"/>
            <w:gridSpan w:val="4"/>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项目名称</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数量</w:t>
            </w:r>
          </w:p>
        </w:tc>
      </w:tr>
      <w:tr>
        <w:tblPrEx>
          <w:tblCellMar>
            <w:top w:w="0" w:type="dxa"/>
            <w:left w:w="108" w:type="dxa"/>
            <w:bottom w:w="0" w:type="dxa"/>
            <w:right w:w="108" w:type="dxa"/>
          </w:tblCellMar>
        </w:tblPrEx>
        <w:trPr>
          <w:trHeight w:val="375"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w:t>
            </w:r>
          </w:p>
        </w:tc>
        <w:tc>
          <w:tcPr>
            <w:tcW w:w="5996" w:type="dxa"/>
            <w:gridSpan w:val="4"/>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占地面积（平方米）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14152.86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w:t>
            </w:r>
          </w:p>
        </w:tc>
        <w:tc>
          <w:tcPr>
            <w:tcW w:w="5996" w:type="dxa"/>
            <w:gridSpan w:val="4"/>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建筑面积（平方米）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99922.8</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w:t>
            </w:r>
          </w:p>
        </w:tc>
        <w:tc>
          <w:tcPr>
            <w:tcW w:w="5996" w:type="dxa"/>
            <w:gridSpan w:val="4"/>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地上总建筑面积（平方米）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80372</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w:t>
            </w:r>
          </w:p>
        </w:tc>
        <w:tc>
          <w:tcPr>
            <w:tcW w:w="1357" w:type="dxa"/>
            <w:vMerge w:val="restart"/>
            <w:tcBorders>
              <w:top w:val="single" w:color="auto" w:sz="4" w:space="0"/>
              <w:left w:val="nil"/>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地上</w:t>
            </w:r>
          </w:p>
        </w:tc>
        <w:tc>
          <w:tcPr>
            <w:tcW w:w="1387" w:type="dxa"/>
            <w:gridSpan w:val="2"/>
            <w:vMerge w:val="restart"/>
            <w:tcBorders>
              <w:top w:val="single" w:color="auto" w:sz="4" w:space="0"/>
              <w:left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住宅</w:t>
            </w:r>
          </w:p>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面积</w:t>
            </w:r>
          </w:p>
        </w:tc>
        <w:tc>
          <w:tcPr>
            <w:tcW w:w="325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商品房（平方米）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51901.90</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w:t>
            </w:r>
          </w:p>
        </w:tc>
        <w:tc>
          <w:tcPr>
            <w:tcW w:w="1357" w:type="dxa"/>
            <w:vMerge w:val="continue"/>
            <w:tcBorders>
              <w:left w:val="nil"/>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1387" w:type="dxa"/>
            <w:gridSpan w:val="2"/>
            <w:vMerge w:val="continue"/>
            <w:tcBorders>
              <w:left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325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回迁房（平方米）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16897.10</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w:t>
            </w:r>
          </w:p>
        </w:tc>
        <w:tc>
          <w:tcPr>
            <w:tcW w:w="1357" w:type="dxa"/>
            <w:vMerge w:val="continue"/>
            <w:tcBorders>
              <w:left w:val="nil"/>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1387" w:type="dxa"/>
            <w:gridSpan w:val="2"/>
            <w:vMerge w:val="continue"/>
            <w:tcBorders>
              <w:left w:val="single" w:color="auto" w:sz="4" w:space="0"/>
              <w:bottom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325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保障房（平方米）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3762</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7</w:t>
            </w:r>
          </w:p>
        </w:tc>
        <w:tc>
          <w:tcPr>
            <w:tcW w:w="1357" w:type="dxa"/>
            <w:vMerge w:val="continue"/>
            <w:tcBorders>
              <w:left w:val="nil"/>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4639"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商业面积（平方米）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3819</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8</w:t>
            </w:r>
          </w:p>
        </w:tc>
        <w:tc>
          <w:tcPr>
            <w:tcW w:w="1357" w:type="dxa"/>
            <w:vMerge w:val="continue"/>
            <w:tcBorders>
              <w:left w:val="nil"/>
              <w:bottom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4639" w:type="dxa"/>
            <w:gridSpan w:val="3"/>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配套公建面积（平方米）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3992</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9</w:t>
            </w:r>
          </w:p>
        </w:tc>
        <w:tc>
          <w:tcPr>
            <w:tcW w:w="5996" w:type="dxa"/>
            <w:gridSpan w:val="4"/>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地下总建筑面积（平方米）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19550.80</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10</w:t>
            </w:r>
          </w:p>
        </w:tc>
        <w:tc>
          <w:tcPr>
            <w:tcW w:w="1389" w:type="dxa"/>
            <w:gridSpan w:val="2"/>
            <w:vMerge w:val="restart"/>
            <w:tcBorders>
              <w:left w:val="nil"/>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地下</w:t>
            </w:r>
          </w:p>
        </w:tc>
        <w:tc>
          <w:tcPr>
            <w:tcW w:w="4607" w:type="dxa"/>
            <w:gridSpan w:val="2"/>
            <w:tcBorders>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储藏间（平方米）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2274.76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11</w:t>
            </w:r>
          </w:p>
        </w:tc>
        <w:tc>
          <w:tcPr>
            <w:tcW w:w="1389" w:type="dxa"/>
            <w:gridSpan w:val="2"/>
            <w:vMerge w:val="continue"/>
            <w:tcBorders>
              <w:left w:val="nil"/>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4607" w:type="dxa"/>
            <w:gridSpan w:val="2"/>
            <w:tcBorders>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居民存车处（平方米）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2013.44</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w:t>
            </w:r>
          </w:p>
        </w:tc>
        <w:tc>
          <w:tcPr>
            <w:tcW w:w="1389" w:type="dxa"/>
            <w:gridSpan w:val="2"/>
            <w:vMerge w:val="continue"/>
            <w:tcBorders>
              <w:left w:val="nil"/>
              <w:bottom w:val="single" w:color="auto" w:sz="4" w:space="0"/>
              <w:right w:val="single" w:color="auto" w:sz="4" w:space="0"/>
            </w:tcBorders>
            <w:shd w:val="clear" w:color="auto" w:fill="auto"/>
            <w:vAlign w:val="center"/>
          </w:tcPr>
          <w:p>
            <w:pPr>
              <w:widowControl/>
              <w:jc w:val="center"/>
              <w:rPr>
                <w:rFonts w:hint="eastAsia" w:ascii="Times New Roman" w:hAnsi="Times New Roman" w:eastAsia="宋体" w:cs="Times New Roman"/>
                <w:color w:val="auto"/>
                <w:kern w:val="0"/>
                <w:sz w:val="21"/>
                <w:szCs w:val="21"/>
                <w:lang w:val="en-US" w:eastAsia="zh-CN"/>
              </w:rPr>
            </w:pPr>
          </w:p>
        </w:tc>
        <w:tc>
          <w:tcPr>
            <w:tcW w:w="4607" w:type="dxa"/>
            <w:gridSpan w:val="2"/>
            <w:tcBorders>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地下车库（平方米）</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15262.60</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13</w:t>
            </w:r>
          </w:p>
        </w:tc>
        <w:tc>
          <w:tcPr>
            <w:tcW w:w="5996" w:type="dxa"/>
            <w:gridSpan w:val="4"/>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容积率（万m</w:t>
            </w:r>
            <w:r>
              <w:rPr>
                <w:rFonts w:hint="eastAsia" w:ascii="Times New Roman" w:hAnsi="Times New Roman" w:eastAsia="宋体" w:cs="Times New Roman"/>
                <w:color w:val="auto"/>
                <w:kern w:val="0"/>
                <w:sz w:val="21"/>
                <w:szCs w:val="21"/>
                <w:vertAlign w:val="superscript"/>
                <w:lang w:val="en-US" w:eastAsia="zh-CN"/>
              </w:rPr>
              <w:t>2</w:t>
            </w:r>
            <w:r>
              <w:rPr>
                <w:rFonts w:hint="eastAsia" w:ascii="Times New Roman" w:hAnsi="Times New Roman" w:eastAsia="宋体" w:cs="Times New Roman"/>
                <w:color w:val="auto"/>
                <w:kern w:val="0"/>
                <w:sz w:val="21"/>
                <w:szCs w:val="21"/>
                <w:lang w:val="en-US" w:eastAsia="zh-CN"/>
              </w:rPr>
              <w:t>/hm）</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5.68</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14</w:t>
            </w:r>
          </w:p>
        </w:tc>
        <w:tc>
          <w:tcPr>
            <w:tcW w:w="5996" w:type="dxa"/>
            <w:gridSpan w:val="4"/>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建筑密度（%）</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26.98</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15</w:t>
            </w:r>
          </w:p>
        </w:tc>
        <w:tc>
          <w:tcPr>
            <w:tcW w:w="5996" w:type="dxa"/>
            <w:gridSpan w:val="4"/>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绿地面积（m</w:t>
            </w:r>
            <w:r>
              <w:rPr>
                <w:rFonts w:hint="eastAsia" w:ascii="Times New Roman" w:hAnsi="Times New Roman" w:eastAsia="宋体" w:cs="Times New Roman"/>
                <w:color w:val="auto"/>
                <w:kern w:val="0"/>
                <w:sz w:val="21"/>
                <w:szCs w:val="21"/>
                <w:vertAlign w:val="superscript"/>
                <w:lang w:val="en-US" w:eastAsia="zh-CN"/>
              </w:rPr>
              <w:t>2</w:t>
            </w:r>
            <w:r>
              <w:rPr>
                <w:rFonts w:hint="eastAsia" w:ascii="Times New Roman" w:hAnsi="Times New Roman" w:eastAsia="宋体" w:cs="Times New Roman"/>
                <w:color w:val="auto"/>
                <w:kern w:val="0"/>
                <w:sz w:val="21"/>
                <w:szCs w:val="21"/>
                <w:lang w:val="en-US" w:eastAsia="zh-CN"/>
              </w:rPr>
              <w:t>）</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4245.86</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16</w:t>
            </w:r>
          </w:p>
        </w:tc>
        <w:tc>
          <w:tcPr>
            <w:tcW w:w="5996" w:type="dxa"/>
            <w:gridSpan w:val="4"/>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居住用户（户）</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798</w:t>
            </w:r>
          </w:p>
        </w:tc>
      </w:tr>
      <w:tr>
        <w:tblPrEx>
          <w:tblCellMar>
            <w:top w:w="0" w:type="dxa"/>
            <w:left w:w="108" w:type="dxa"/>
            <w:bottom w:w="0" w:type="dxa"/>
            <w:right w:w="108" w:type="dxa"/>
          </w:tblCellMar>
        </w:tblPrEx>
        <w:trPr>
          <w:trHeight w:val="360" w:hRule="atLeast"/>
          <w:jc w:val="center"/>
        </w:trPr>
        <w:tc>
          <w:tcPr>
            <w:tcW w:w="562"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17</w:t>
            </w:r>
          </w:p>
        </w:tc>
        <w:tc>
          <w:tcPr>
            <w:tcW w:w="5996" w:type="dxa"/>
            <w:gridSpan w:val="4"/>
            <w:tcBorders>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居住人数（人）</w:t>
            </w:r>
          </w:p>
        </w:tc>
        <w:tc>
          <w:tcPr>
            <w:tcW w:w="1964" w:type="dxa"/>
            <w:tcBorders>
              <w:top w:val="single" w:color="auto" w:sz="4" w:space="0"/>
              <w:left w:val="nil"/>
              <w:bottom w:val="single" w:color="auto" w:sz="4" w:space="0"/>
              <w:right w:val="single" w:color="auto" w:sz="4" w:space="0"/>
            </w:tcBorders>
            <w:shd w:val="clear" w:color="auto" w:fill="auto"/>
            <w:vAlign w:val="center"/>
          </w:tcPr>
          <w:p>
            <w:pPr>
              <w:widowControl/>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2554</w:t>
            </w:r>
          </w:p>
        </w:tc>
      </w:tr>
    </w:tbl>
    <w:p>
      <w:pPr>
        <w:pStyle w:val="5"/>
        <w:rPr>
          <w:rFonts w:hint="default" w:ascii="Times New Roman" w:hAnsi="Times New Roman" w:eastAsia="宋体" w:cs="Times New Roman"/>
          <w:color w:val="auto"/>
          <w:lang w:val="en-US" w:eastAsia="zh-CN"/>
        </w:rPr>
      </w:pPr>
      <w:bookmarkStart w:id="29" w:name="_Toc26222"/>
      <w:r>
        <w:rPr>
          <w:rFonts w:hint="default" w:ascii="Times New Roman" w:hAnsi="Times New Roman" w:eastAsia="宋体" w:cs="Times New Roman"/>
          <w:snapToGrid w:val="0"/>
          <w:color w:val="FF0000"/>
          <w:kern w:val="0"/>
          <w:sz w:val="24"/>
        </w:rPr>
        <w:drawing>
          <wp:anchor distT="0" distB="0" distL="114300" distR="114300" simplePos="0" relativeHeight="251786240" behindDoc="0" locked="0" layoutInCell="1" allowOverlap="1">
            <wp:simplePos x="0" y="0"/>
            <wp:positionH relativeFrom="column">
              <wp:posOffset>1809750</wp:posOffset>
            </wp:positionH>
            <wp:positionV relativeFrom="paragraph">
              <wp:posOffset>372745</wp:posOffset>
            </wp:positionV>
            <wp:extent cx="1758950" cy="2515870"/>
            <wp:effectExtent l="0" t="0" r="12700" b="17780"/>
            <wp:wrapNone/>
            <wp:docPr id="2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
                    <pic:cNvPicPr>
                      <a:picLocks noChangeAspect="1"/>
                    </pic:cNvPicPr>
                  </pic:nvPicPr>
                  <pic:blipFill>
                    <a:blip r:embed="rId6">
                      <a:lum contrast="6000"/>
                    </a:blip>
                    <a:stretch>
                      <a:fillRect/>
                    </a:stretch>
                  </pic:blipFill>
                  <pic:spPr>
                    <a:xfrm>
                      <a:off x="0" y="0"/>
                      <a:ext cx="1758950" cy="2515870"/>
                    </a:xfrm>
                    <a:prstGeom prst="rect">
                      <a:avLst/>
                    </a:prstGeom>
                    <a:noFill/>
                    <a:ln>
                      <a:noFill/>
                    </a:ln>
                  </pic:spPr>
                </pic:pic>
              </a:graphicData>
            </a:graphic>
          </wp:anchor>
        </w:drawing>
      </w:r>
      <w:r>
        <w:rPr>
          <w:rFonts w:hint="default" w:ascii="Times New Roman" w:hAnsi="Times New Roman" w:eastAsia="宋体" w:cs="Times New Roman"/>
          <w:color w:val="auto"/>
        </w:rPr>
        <w:t xml:space="preserve">2.3 </w:t>
      </w:r>
      <w:r>
        <w:rPr>
          <w:rFonts w:hint="default" w:ascii="Times New Roman" w:hAnsi="Times New Roman" w:eastAsia="宋体" w:cs="Times New Roman"/>
          <w:color w:val="auto"/>
          <w:lang w:val="en-US" w:eastAsia="zh-CN"/>
        </w:rPr>
        <w:t>工艺及污染源分析</w:t>
      </w:r>
      <w:bookmarkEnd w:id="29"/>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FF0000"/>
          <w:kern w:val="0"/>
          <w:sz w:val="24"/>
        </w:rPr>
      </w:pPr>
    </w:p>
    <w:p>
      <w:pPr>
        <w:adjustRightInd w:val="0"/>
        <w:snapToGrid w:val="0"/>
        <w:spacing w:line="440" w:lineRule="exact"/>
        <w:ind w:firstLine="480" w:firstLineChars="200"/>
        <w:jc w:val="center"/>
        <w:rPr>
          <w:rFonts w:hint="default" w:ascii="Times New Roman" w:hAnsi="Times New Roman" w:eastAsia="宋体" w:cs="Times New Roman"/>
          <w:snapToGrid w:val="0"/>
          <w:color w:val="auto"/>
          <w:kern w:val="0"/>
          <w:sz w:val="24"/>
        </w:rPr>
      </w:pPr>
      <w:r>
        <w:rPr>
          <w:rFonts w:hint="default" w:ascii="Times New Roman" w:hAnsi="Times New Roman" w:eastAsia="宋体" w:cs="Times New Roman"/>
          <w:snapToGrid w:val="0"/>
          <w:color w:val="auto"/>
          <w:kern w:val="0"/>
          <w:sz w:val="24"/>
        </w:rPr>
        <w:t>图2-1    工艺流程及排污情况图</w:t>
      </w:r>
    </w:p>
    <w:p>
      <w:pPr>
        <w:pStyle w:val="2"/>
        <w:rPr>
          <w:rFonts w:hint="default" w:ascii="Times New Roman" w:hAnsi="Times New Roman" w:eastAsia="宋体" w:cs="Times New Roman"/>
          <w:snapToGrid w:val="0"/>
          <w:color w:val="FF0000"/>
          <w:kern w:val="0"/>
          <w:sz w:val="24"/>
          <w:lang w:val="en-US" w:eastAsia="zh-CN"/>
        </w:rPr>
      </w:pPr>
    </w:p>
    <w:p>
      <w:pPr>
        <w:pStyle w:val="2"/>
        <w:rPr>
          <w:rFonts w:hint="default" w:ascii="Times New Roman" w:hAnsi="Times New Roman" w:eastAsia="宋体" w:cs="Times New Roman"/>
          <w:snapToGrid w:val="0"/>
          <w:color w:val="FF0000"/>
          <w:kern w:val="0"/>
          <w:sz w:val="24"/>
          <w:lang w:val="en-US" w:eastAsia="zh-CN"/>
        </w:rPr>
      </w:pPr>
    </w:p>
    <w:p>
      <w:pPr>
        <w:pStyle w:val="2"/>
        <w:rPr>
          <w:rFonts w:hint="default" w:ascii="Times New Roman" w:hAnsi="Times New Roman" w:eastAsia="宋体" w:cs="Times New Roman"/>
          <w:snapToGrid w:val="0"/>
          <w:color w:val="FF0000"/>
          <w:kern w:val="0"/>
          <w:sz w:val="24"/>
          <w:lang w:val="en-US" w:eastAsia="zh-CN"/>
        </w:rPr>
      </w:pP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eastAsia" w:ascii="Times New Roman" w:hAnsi="Times New Roman" w:cs="Times New Roman"/>
          <w:color w:val="auto"/>
          <w:kern w:val="2"/>
          <w:sz w:val="24"/>
          <w:szCs w:val="24"/>
          <w:lang w:val="en-US" w:eastAsia="zh-CN" w:bidi="ar-SA"/>
        </w:rPr>
        <w:t>运营</w:t>
      </w:r>
      <w:r>
        <w:rPr>
          <w:rFonts w:hint="default" w:ascii="Times New Roman" w:hAnsi="Times New Roman" w:eastAsia="宋体" w:cs="Times New Roman"/>
          <w:color w:val="auto"/>
          <w:kern w:val="2"/>
          <w:sz w:val="24"/>
          <w:szCs w:val="24"/>
          <w:lang w:val="en-US" w:eastAsia="zh-CN" w:bidi="ar-SA"/>
        </w:rPr>
        <w:t>期主要污染工序：</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（1）废气：主要是汽车尾气、垃圾中转站及公厕恶臭。</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（2）废水：主要是居民产生的生活污水及商业废水。</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（3）噪声：主要是加压水泵、地下停车场排风机、电梯等设备产生的噪声，小区内居民生活噪声和机动车噪声。</w:t>
      </w:r>
    </w:p>
    <w:p>
      <w:pPr>
        <w:pStyle w:val="2"/>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r>
        <w:rPr>
          <w:rFonts w:hint="default" w:ascii="Times New Roman" w:hAnsi="Times New Roman" w:eastAsia="宋体" w:cs="Times New Roman"/>
          <w:color w:val="auto"/>
          <w:kern w:val="2"/>
          <w:sz w:val="24"/>
          <w:szCs w:val="24"/>
          <w:lang w:val="en-US" w:eastAsia="zh-CN" w:bidi="ar-SA"/>
        </w:rPr>
        <w:t>（4）固废：主要是商业垃圾和小区居民产生的生活垃圾</w:t>
      </w:r>
    </w:p>
    <w:p>
      <w:pPr>
        <w:pStyle w:val="5"/>
        <w:rPr>
          <w:rFonts w:hint="default" w:ascii="Times New Roman" w:hAnsi="Times New Roman" w:eastAsia="宋体" w:cs="Times New Roman"/>
          <w:color w:val="auto"/>
        </w:rPr>
      </w:pPr>
      <w:bookmarkStart w:id="30" w:name="_Toc19718"/>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4</w:t>
      </w:r>
      <w:r>
        <w:rPr>
          <w:rFonts w:hint="default" w:ascii="Times New Roman" w:hAnsi="Times New Roman" w:eastAsia="宋体" w:cs="Times New Roman"/>
          <w:color w:val="auto"/>
        </w:rPr>
        <w:t xml:space="preserve"> 公用工程</w:t>
      </w:r>
      <w:bookmarkEnd w:id="30"/>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给水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eastAsia" w:ascii="Times New Roman" w:hAnsi="Times New Roman" w:eastAsia="宋体" w:cs="Times New Roman"/>
          <w:color w:val="FF0000"/>
          <w:sz w:val="24"/>
          <w:szCs w:val="24"/>
          <w:lang w:eastAsia="zh-CN"/>
        </w:rPr>
      </w:pPr>
      <w:r>
        <w:rPr>
          <w:rFonts w:hint="default" w:ascii="Times New Roman" w:hAnsi="Times New Roman" w:eastAsia="宋体" w:cs="Times New Roman"/>
          <w:color w:val="auto"/>
          <w:sz w:val="24"/>
          <w:szCs w:val="24"/>
        </w:rPr>
        <w:t>本项目用水出盐山县市政供水公司自来水管网提供</w:t>
      </w:r>
      <w:r>
        <w:rPr>
          <w:rFonts w:hint="eastAsia" w:ascii="Times New Roman" w:hAnsi="Times New Roman" w:eastAsia="宋体" w:cs="Times New Roman"/>
          <w:color w:val="auto"/>
          <w:sz w:val="24"/>
          <w:szCs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lang w:eastAsia="zh-CN"/>
        </w:rPr>
        <w:t>（</w:t>
      </w:r>
      <w:r>
        <w:rPr>
          <w:rFonts w:hint="default" w:ascii="Times New Roman" w:hAnsi="Times New Roman" w:eastAsia="宋体" w:cs="Times New Roman"/>
          <w:color w:val="auto"/>
          <w:kern w:val="44"/>
          <w:sz w:val="24"/>
          <w:lang w:val="en-US" w:eastAsia="zh-CN"/>
        </w:rPr>
        <w:t>2</w:t>
      </w:r>
      <w:r>
        <w:rPr>
          <w:rFonts w:hint="default" w:ascii="Times New Roman" w:hAnsi="Times New Roman" w:eastAsia="宋体" w:cs="Times New Roman"/>
          <w:color w:val="auto"/>
          <w:kern w:val="44"/>
          <w:sz w:val="24"/>
          <w:lang w:eastAsia="zh-CN"/>
        </w:rPr>
        <w:t>）</w:t>
      </w:r>
      <w:r>
        <w:rPr>
          <w:rFonts w:hint="default" w:ascii="Times New Roman" w:hAnsi="Times New Roman" w:eastAsia="宋体" w:cs="Times New Roman"/>
          <w:color w:val="auto"/>
          <w:kern w:val="44"/>
          <w:sz w:val="24"/>
        </w:rPr>
        <w:t>排水</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rPr>
        <w:t>本项目排水采用雨污分流，雨水经汇聚后直接进入城市雨水管网</w:t>
      </w:r>
      <w:r>
        <w:rPr>
          <w:rFonts w:hint="eastAsia" w:ascii="Times New Roman" w:hAnsi="Times New Roman" w:eastAsia="宋体" w:cs="Times New Roman"/>
          <w:color w:val="auto"/>
          <w:kern w:val="44"/>
          <w:sz w:val="24"/>
          <w:lang w:eastAsia="zh-CN"/>
        </w:rPr>
        <w:t>，</w:t>
      </w:r>
      <w:r>
        <w:rPr>
          <w:rFonts w:hint="default" w:ascii="Times New Roman" w:hAnsi="Times New Roman" w:eastAsia="宋体" w:cs="Times New Roman"/>
          <w:color w:val="auto"/>
          <w:kern w:val="44"/>
          <w:sz w:val="24"/>
        </w:rPr>
        <w:t>项目生活污水及商业废水，绿化用水及其他未预见用水不外排。</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kern w:val="44"/>
          <w:sz w:val="24"/>
        </w:rPr>
      </w:pPr>
      <w:r>
        <w:rPr>
          <w:rFonts w:hint="default" w:ascii="Times New Roman" w:hAnsi="Times New Roman" w:eastAsia="宋体" w:cs="Times New Roman"/>
          <w:color w:val="auto"/>
          <w:kern w:val="44"/>
          <w:sz w:val="24"/>
        </w:rPr>
        <w:t>（</w:t>
      </w:r>
      <w:r>
        <w:rPr>
          <w:rFonts w:hint="default" w:ascii="Times New Roman" w:hAnsi="Times New Roman" w:eastAsia="宋体" w:cs="Times New Roman"/>
          <w:color w:val="auto"/>
          <w:kern w:val="44"/>
          <w:sz w:val="24"/>
          <w:lang w:val="en-US" w:eastAsia="zh-CN"/>
        </w:rPr>
        <w:t>3</w:t>
      </w:r>
      <w:r>
        <w:rPr>
          <w:rFonts w:hint="default" w:ascii="Times New Roman" w:hAnsi="Times New Roman" w:eastAsia="宋体" w:cs="Times New Roman"/>
          <w:color w:val="auto"/>
          <w:kern w:val="44"/>
          <w:sz w:val="24"/>
        </w:rPr>
        <w:t>）供电</w:t>
      </w:r>
    </w:p>
    <w:p>
      <w:pPr>
        <w:spacing w:line="440" w:lineRule="atLeast"/>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本项目供电出盐山县供电公司供给</w:t>
      </w:r>
      <w:r>
        <w:rPr>
          <w:rFonts w:hint="eastAsia"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）供热</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本项目所需热量由盐山县供热公司集中供给。</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5</w:t>
      </w:r>
      <w:r>
        <w:rPr>
          <w:rFonts w:hint="default" w:ascii="Times New Roman" w:hAnsi="Times New Roman" w:eastAsia="宋体" w:cs="Times New Roman"/>
          <w:color w:val="auto"/>
          <w:sz w:val="24"/>
          <w:szCs w:val="24"/>
        </w:rPr>
        <w:t>）天然气</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本项目天然气出盐山县天然气公司供给。</w:t>
      </w:r>
    </w:p>
    <w:p>
      <w:pPr>
        <w:pStyle w:val="5"/>
        <w:spacing w:line="440" w:lineRule="atLeast"/>
        <w:rPr>
          <w:rFonts w:hint="default" w:ascii="Times New Roman" w:hAnsi="Times New Roman" w:eastAsia="宋体" w:cs="Times New Roman"/>
          <w:color w:val="auto"/>
        </w:rPr>
      </w:pPr>
      <w:bookmarkStart w:id="31" w:name="_Toc13014"/>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5</w:t>
      </w:r>
      <w:r>
        <w:rPr>
          <w:rFonts w:hint="default" w:ascii="Times New Roman" w:hAnsi="Times New Roman" w:eastAsia="宋体" w:cs="Times New Roman"/>
          <w:color w:val="auto"/>
        </w:rPr>
        <w:t xml:space="preserve"> 环评审批情况</w:t>
      </w:r>
      <w:bookmarkEnd w:id="3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eastAsia="zh-CN"/>
        </w:rPr>
        <w:t>盐山县泰达房地产开发有限公司盐山县泰达国际城（北区）项目</w:t>
      </w:r>
      <w:r>
        <w:rPr>
          <w:rFonts w:hint="default" w:ascii="Times New Roman" w:hAnsi="Times New Roman" w:eastAsia="宋体" w:cs="Times New Roman"/>
          <w:color w:val="auto"/>
          <w:sz w:val="24"/>
          <w:szCs w:val="24"/>
        </w:rPr>
        <w:t>环境影响</w:t>
      </w:r>
      <w:r>
        <w:rPr>
          <w:rFonts w:hint="eastAsia" w:ascii="Times New Roman" w:hAnsi="Times New Roman" w:eastAsia="宋体" w:cs="Times New Roman"/>
          <w:color w:val="auto"/>
          <w:sz w:val="24"/>
          <w:szCs w:val="24"/>
          <w:lang w:eastAsia="zh-CN"/>
        </w:rPr>
        <w:t>报告表</w:t>
      </w:r>
      <w:r>
        <w:rPr>
          <w:rFonts w:hint="default" w:ascii="Times New Roman" w:hAnsi="Times New Roman" w:eastAsia="宋体" w:cs="Times New Roman"/>
          <w:color w:val="auto"/>
          <w:sz w:val="24"/>
          <w:szCs w:val="24"/>
        </w:rPr>
        <w:t>》于20</w:t>
      </w:r>
      <w:r>
        <w:rPr>
          <w:rFonts w:hint="eastAsia" w:ascii="Times New Roman" w:hAnsi="Times New Roman" w:eastAsia="宋体" w:cs="Times New Roman"/>
          <w:color w:val="auto"/>
          <w:sz w:val="24"/>
          <w:szCs w:val="24"/>
          <w:lang w:val="en-US" w:eastAsia="zh-CN"/>
        </w:rPr>
        <w:t>15</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日取得</w:t>
      </w:r>
      <w:r>
        <w:rPr>
          <w:rFonts w:hint="eastAsia" w:ascii="Times New Roman" w:hAnsi="Times New Roman" w:eastAsia="宋体" w:cs="Times New Roman"/>
          <w:color w:val="auto"/>
          <w:sz w:val="24"/>
          <w:szCs w:val="24"/>
          <w:lang w:val="en-US" w:eastAsia="zh-CN"/>
        </w:rPr>
        <w:t>原</w:t>
      </w:r>
      <w:r>
        <w:rPr>
          <w:rFonts w:hint="eastAsia" w:ascii="Times New Roman" w:hAnsi="Times New Roman" w:eastAsia="宋体" w:cs="Times New Roman"/>
          <w:color w:val="auto"/>
          <w:sz w:val="24"/>
          <w:szCs w:val="24"/>
          <w:lang w:eastAsia="zh-CN"/>
        </w:rPr>
        <w:t>盐山县</w:t>
      </w:r>
      <w:r>
        <w:rPr>
          <w:rFonts w:hint="eastAsia" w:ascii="Times New Roman" w:hAnsi="Times New Roman" w:eastAsia="宋体" w:cs="Times New Roman"/>
          <w:color w:val="auto"/>
          <w:sz w:val="24"/>
          <w:szCs w:val="24"/>
          <w:lang w:val="en-US" w:eastAsia="zh-CN"/>
        </w:rPr>
        <w:t>环保局</w:t>
      </w:r>
      <w:r>
        <w:rPr>
          <w:rFonts w:hint="default" w:ascii="Times New Roman" w:hAnsi="Times New Roman" w:eastAsia="宋体" w:cs="Times New Roman"/>
          <w:color w:val="auto"/>
          <w:sz w:val="24"/>
          <w:szCs w:val="24"/>
        </w:rPr>
        <w:t>批复，批复文号：</w:t>
      </w:r>
      <w:r>
        <w:rPr>
          <w:rFonts w:hint="eastAsia" w:ascii="Times New Roman" w:hAnsi="Times New Roman" w:eastAsia="宋体" w:cs="Times New Roman"/>
          <w:color w:val="auto"/>
          <w:sz w:val="24"/>
          <w:szCs w:val="24"/>
          <w:lang w:val="en-US" w:eastAsia="zh-CN"/>
        </w:rPr>
        <w:t>盐环表</w:t>
      </w:r>
      <w:r>
        <w:rPr>
          <w:rFonts w:hint="default" w:ascii="Times New Roman" w:hAnsi="Times New Roman" w:eastAsia="宋体" w:cs="Times New Roman"/>
          <w:color w:val="auto"/>
          <w:sz w:val="24"/>
          <w:szCs w:val="24"/>
        </w:rPr>
        <w:t>[201</w:t>
      </w:r>
      <w:r>
        <w:rPr>
          <w:rFonts w:hint="eastAsia" w:ascii="Times New Roman" w:hAnsi="Times New Roman" w:eastAsia="宋体" w:cs="Times New Roman"/>
          <w:color w:val="auto"/>
          <w:sz w:val="24"/>
          <w:szCs w:val="24"/>
          <w:lang w:val="en-US" w:eastAsia="zh-CN"/>
        </w:rPr>
        <w:t>5</w:t>
      </w: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08</w:t>
      </w:r>
      <w:r>
        <w:rPr>
          <w:rFonts w:hint="default" w:ascii="Times New Roman" w:hAnsi="Times New Roman" w:eastAsia="宋体" w:cs="Times New Roman"/>
          <w:color w:val="auto"/>
          <w:sz w:val="24"/>
          <w:szCs w:val="24"/>
        </w:rPr>
        <w:t>号。</w:t>
      </w:r>
    </w:p>
    <w:p>
      <w:pPr>
        <w:pStyle w:val="5"/>
        <w:rPr>
          <w:rFonts w:hint="default" w:ascii="Times New Roman" w:hAnsi="Times New Roman" w:eastAsia="宋体" w:cs="Times New Roman"/>
          <w:color w:val="auto"/>
        </w:rPr>
      </w:pPr>
      <w:bookmarkStart w:id="32" w:name="_Toc3219"/>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6</w:t>
      </w:r>
      <w:r>
        <w:rPr>
          <w:rFonts w:hint="default" w:ascii="Times New Roman" w:hAnsi="Times New Roman" w:eastAsia="宋体" w:cs="Times New Roman"/>
          <w:color w:val="auto"/>
        </w:rPr>
        <w:t xml:space="preserve"> 项目投资</w:t>
      </w:r>
      <w:bookmarkEnd w:id="32"/>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本项目投资总概算为</w:t>
      </w:r>
      <w:r>
        <w:rPr>
          <w:rFonts w:hint="eastAsia" w:ascii="Times New Roman" w:hAnsi="Times New Roman" w:eastAsia="宋体" w:cs="Times New Roman"/>
          <w:color w:val="auto"/>
          <w:sz w:val="24"/>
          <w:szCs w:val="24"/>
          <w:lang w:val="en-US" w:eastAsia="zh-CN"/>
        </w:rPr>
        <w:t>18200</w:t>
      </w:r>
      <w:r>
        <w:rPr>
          <w:rFonts w:hint="default" w:ascii="Times New Roman" w:hAnsi="Times New Roman" w:eastAsia="宋体" w:cs="Times New Roman"/>
          <w:color w:val="auto"/>
          <w:sz w:val="24"/>
          <w:szCs w:val="24"/>
        </w:rPr>
        <w:t>万元，其中环境保护投资总概算</w:t>
      </w:r>
      <w:r>
        <w:rPr>
          <w:rFonts w:hint="eastAsia" w:ascii="Times New Roman" w:hAnsi="Times New Roman" w:eastAsia="宋体" w:cs="Times New Roman"/>
          <w:color w:val="auto"/>
          <w:sz w:val="24"/>
          <w:szCs w:val="24"/>
          <w:lang w:val="en-US" w:eastAsia="zh-CN"/>
        </w:rPr>
        <w:t>85</w:t>
      </w:r>
      <w:r>
        <w:rPr>
          <w:rFonts w:hint="default" w:ascii="Times New Roman" w:hAnsi="Times New Roman" w:eastAsia="宋体" w:cs="Times New Roman"/>
          <w:color w:val="auto"/>
          <w:sz w:val="24"/>
          <w:szCs w:val="24"/>
        </w:rPr>
        <w:t>万元，占投资总概算的</w:t>
      </w:r>
      <w:r>
        <w:rPr>
          <w:rFonts w:hint="eastAsia" w:ascii="Times New Roman" w:hAnsi="Times New Roman" w:eastAsia="宋体" w:cs="Times New Roman"/>
          <w:color w:val="auto"/>
          <w:sz w:val="24"/>
          <w:szCs w:val="24"/>
          <w:lang w:val="en-US" w:eastAsia="zh-CN"/>
        </w:rPr>
        <w:t>0.48</w:t>
      </w:r>
      <w:r>
        <w:rPr>
          <w:rFonts w:hint="default" w:ascii="Times New Roman" w:hAnsi="Times New Roman" w:eastAsia="宋体" w:cs="Times New Roman"/>
          <w:color w:val="auto"/>
          <w:sz w:val="24"/>
          <w:szCs w:val="24"/>
        </w:rPr>
        <w:t>%；实际总投资</w:t>
      </w:r>
      <w:r>
        <w:rPr>
          <w:rFonts w:hint="eastAsia" w:ascii="Times New Roman" w:hAnsi="Times New Roman" w:eastAsia="宋体" w:cs="Times New Roman"/>
          <w:color w:val="auto"/>
          <w:sz w:val="24"/>
          <w:szCs w:val="24"/>
          <w:lang w:val="en-US" w:eastAsia="zh-CN"/>
        </w:rPr>
        <w:t>18200</w:t>
      </w:r>
      <w:r>
        <w:rPr>
          <w:rFonts w:hint="default" w:ascii="Times New Roman" w:hAnsi="Times New Roman" w:eastAsia="宋体" w:cs="Times New Roman"/>
          <w:color w:val="auto"/>
          <w:sz w:val="24"/>
          <w:szCs w:val="24"/>
        </w:rPr>
        <w:t>万元，其中环境保护投资</w:t>
      </w:r>
      <w:r>
        <w:rPr>
          <w:rFonts w:hint="eastAsia" w:ascii="Times New Roman" w:hAnsi="Times New Roman" w:eastAsia="宋体" w:cs="Times New Roman"/>
          <w:color w:val="auto"/>
          <w:sz w:val="24"/>
          <w:szCs w:val="24"/>
          <w:lang w:val="en-US" w:eastAsia="zh-CN"/>
        </w:rPr>
        <w:t>85</w:t>
      </w:r>
      <w:r>
        <w:rPr>
          <w:rFonts w:hint="default" w:ascii="Times New Roman" w:hAnsi="Times New Roman" w:eastAsia="宋体" w:cs="Times New Roman"/>
          <w:color w:val="auto"/>
          <w:sz w:val="24"/>
          <w:szCs w:val="24"/>
        </w:rPr>
        <w:t>万元，占实际总投资</w:t>
      </w:r>
      <w:r>
        <w:rPr>
          <w:rFonts w:hint="eastAsia" w:ascii="Times New Roman" w:hAnsi="Times New Roman" w:eastAsia="宋体" w:cs="Times New Roman"/>
          <w:color w:val="auto"/>
          <w:sz w:val="24"/>
          <w:szCs w:val="24"/>
          <w:lang w:val="en-US" w:eastAsia="zh-CN"/>
        </w:rPr>
        <w:t>0.48</w:t>
      </w:r>
      <w:r>
        <w:rPr>
          <w:rFonts w:hint="default" w:ascii="Times New Roman" w:hAnsi="Times New Roman" w:eastAsia="宋体" w:cs="Times New Roman"/>
          <w:color w:val="auto"/>
          <w:sz w:val="24"/>
          <w:szCs w:val="24"/>
        </w:rPr>
        <w:t>%。</w:t>
      </w:r>
    </w:p>
    <w:p>
      <w:pPr>
        <w:pStyle w:val="5"/>
        <w:rPr>
          <w:rFonts w:hint="default" w:ascii="Times New Roman" w:hAnsi="Times New Roman" w:eastAsia="宋体" w:cs="Times New Roman"/>
          <w:color w:val="auto"/>
        </w:rPr>
      </w:pPr>
      <w:bookmarkStart w:id="33" w:name="_Toc30980"/>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7</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项目变更情况说明</w:t>
      </w:r>
      <w:bookmarkEnd w:id="33"/>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本项目主体工程为20F住宅楼7栋，2F商业楼2栋。政府调控后实际为3栋24F住宅楼</w:t>
      </w:r>
      <w:r>
        <w:rPr>
          <w:rFonts w:hint="eastAsia" w:ascii="Times New Roman" w:hAnsi="Times New Roman" w:eastAsia="宋体" w:cs="Times New Roman"/>
          <w:color w:val="auto"/>
          <w:sz w:val="24"/>
          <w:szCs w:val="24"/>
          <w:lang w:val="en-US" w:eastAsia="zh-CN"/>
        </w:rPr>
        <w:t>。</w:t>
      </w:r>
    </w:p>
    <w:p>
      <w:pPr>
        <w:pStyle w:val="5"/>
        <w:rPr>
          <w:rFonts w:hint="default" w:ascii="Times New Roman" w:hAnsi="Times New Roman" w:eastAsia="宋体" w:cs="Times New Roman"/>
          <w:color w:val="auto"/>
        </w:rPr>
      </w:pPr>
      <w:bookmarkStart w:id="34" w:name="_Toc13606"/>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8</w:t>
      </w:r>
      <w:r>
        <w:rPr>
          <w:rFonts w:hint="default" w:ascii="Times New Roman" w:hAnsi="Times New Roman" w:eastAsia="宋体" w:cs="Times New Roman"/>
          <w:color w:val="auto"/>
        </w:rPr>
        <w:t xml:space="preserve"> 环境保护“三同时”落实情况</w:t>
      </w:r>
      <w:bookmarkEnd w:id="34"/>
    </w:p>
    <w:p>
      <w:pPr>
        <w:keepNext w:val="0"/>
        <w:keepLines w:val="0"/>
        <w:pageBreakBefore w:val="0"/>
        <w:widowControl/>
        <w:kinsoku/>
        <w:wordWrap/>
        <w:overflowPunct/>
        <w:topLinePunct w:val="0"/>
        <w:autoSpaceDE/>
        <w:autoSpaceDN/>
        <w:bidi w:val="0"/>
        <w:adjustRightInd/>
        <w:snapToGrid/>
        <w:spacing w:before="157" w:beforeLines="50" w:after="157" w:afterLines="50" w:line="240" w:lineRule="auto"/>
        <w:ind w:left="0" w:leftChars="0" w:right="0" w:rightChars="0" w:firstLine="480" w:firstLineChars="200"/>
        <w:jc w:val="both"/>
        <w:textAlignment w:val="auto"/>
        <w:outlineLvl w:val="9"/>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rPr>
        <w:t>本项目环评及批复阶段要求建设内容“三同时”情况落实见表2-</w:t>
      </w:r>
      <w:r>
        <w:rPr>
          <w:rFonts w:hint="default"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rPr>
        <w:t>。</w:t>
      </w:r>
    </w:p>
    <w:p>
      <w:pPr>
        <w:widowControl/>
        <w:spacing w:before="156" w:beforeLines="50" w:after="156" w:afterLines="50"/>
        <w:ind w:firstLine="142" w:firstLineChars="59"/>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r>
        <w:rPr>
          <w:rFonts w:hint="default" w:ascii="Times New Roman" w:hAnsi="Times New Roman" w:eastAsia="宋体" w:cs="Times New Roman"/>
          <w:b/>
          <w:color w:val="auto"/>
          <w:sz w:val="24"/>
          <w:szCs w:val="24"/>
          <w:lang w:val="en-US" w:eastAsia="zh-CN"/>
        </w:rPr>
        <w:t>6</w:t>
      </w:r>
      <w:r>
        <w:rPr>
          <w:rFonts w:hint="default" w:ascii="Times New Roman" w:hAnsi="Times New Roman" w:eastAsia="宋体" w:cs="Times New Roman"/>
          <w:b/>
          <w:color w:val="auto"/>
          <w:sz w:val="24"/>
          <w:szCs w:val="24"/>
        </w:rPr>
        <w:t xml:space="preserve">  </w:t>
      </w:r>
      <w:bookmarkStart w:id="35" w:name="_Hlk496992852"/>
      <w:r>
        <w:rPr>
          <w:rFonts w:hint="default" w:ascii="Times New Roman" w:hAnsi="Times New Roman" w:eastAsia="宋体" w:cs="Times New Roman"/>
          <w:b/>
          <w:color w:val="auto"/>
          <w:sz w:val="24"/>
          <w:szCs w:val="24"/>
        </w:rPr>
        <w:t>环境保护“三同时”落实情况</w:t>
      </w:r>
      <w:bookmarkEnd w:id="35"/>
    </w:p>
    <w:tbl>
      <w:tblPr>
        <w:tblStyle w:val="30"/>
        <w:tblW w:w="85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9"/>
        <w:gridCol w:w="847"/>
        <w:gridCol w:w="2177"/>
        <w:gridCol w:w="2532"/>
        <w:gridCol w:w="1113"/>
        <w:gridCol w:w="1122"/>
        <w:gridCol w:w="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项目</w:t>
            </w:r>
          </w:p>
        </w:tc>
        <w:tc>
          <w:tcPr>
            <w:tcW w:w="84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污染源</w:t>
            </w:r>
          </w:p>
        </w:tc>
        <w:tc>
          <w:tcPr>
            <w:tcW w:w="217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治理措施</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验收标准</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环保投资</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lang w:val="en-US" w:eastAsia="zh-CN"/>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407" w:hRule="atLeast"/>
          <w:jc w:val="center"/>
        </w:trPr>
        <w:tc>
          <w:tcPr>
            <w:tcW w:w="729"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废气</w:t>
            </w:r>
          </w:p>
        </w:tc>
        <w:tc>
          <w:tcPr>
            <w:tcW w:w="84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汽车尾气</w:t>
            </w:r>
          </w:p>
        </w:tc>
        <w:tc>
          <w:tcPr>
            <w:tcW w:w="217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送排风系统+商业区绿化</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10万元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729"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84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eastAsia="zh-CN"/>
              </w:rPr>
            </w:pPr>
            <w:r>
              <w:rPr>
                <w:rFonts w:hint="eastAsia" w:ascii="Times New Roman" w:hAnsi="Times New Roman" w:eastAsia="宋体" w:cs="Times New Roman"/>
                <w:snapToGrid w:val="0"/>
                <w:color w:val="auto"/>
                <w:kern w:val="0"/>
                <w:sz w:val="21"/>
                <w:szCs w:val="21"/>
                <w:lang w:val="en-US" w:eastAsia="zh-CN"/>
              </w:rPr>
              <w:t>垃圾中转站、公厕恶臭</w:t>
            </w:r>
          </w:p>
        </w:tc>
        <w:tc>
          <w:tcPr>
            <w:tcW w:w="217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专用垃圾收集箱，绿化带隔离，除臭处理：公厕专人管理，保持卫生，卫生消毒</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5万元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废水</w:t>
            </w:r>
          </w:p>
        </w:tc>
        <w:tc>
          <w:tcPr>
            <w:tcW w:w="84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生活污水</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rPr>
              <w:t>商业废水</w:t>
            </w:r>
          </w:p>
        </w:tc>
        <w:tc>
          <w:tcPr>
            <w:tcW w:w="217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商业废水及生活污水一同进入化类池处理后经城市污水管网进入盐山县城市污水处理厂</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满足《污水综合排放标准》（GB8978-1996）中表4三级标准，同时满足盐山县城市污水处理厂进水水质要求</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eastAsia" w:ascii="Times New Roman" w:hAnsi="Times New Roman" w:eastAsia="宋体" w:cs="Times New Roman"/>
                <w:snapToGrid w:val="0"/>
                <w:color w:val="auto"/>
                <w:kern w:val="0"/>
                <w:sz w:val="21"/>
                <w:szCs w:val="21"/>
                <w:lang w:val="en-US" w:eastAsia="zh-CN"/>
              </w:rPr>
              <w:t>35</w:t>
            </w:r>
            <w:r>
              <w:rPr>
                <w:rFonts w:hint="default" w:ascii="Times New Roman" w:hAnsi="Times New Roman" w:eastAsia="宋体" w:cs="Times New Roman"/>
                <w:snapToGrid w:val="0"/>
                <w:color w:val="auto"/>
                <w:kern w:val="0"/>
                <w:sz w:val="21"/>
                <w:szCs w:val="21"/>
                <w:lang w:val="en-US" w:eastAsia="zh-CN"/>
              </w:rPr>
              <w:t>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5"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噪声</w:t>
            </w:r>
          </w:p>
        </w:tc>
        <w:tc>
          <w:tcPr>
            <w:tcW w:w="84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加压水泵、地下停车场排风机、电梯等设备</w:t>
            </w:r>
          </w:p>
        </w:tc>
        <w:tc>
          <w:tcPr>
            <w:tcW w:w="217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zh-CN"/>
              </w:rPr>
              <w:t>地下布置、基础减振、吸音板及隔声门、减振带、设机动车禁鸣标志</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东边界满足《社会生活环境噪声排放标准》（GB22337-2008）4类标准要求，其他三侧边界满足2类标准</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eastAsia" w:ascii="Times New Roman" w:hAnsi="Times New Roman" w:eastAsia="宋体" w:cs="Times New Roman"/>
                <w:snapToGrid w:val="0"/>
                <w:color w:val="auto"/>
                <w:kern w:val="0"/>
                <w:sz w:val="21"/>
                <w:szCs w:val="21"/>
                <w:lang w:val="en-US" w:eastAsia="zh-CN"/>
              </w:rPr>
              <w:t>20</w:t>
            </w:r>
            <w:r>
              <w:rPr>
                <w:rFonts w:hint="default" w:ascii="Times New Roman" w:hAnsi="Times New Roman" w:eastAsia="宋体" w:cs="Times New Roman"/>
                <w:snapToGrid w:val="0"/>
                <w:color w:val="auto"/>
                <w:kern w:val="0"/>
                <w:sz w:val="21"/>
                <w:szCs w:val="21"/>
                <w:lang w:val="en-US" w:eastAsia="zh-CN"/>
              </w:rPr>
              <w:t>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7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固废</w:t>
            </w:r>
          </w:p>
        </w:tc>
        <w:tc>
          <w:tcPr>
            <w:tcW w:w="84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生活垃圾商业垃圾</w:t>
            </w:r>
          </w:p>
        </w:tc>
        <w:tc>
          <w:tcPr>
            <w:tcW w:w="2177"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垃圾分类袋装、设置封闭箱体的垃圾箱、定期送至垃圾填埋场</w:t>
            </w:r>
          </w:p>
        </w:tc>
        <w:tc>
          <w:tcPr>
            <w:tcW w:w="253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满足《一般</w:t>
            </w:r>
            <w:r>
              <w:rPr>
                <w:rFonts w:hint="eastAsia" w:ascii="Times New Roman" w:hAnsi="Times New Roman" w:eastAsia="宋体" w:cs="Times New Roman"/>
                <w:snapToGrid w:val="0"/>
                <w:color w:val="auto"/>
                <w:kern w:val="0"/>
                <w:sz w:val="21"/>
                <w:szCs w:val="21"/>
                <w:lang w:val="en-US" w:eastAsia="zh-CN"/>
              </w:rPr>
              <w:t>工</w:t>
            </w:r>
            <w:r>
              <w:rPr>
                <w:rFonts w:hint="default" w:ascii="Times New Roman" w:hAnsi="Times New Roman" w:eastAsia="宋体" w:cs="Times New Roman"/>
                <w:snapToGrid w:val="0"/>
                <w:color w:val="auto"/>
                <w:kern w:val="0"/>
                <w:sz w:val="21"/>
                <w:szCs w:val="21"/>
              </w:rPr>
              <w:t>业体废物贮存、处置场污染控制标准》</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（GB185992001）及修改单中标准要求</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10万元</w:t>
            </w:r>
          </w:p>
        </w:tc>
        <w:tc>
          <w:tcPr>
            <w:tcW w:w="1123"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kern w:val="0"/>
                <w:sz w:val="21"/>
                <w:szCs w:val="21"/>
                <w:lang w:val="en-US" w:eastAsia="zh-CN"/>
              </w:rPr>
              <w:t>已落实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 w:type="dxa"/>
          <w:cantSplit/>
          <w:trHeight w:val="180" w:hRule="atLeast"/>
          <w:jc w:val="center"/>
        </w:trPr>
        <w:tc>
          <w:tcPr>
            <w:tcW w:w="729"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其他</w:t>
            </w:r>
          </w:p>
        </w:tc>
        <w:tc>
          <w:tcPr>
            <w:tcW w:w="5556" w:type="dxa"/>
            <w:gridSpan w:val="3"/>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化类池防渗结构底面采用水泥铺面，上涂防水布夯实：四周池壁表面涂抹防水膜+防腐环氧树脂防渗</w:t>
            </w:r>
          </w:p>
        </w:tc>
        <w:tc>
          <w:tcPr>
            <w:tcW w:w="1113"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eastAsia" w:ascii="Times New Roman" w:hAnsi="Times New Roman" w:eastAsia="宋体" w:cs="Times New Roman"/>
                <w:snapToGrid w:val="0"/>
                <w:color w:val="auto"/>
                <w:kern w:val="0"/>
                <w:sz w:val="21"/>
                <w:szCs w:val="21"/>
                <w:lang w:val="en-US" w:eastAsia="zh-CN"/>
              </w:rPr>
              <w:t>5</w:t>
            </w:r>
            <w:r>
              <w:rPr>
                <w:rFonts w:hint="default" w:ascii="Times New Roman" w:hAnsi="Times New Roman" w:eastAsia="宋体" w:cs="Times New Roman"/>
                <w:snapToGrid w:val="0"/>
                <w:color w:val="auto"/>
                <w:kern w:val="0"/>
                <w:sz w:val="21"/>
                <w:szCs w:val="21"/>
                <w:lang w:val="en-US" w:eastAsia="zh-CN"/>
              </w:rPr>
              <w:t>万元</w:t>
            </w:r>
          </w:p>
        </w:tc>
        <w:tc>
          <w:tcPr>
            <w:tcW w:w="1122"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en-US" w:eastAsia="zh-CN"/>
              </w:rPr>
              <w:t>已落实</w:t>
            </w:r>
          </w:p>
        </w:tc>
      </w:tr>
    </w:tbl>
    <w:p>
      <w:pPr>
        <w:pStyle w:val="5"/>
        <w:rPr>
          <w:rFonts w:hint="default" w:ascii="Times New Roman" w:hAnsi="Times New Roman" w:eastAsia="宋体" w:cs="Times New Roman"/>
          <w:color w:val="auto"/>
        </w:rPr>
      </w:pPr>
      <w:bookmarkStart w:id="36" w:name="_Toc28944"/>
      <w:r>
        <w:rPr>
          <w:rFonts w:hint="default" w:ascii="Times New Roman" w:hAnsi="Times New Roman" w:eastAsia="宋体" w:cs="Times New Roman"/>
          <w:color w:val="auto"/>
        </w:rPr>
        <w:t>2.</w:t>
      </w:r>
      <w:r>
        <w:rPr>
          <w:rFonts w:hint="eastAsia" w:ascii="Times New Roman" w:hAnsi="Times New Roman" w:eastAsia="宋体" w:cs="Times New Roman"/>
          <w:color w:val="auto"/>
          <w:lang w:val="en-US" w:eastAsia="zh-CN"/>
        </w:rPr>
        <w:t>9</w:t>
      </w:r>
      <w:r>
        <w:rPr>
          <w:rFonts w:hint="default" w:ascii="Times New Roman" w:hAnsi="Times New Roman" w:eastAsia="宋体" w:cs="Times New Roman"/>
          <w:color w:val="auto"/>
        </w:rPr>
        <w:t xml:space="preserve"> 验收范围及内容</w:t>
      </w:r>
      <w:bookmarkEnd w:id="36"/>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本项目总占地面积为14152.86m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（约21.23亩），总建筑面积为99922.80m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lang w:eastAsia="zh-CN"/>
        </w:rPr>
        <w:t>。地上建筑面积80372m</w:t>
      </w:r>
      <w:r>
        <w:rPr>
          <w:rFonts w:hint="default" w:ascii="Times New Roman" w:hAnsi="Times New Roman" w:eastAsia="宋体" w:cs="Times New Roman"/>
          <w:color w:val="auto"/>
          <w:sz w:val="24"/>
          <w:szCs w:val="24"/>
          <w:vertAlign w:val="superscript"/>
          <w:lang w:eastAsia="zh-CN"/>
        </w:rPr>
        <w:t>2</w:t>
      </w:r>
      <w:r>
        <w:rPr>
          <w:rFonts w:hint="default" w:ascii="Times New Roman" w:hAnsi="Times New Roman" w:eastAsia="宋体" w:cs="Times New Roman"/>
          <w:color w:val="auto"/>
          <w:sz w:val="24"/>
          <w:szCs w:val="24"/>
          <w:lang w:eastAsia="zh-CN"/>
        </w:rPr>
        <w:t>，地下建筑面积19550.80m</w:t>
      </w:r>
      <w:r>
        <w:rPr>
          <w:rFonts w:hint="default" w:ascii="Times New Roman" w:hAnsi="Times New Roman" w:eastAsia="宋体" w:cs="Times New Roman"/>
          <w:color w:val="auto"/>
          <w:sz w:val="24"/>
          <w:szCs w:val="24"/>
          <w:vertAlign w:val="superscript"/>
          <w:lang w:eastAsia="zh-CN"/>
        </w:rPr>
        <w:t>2</w:t>
      </w:r>
      <w:r>
        <w:rPr>
          <w:rFonts w:hint="default" w:ascii="Times New Roman" w:hAnsi="Times New Roman" w:eastAsia="宋体" w:cs="Times New Roman"/>
          <w:color w:val="auto"/>
          <w:sz w:val="24"/>
          <w:szCs w:val="24"/>
          <w:lang w:eastAsia="zh-CN"/>
        </w:rPr>
        <w:t>。本项目主体工程为</w:t>
      </w:r>
      <w:r>
        <w:rPr>
          <w:rFonts w:hint="default" w:ascii="Times New Roman" w:hAnsi="Times New Roman" w:eastAsia="宋体" w:cs="Times New Roman"/>
          <w:color w:val="auto"/>
          <w:sz w:val="24"/>
          <w:szCs w:val="24"/>
          <w:lang w:val="en-US" w:eastAsia="zh-CN"/>
        </w:rPr>
        <w:t>3栋24F住宅楼</w:t>
      </w:r>
      <w:r>
        <w:rPr>
          <w:rFonts w:hint="default" w:ascii="Times New Roman" w:hAnsi="Times New Roman" w:eastAsia="宋体" w:cs="Times New Roman"/>
          <w:color w:val="auto"/>
          <w:sz w:val="24"/>
          <w:szCs w:val="24"/>
          <w:lang w:eastAsia="zh-CN"/>
        </w:rPr>
        <w:t>。除此之外，还包括垃圾中转站、公共厕所、水、暖、电、通讯设施、化粪池及外排污水管道等附属设施建设。</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①废气</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外排废气情况，为具体检测内容。</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②</w:t>
      </w:r>
      <w:r>
        <w:rPr>
          <w:rFonts w:hint="default" w:ascii="Times New Roman" w:hAnsi="Times New Roman" w:eastAsia="宋体" w:cs="Times New Roman"/>
          <w:color w:val="auto"/>
          <w:sz w:val="24"/>
          <w:szCs w:val="24"/>
        </w:rPr>
        <w:t>废</w:t>
      </w:r>
      <w:r>
        <w:rPr>
          <w:rFonts w:hint="default" w:ascii="Times New Roman" w:hAnsi="Times New Roman" w:eastAsia="宋体" w:cs="Times New Roman"/>
          <w:color w:val="auto"/>
          <w:sz w:val="24"/>
          <w:szCs w:val="24"/>
          <w:lang w:val="en-US" w:eastAsia="zh-CN"/>
        </w:rPr>
        <w:t>水</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外排</w:t>
      </w:r>
      <w:r>
        <w:rPr>
          <w:rFonts w:hint="default" w:ascii="Times New Roman" w:hAnsi="Times New Roman" w:eastAsia="宋体" w:cs="Times New Roman"/>
          <w:color w:val="auto"/>
          <w:sz w:val="24"/>
          <w:szCs w:val="24"/>
          <w:lang w:val="en-US" w:eastAsia="zh-CN"/>
        </w:rPr>
        <w:t>废水</w:t>
      </w:r>
      <w:r>
        <w:rPr>
          <w:rFonts w:hint="default" w:ascii="Times New Roman" w:hAnsi="Times New Roman" w:eastAsia="宋体" w:cs="Times New Roman"/>
          <w:color w:val="auto"/>
          <w:sz w:val="24"/>
          <w:szCs w:val="24"/>
        </w:rPr>
        <w:t>情况，为具体检测内容</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③</w:t>
      </w:r>
      <w:r>
        <w:rPr>
          <w:rFonts w:hint="default" w:ascii="Times New Roman" w:hAnsi="Times New Roman" w:eastAsia="宋体" w:cs="Times New Roman"/>
          <w:color w:val="auto"/>
          <w:sz w:val="24"/>
          <w:szCs w:val="24"/>
        </w:rPr>
        <w:t>固体废物</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项目固废产生及处置情况</w:t>
      </w:r>
      <w:r>
        <w:rPr>
          <w:rFonts w:hint="default" w:ascii="Times New Roman" w:hAnsi="Times New Roman" w:eastAsia="宋体" w:cs="Times New Roman"/>
          <w:color w:val="auto"/>
          <w:sz w:val="24"/>
          <w:szCs w:val="24"/>
        </w:rPr>
        <w:t>为检查内容。</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④</w:t>
      </w:r>
      <w:r>
        <w:rPr>
          <w:rFonts w:hint="default" w:ascii="Times New Roman" w:hAnsi="Times New Roman" w:eastAsia="宋体" w:cs="Times New Roman"/>
          <w:color w:val="auto"/>
          <w:sz w:val="24"/>
          <w:szCs w:val="24"/>
        </w:rPr>
        <w:t>噪声</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rPr>
        <w:t>厂界噪声，为具体检测内</w:t>
      </w:r>
      <w:r>
        <w:rPr>
          <w:rFonts w:hint="default" w:ascii="Times New Roman" w:hAnsi="Times New Roman" w:eastAsia="宋体" w:cs="Times New Roman"/>
          <w:color w:val="auto"/>
          <w:sz w:val="24"/>
          <w:szCs w:val="24"/>
          <w:lang w:val="en-US" w:eastAsia="zh-CN"/>
        </w:rPr>
        <w:t>容</w:t>
      </w:r>
      <w:r>
        <w:rPr>
          <w:rFonts w:hint="default" w:ascii="Times New Roman" w:hAnsi="Times New Roman" w:eastAsia="宋体" w:cs="Times New Roman"/>
          <w:color w:val="auto"/>
          <w:sz w:val="24"/>
          <w:szCs w:val="24"/>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⑤</w:t>
      </w:r>
      <w:r>
        <w:rPr>
          <w:rFonts w:hint="default" w:ascii="Times New Roman" w:hAnsi="Times New Roman" w:eastAsia="宋体" w:cs="Times New Roman"/>
          <w:color w:val="auto"/>
          <w:sz w:val="24"/>
          <w:szCs w:val="24"/>
        </w:rPr>
        <w:t>工程环评及环评批复落实情况、环保设施的建设运行情况、环保机构及规章制度建设情况等，为本工程验收报告的检查内容。</w:t>
      </w:r>
    </w:p>
    <w:p>
      <w:pPr>
        <w:spacing w:line="440" w:lineRule="atLeast"/>
        <w:ind w:firstLine="480" w:firstLineChars="200"/>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37" w:name="_Toc20051"/>
      <w:r>
        <w:rPr>
          <w:rFonts w:hint="default" w:ascii="Times New Roman" w:hAnsi="Times New Roman" w:eastAsia="宋体" w:cs="Times New Roman"/>
          <w:color w:val="auto"/>
        </w:rPr>
        <w:t>3 主要污染源及治理措施</w:t>
      </w:r>
      <w:bookmarkEnd w:id="37"/>
    </w:p>
    <w:p>
      <w:pPr>
        <w:pStyle w:val="5"/>
        <w:rPr>
          <w:rFonts w:hint="default" w:ascii="Times New Roman" w:hAnsi="Times New Roman" w:eastAsia="宋体" w:cs="Times New Roman"/>
          <w:color w:val="auto"/>
        </w:rPr>
      </w:pPr>
      <w:bookmarkStart w:id="38" w:name="_Toc7607"/>
      <w:r>
        <w:rPr>
          <w:rFonts w:hint="default" w:ascii="Times New Roman" w:hAnsi="Times New Roman" w:eastAsia="宋体" w:cs="Times New Roman"/>
          <w:color w:val="auto"/>
        </w:rPr>
        <w:t>3.1 施工期主要污染源及治理措施</w:t>
      </w:r>
      <w:bookmarkEnd w:id="38"/>
    </w:p>
    <w:p>
      <w:pPr>
        <w:spacing w:line="46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目前项目已建成运行，施工期环境污染已经不存在。</w:t>
      </w:r>
    </w:p>
    <w:p>
      <w:pPr>
        <w:pStyle w:val="5"/>
        <w:rPr>
          <w:rFonts w:hint="default" w:ascii="Times New Roman" w:hAnsi="Times New Roman" w:eastAsia="宋体" w:cs="Times New Roman"/>
          <w:color w:val="auto"/>
        </w:rPr>
      </w:pPr>
      <w:bookmarkStart w:id="39" w:name="_Toc27507"/>
      <w:r>
        <w:rPr>
          <w:rFonts w:hint="default" w:ascii="Times New Roman" w:hAnsi="Times New Roman" w:eastAsia="宋体" w:cs="Times New Roman"/>
          <w:color w:val="auto"/>
        </w:rPr>
        <w:t>3.2 运行期主要污染源及治理措施</w:t>
      </w:r>
      <w:bookmarkEnd w:id="39"/>
    </w:p>
    <w:p>
      <w:pPr>
        <w:pStyle w:val="6"/>
        <w:spacing w:line="440" w:lineRule="atLeast"/>
        <w:rPr>
          <w:rFonts w:hint="default" w:ascii="Times New Roman" w:hAnsi="Times New Roman" w:eastAsia="宋体" w:cs="Times New Roman"/>
          <w:color w:val="auto"/>
          <w:kern w:val="2"/>
          <w:sz w:val="24"/>
          <w:szCs w:val="24"/>
          <w:lang w:val="en-US" w:eastAsia="zh-CN" w:bidi="ar-SA"/>
        </w:rPr>
      </w:pPr>
      <w:bookmarkStart w:id="40" w:name="_Toc14904"/>
      <w:bookmarkStart w:id="41" w:name="_Toc496979024"/>
      <w:bookmarkStart w:id="42" w:name="_Toc497001461"/>
      <w:r>
        <w:rPr>
          <w:rFonts w:hint="default" w:ascii="Times New Roman" w:hAnsi="Times New Roman" w:eastAsia="宋体" w:cs="Times New Roman"/>
          <w:color w:val="auto"/>
          <w:kern w:val="2"/>
          <w:sz w:val="24"/>
          <w:szCs w:val="24"/>
          <w:lang w:val="en-US" w:eastAsia="zh-CN" w:bidi="ar-SA"/>
        </w:rPr>
        <w:t>3.2.1 废水</w:t>
      </w:r>
      <w:bookmarkEnd w:id="40"/>
      <w:bookmarkEnd w:id="41"/>
      <w:bookmarkEnd w:id="4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lang w:val="zh-CN"/>
        </w:rPr>
        <w:t>本项目居民产生的生活污水经化粪池处理后经市政污水管网排入盐山县城市污水处理厂处理。</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kern w:val="2"/>
          <w:sz w:val="24"/>
          <w:szCs w:val="24"/>
          <w:lang w:val="en-US" w:eastAsia="zh-CN" w:bidi="ar-SA"/>
        </w:rPr>
      </w:pPr>
      <w:bookmarkStart w:id="43" w:name="_Toc8937"/>
      <w:bookmarkStart w:id="44" w:name="_Toc497001462"/>
      <w:bookmarkStart w:id="45" w:name="_Toc496979025"/>
      <w:r>
        <w:rPr>
          <w:rFonts w:hint="default" w:ascii="Times New Roman" w:hAnsi="Times New Roman" w:eastAsia="宋体" w:cs="Times New Roman"/>
          <w:color w:val="auto"/>
          <w:kern w:val="2"/>
          <w:sz w:val="24"/>
          <w:szCs w:val="24"/>
          <w:lang w:val="en-US" w:eastAsia="zh-CN" w:bidi="ar-SA"/>
        </w:rPr>
        <w:t>3.2.2 废气</w:t>
      </w:r>
      <w:bookmarkEnd w:id="43"/>
      <w:bookmarkEnd w:id="44"/>
      <w:bookmarkEnd w:id="45"/>
    </w:p>
    <w:p>
      <w:pPr>
        <w:pStyle w:val="5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pacing w:val="0"/>
          <w:kern w:val="2"/>
          <w:sz w:val="24"/>
          <w:szCs w:val="24"/>
          <w:lang w:val="en-US" w:eastAsia="zh-CN" w:bidi="ar-SA"/>
        </w:rPr>
      </w:pPr>
      <w:r>
        <w:rPr>
          <w:rFonts w:hint="default" w:ascii="Times New Roman" w:hAnsi="Times New Roman" w:eastAsia="宋体" w:cs="Times New Roman"/>
          <w:color w:val="auto"/>
          <w:spacing w:val="0"/>
          <w:kern w:val="2"/>
          <w:sz w:val="24"/>
          <w:szCs w:val="24"/>
          <w:lang w:val="en-US" w:eastAsia="zh-CN" w:bidi="ar-SA"/>
        </w:rPr>
        <w:t>本项目产生的废气主要是汽车尾气、垃圾恶臭。a、汽车尾气：本项目设置地下停车场，地下停车场设置独立的排风系统，汽车尾气扩散条件较好；小区道路两旁进行绿化，对排放尾气起到一定的吸收净化作用。b、生活垃圾：本项目设置专用垃圾收集箱，收集的垃圾定期由专职人员清运，做到日产日清，不积存。小区居民为昊天热力集中供暖。</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rPr>
      </w:pPr>
      <w:bookmarkStart w:id="46" w:name="_Toc13062"/>
      <w:bookmarkStart w:id="47" w:name="_Toc496979026"/>
      <w:bookmarkStart w:id="48" w:name="_Toc497001463"/>
      <w:r>
        <w:rPr>
          <w:rFonts w:hint="default" w:ascii="Times New Roman" w:hAnsi="Times New Roman" w:eastAsia="宋体" w:cs="Times New Roman"/>
          <w:color w:val="auto"/>
        </w:rPr>
        <w:t>3.2.3 噪声</w:t>
      </w:r>
      <w:bookmarkEnd w:id="46"/>
      <w:bookmarkEnd w:id="47"/>
      <w:bookmarkEnd w:id="48"/>
    </w:p>
    <w:p>
      <w:pPr>
        <w:pStyle w:val="5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color w:val="auto"/>
          <w:spacing w:val="0"/>
          <w:kern w:val="2"/>
          <w:sz w:val="24"/>
          <w:szCs w:val="24"/>
          <w:lang w:val="en-US" w:eastAsia="zh-CN" w:bidi="ar-SA"/>
        </w:rPr>
      </w:pPr>
      <w:bookmarkStart w:id="49" w:name="_Toc496979027"/>
      <w:r>
        <w:rPr>
          <w:rFonts w:hint="default" w:ascii="Times New Roman" w:hAnsi="Times New Roman" w:eastAsia="宋体" w:cs="Times New Roman"/>
          <w:color w:val="auto"/>
          <w:spacing w:val="0"/>
          <w:kern w:val="2"/>
          <w:sz w:val="24"/>
          <w:szCs w:val="24"/>
          <w:lang w:val="en-US" w:eastAsia="zh-CN" w:bidi="ar-SA"/>
        </w:rPr>
        <w:t>项目噪声主要是加压水泵、地下停车场排风机、电梯等设备产生的噪声及小区内居民生活噪声和机动车噪声。a、加压水泵房水泵、地下停车场排风机：采取地下布置、设备间建筑隔声降噪、水泵设基础减振。b、降低电梯房噪声：项目电梯间建筑隔声降噪。c、小区内机动车：小区内道路设置缓冲带，使车辆进入小区后降低速度，以减少噪声，小区内设立机动车禁鸣标志。d、生活噪声主要来源于人员的喧哗声，做到文明居住、避免大声喧哗等。</w:t>
      </w:r>
    </w:p>
    <w:p>
      <w:pPr>
        <w:pStyle w:val="6"/>
        <w:rPr>
          <w:rFonts w:hint="default" w:ascii="Times New Roman" w:hAnsi="Times New Roman" w:eastAsia="宋体" w:cs="Times New Roman"/>
          <w:color w:val="auto"/>
        </w:rPr>
      </w:pPr>
      <w:bookmarkStart w:id="50" w:name="_Toc3292"/>
      <w:bookmarkStart w:id="51" w:name="_Toc497001464"/>
      <w:r>
        <w:rPr>
          <w:rFonts w:hint="default" w:ascii="Times New Roman" w:hAnsi="Times New Roman" w:eastAsia="宋体" w:cs="Times New Roman"/>
          <w:color w:val="auto"/>
        </w:rPr>
        <w:t>3.2.4 固体废物</w:t>
      </w:r>
      <w:bookmarkEnd w:id="49"/>
      <w:bookmarkEnd w:id="50"/>
      <w:bookmarkEnd w:id="51"/>
    </w:p>
    <w:p>
      <w:pPr>
        <w:pStyle w:val="59"/>
        <w:adjustRightInd w:val="0"/>
        <w:snapToGrid w:val="0"/>
        <w:spacing w:line="460" w:lineRule="atLeast"/>
        <w:ind w:firstLine="552" w:firstLineChars="200"/>
        <w:rPr>
          <w:rFonts w:hint="default" w:ascii="Times New Roman" w:hAnsi="Times New Roman" w:eastAsia="宋体" w:cs="Times New Roman"/>
          <w:color w:val="auto"/>
          <w:spacing w:val="0"/>
          <w:sz w:val="24"/>
          <w:szCs w:val="24"/>
        </w:rPr>
      </w:pPr>
      <w:r>
        <w:rPr>
          <w:rFonts w:hint="default" w:ascii="Times New Roman" w:hAnsi="Times New Roman" w:eastAsia="宋体" w:cs="Times New Roman"/>
          <w:color w:val="auto"/>
          <w:sz w:val="24"/>
        </w:rPr>
        <w:t>项目生活垃圾通过垃圾箱分类收集，由</w:t>
      </w:r>
      <w:r>
        <w:rPr>
          <w:rFonts w:hint="default" w:ascii="Times New Roman" w:hAnsi="Times New Roman" w:eastAsia="宋体" w:cs="Times New Roman"/>
          <w:color w:val="auto"/>
          <w:sz w:val="24"/>
          <w:lang w:eastAsia="zh-CN"/>
        </w:rPr>
        <w:t>环卫</w:t>
      </w:r>
      <w:r>
        <w:rPr>
          <w:rFonts w:hint="default" w:ascii="Times New Roman" w:hAnsi="Times New Roman" w:eastAsia="宋体" w:cs="Times New Roman"/>
          <w:color w:val="auto"/>
          <w:sz w:val="24"/>
        </w:rPr>
        <w:t>部门统一</w:t>
      </w:r>
      <w:r>
        <w:rPr>
          <w:rFonts w:hint="default" w:ascii="Times New Roman" w:hAnsi="Times New Roman" w:eastAsia="宋体" w:cs="Times New Roman"/>
          <w:color w:val="auto"/>
          <w:sz w:val="24"/>
          <w:lang w:eastAsia="zh-CN"/>
        </w:rPr>
        <w:t>清运</w:t>
      </w:r>
      <w:r>
        <w:rPr>
          <w:rFonts w:hint="default" w:ascii="Times New Roman" w:hAnsi="Times New Roman" w:eastAsia="宋体" w:cs="Times New Roman"/>
          <w:color w:val="auto"/>
          <w:sz w:val="24"/>
        </w:rPr>
        <w:t>处理。</w:t>
      </w:r>
    </w:p>
    <w:p>
      <w:pPr>
        <w:pStyle w:val="59"/>
        <w:adjustRightInd w:val="0"/>
        <w:snapToGrid w:val="0"/>
        <w:spacing w:line="460" w:lineRule="atLeast"/>
        <w:ind w:firstLine="712" w:firstLineChars="200"/>
        <w:rPr>
          <w:rFonts w:hint="default" w:ascii="Times New Roman" w:hAnsi="Times New Roman" w:eastAsia="宋体" w:cs="Times New Roman"/>
          <w:color w:val="auto"/>
        </w:rPr>
      </w:pPr>
    </w:p>
    <w:p>
      <w:pPr>
        <w:spacing w:line="480" w:lineRule="atLeast"/>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52" w:name="_Toc6763"/>
      <w:r>
        <w:rPr>
          <w:rFonts w:hint="default" w:ascii="Times New Roman" w:hAnsi="Times New Roman" w:eastAsia="宋体" w:cs="Times New Roman"/>
          <w:color w:val="auto"/>
        </w:rPr>
        <w:t>4 环评主要结论及环评批复要求</w:t>
      </w:r>
      <w:bookmarkEnd w:id="52"/>
    </w:p>
    <w:p>
      <w:pPr>
        <w:pStyle w:val="5"/>
        <w:rPr>
          <w:rFonts w:hint="default" w:ascii="Times New Roman" w:hAnsi="Times New Roman" w:eastAsia="宋体" w:cs="Times New Roman"/>
          <w:color w:val="auto"/>
          <w:sz w:val="24"/>
          <w:szCs w:val="24"/>
        </w:rPr>
      </w:pPr>
      <w:bookmarkStart w:id="53" w:name="_Toc27883"/>
      <w:r>
        <w:rPr>
          <w:rFonts w:hint="default" w:ascii="Times New Roman" w:hAnsi="Times New Roman" w:eastAsia="宋体" w:cs="Times New Roman"/>
          <w:color w:val="auto"/>
          <w:sz w:val="24"/>
          <w:szCs w:val="24"/>
        </w:rPr>
        <w:t>4.1 建设项目环评</w:t>
      </w:r>
      <w:r>
        <w:rPr>
          <w:rFonts w:hint="eastAsia" w:ascii="Times New Roman" w:hAnsi="Times New Roman" w:eastAsia="宋体" w:cs="Times New Roman"/>
          <w:color w:val="auto"/>
          <w:sz w:val="24"/>
          <w:szCs w:val="24"/>
          <w:lang w:eastAsia="zh-CN"/>
        </w:rPr>
        <w:t>报告表</w:t>
      </w:r>
      <w:r>
        <w:rPr>
          <w:rFonts w:hint="default" w:ascii="Times New Roman" w:hAnsi="Times New Roman" w:eastAsia="宋体" w:cs="Times New Roman"/>
          <w:color w:val="auto"/>
          <w:sz w:val="24"/>
          <w:szCs w:val="24"/>
        </w:rPr>
        <w:t>的主要结论</w:t>
      </w:r>
      <w:bookmarkEnd w:id="53"/>
    </w:p>
    <w:p>
      <w:pPr>
        <w:spacing w:line="440" w:lineRule="atLeast"/>
        <w:ind w:firstLine="480" w:firstLineChars="200"/>
        <w:rPr>
          <w:rFonts w:hint="default" w:ascii="Times New Roman" w:hAnsi="Times New Roman" w:eastAsia="宋体" w:cs="Times New Roman"/>
          <w:color w:val="auto"/>
          <w:sz w:val="24"/>
          <w:szCs w:val="24"/>
          <w:lang w:val="en-US" w:eastAsia="zh-CN"/>
        </w:rPr>
      </w:pPr>
      <w:bookmarkStart w:id="54" w:name="_Toc28049"/>
      <w:r>
        <w:rPr>
          <w:rFonts w:hint="default" w:ascii="Times New Roman" w:hAnsi="Times New Roman" w:eastAsia="宋体" w:cs="Times New Roman"/>
          <w:color w:val="auto"/>
          <w:sz w:val="24"/>
          <w:szCs w:val="24"/>
          <w:lang w:val="en-US" w:eastAsia="zh-CN"/>
        </w:rPr>
        <w:t>1、建设项目情况</w:t>
      </w:r>
    </w:p>
    <w:p>
      <w:pPr>
        <w:spacing w:line="440" w:lineRule="atLeast"/>
        <w:ind w:firstLine="480" w:firstLineChars="200"/>
        <w:rPr>
          <w:rFonts w:hint="default" w:ascii="Times New Roman" w:hAnsi="Times New Roman" w:eastAsia="宋体" w:cs="Times New Roman"/>
          <w:color w:val="auto"/>
          <w:sz w:val="24"/>
          <w:szCs w:val="24"/>
          <w:lang w:val="en-US" w:eastAsia="zh-CN"/>
        </w:rPr>
      </w:pPr>
      <w:bookmarkStart w:id="55" w:name="_Toc25204"/>
      <w:r>
        <w:rPr>
          <w:rFonts w:hint="default" w:ascii="Times New Roman" w:hAnsi="Times New Roman" w:eastAsia="宋体" w:cs="Times New Roman"/>
          <w:color w:val="auto"/>
          <w:sz w:val="24"/>
          <w:szCs w:val="24"/>
          <w:lang w:val="en-US" w:eastAsia="zh-CN"/>
        </w:rPr>
        <w:t>1</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项目概况</w:t>
      </w:r>
    </w:p>
    <w:p>
      <w:p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盐</w:t>
      </w:r>
      <w:r>
        <w:rPr>
          <w:rFonts w:hint="default" w:ascii="Times New Roman" w:hAnsi="Times New Roman" w:eastAsia="宋体" w:cs="Times New Roman"/>
          <w:color w:val="auto"/>
          <w:sz w:val="24"/>
          <w:szCs w:val="24"/>
          <w:lang w:val="en-US" w:eastAsia="zh-CN"/>
        </w:rPr>
        <w:t>山县泰达房地产开发有限公司投资18200万元建设盐山县泰达国际城（北区）项目。本项目总占地面积为14152.86m2（约21.23亩），本项目主体工程为20F住宅楼7栋，除此之外，还包括垃圾中转站、公共厕所、水、暖、电、通讯设施、化粪池及外排污水管道等附属设施建设</w:t>
      </w:r>
      <w:r>
        <w:rPr>
          <w:rFonts w:hint="eastAsia" w:ascii="Times New Roman" w:hAnsi="Times New Roman" w:eastAsia="宋体"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产业政策</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为房地产开发经营项目，不属于《产业结构调整指导目录（2011年本）（修正）》（国家发改委令第21号）中限制类或淘汰类的项目，符合国家产业政策。本项目不属于《关于河北省区域禁（限）批建设项目的实施意见（试行）》（冀政【2009】89号）中区域禁止和淘汰建设项目，也不在该文件规定的环境敏感区内，项目建设符合河北省政策要求</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选址性合理性分析</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本项目位于盐山县城西南部，银河大街西侧，千童大街东侧，海泊路南侧，中心坐标为北纬38°3′1.05″，东经117°13′11</w:t>
      </w:r>
      <w:r>
        <w:rPr>
          <w:rFonts w:hint="eastAsia" w:ascii="Times New Roman" w:hAnsi="Times New Roman" w:eastAsia="宋体" w:cs="Times New Roman"/>
          <w:color w:val="auto"/>
          <w:sz w:val="24"/>
          <w:szCs w:val="24"/>
          <w:lang w:val="en-US" w:eastAsia="zh-CN"/>
        </w:rPr>
        <w:t>.</w:t>
      </w:r>
      <w:bookmarkStart w:id="91" w:name="_GoBack"/>
      <w:bookmarkEnd w:id="91"/>
      <w:r>
        <w:rPr>
          <w:rFonts w:hint="default" w:ascii="Times New Roman" w:hAnsi="Times New Roman" w:eastAsia="宋体" w:cs="Times New Roman"/>
          <w:color w:val="auto"/>
          <w:sz w:val="24"/>
          <w:szCs w:val="24"/>
          <w:lang w:val="en-US" w:eastAsia="zh-CN"/>
        </w:rPr>
        <w:t>25″。项目东侧为银河大街，隔银河大街为临街商铺；南侧为拟建盐山县泰达国际城（南区）项目：西侧为千童大街，隔千童大街为空地；北侧为海泊路，隔海泊路为城市绿地。距离项目较近的敏感点为东侧60m的南门外居民区。</w:t>
      </w:r>
    </w:p>
    <w:p>
      <w:p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盐山县泰达房地产开发有限公司取得了【2015】001号地块的国有土地使用权该地块总面积为14152.86m</w:t>
      </w:r>
      <w:r>
        <w:rPr>
          <w:rFonts w:hint="default" w:ascii="Times New Roman" w:hAnsi="Times New Roman" w:eastAsia="宋体" w:cs="Times New Roman"/>
          <w:color w:val="auto"/>
          <w:sz w:val="24"/>
          <w:szCs w:val="24"/>
          <w:vertAlign w:val="superscript"/>
          <w:lang w:val="en-US" w:eastAsia="zh-CN"/>
        </w:rPr>
        <w:t>2</w:t>
      </w:r>
      <w:r>
        <w:rPr>
          <w:rFonts w:hint="default" w:ascii="Times New Roman" w:hAnsi="Times New Roman" w:eastAsia="宋体" w:cs="Times New Roman"/>
          <w:color w:val="auto"/>
          <w:sz w:val="24"/>
          <w:szCs w:val="24"/>
          <w:lang w:val="en-US" w:eastAsia="zh-CN"/>
        </w:rPr>
        <w:t>；盐山县住房和域乡规划建设局出具了盐山县【2015】001号国有建设用地规划条件：总用地面积14152.86m</w:t>
      </w:r>
      <w:r>
        <w:rPr>
          <w:rFonts w:hint="default" w:ascii="Times New Roman" w:hAnsi="Times New Roman" w:eastAsia="宋体" w:cs="Times New Roman"/>
          <w:color w:val="auto"/>
          <w:sz w:val="24"/>
          <w:szCs w:val="24"/>
          <w:vertAlign w:val="superscript"/>
          <w:lang w:val="en-US" w:eastAsia="zh-CN"/>
        </w:rPr>
        <w:t>2</w:t>
      </w:r>
      <w:r>
        <w:rPr>
          <w:rFonts w:hint="default" w:ascii="Times New Roman" w:hAnsi="Times New Roman" w:eastAsia="宋体" w:cs="Times New Roman"/>
          <w:color w:val="auto"/>
          <w:sz w:val="24"/>
          <w:szCs w:val="24"/>
          <w:lang w:val="en-US" w:eastAsia="zh-CN"/>
        </w:rPr>
        <w:t>，用地性质为居住用地</w:t>
      </w:r>
      <w:r>
        <w:rPr>
          <w:rFonts w:hint="eastAsia" w:ascii="Times New Roman" w:hAnsi="Times New Roman" w:eastAsia="宋体" w:cs="Times New Roman"/>
          <w:color w:val="auto"/>
          <w:sz w:val="24"/>
          <w:szCs w:val="24"/>
          <w:lang w:val="en-US" w:eastAsia="zh-CN"/>
        </w:rPr>
        <w:t>。</w:t>
      </w:r>
    </w:p>
    <w:p>
      <w:p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本项目位于盐山县城区，基础设施完善，如有为本项目供给水源的供水管道有排放废水的污水管道，有供热管道，有供给燃气的供气管道</w:t>
      </w:r>
      <w:r>
        <w:rPr>
          <w:rFonts w:hint="eastAsia" w:ascii="Times New Roman" w:hAnsi="Times New Roman" w:eastAsia="宋体" w:cs="Times New Roman"/>
          <w:color w:val="auto"/>
          <w:sz w:val="24"/>
          <w:szCs w:val="24"/>
          <w:lang w:val="en-US" w:eastAsia="zh-CN"/>
        </w:rPr>
        <w:t>。</w:t>
      </w:r>
    </w:p>
    <w:p>
      <w:p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拟选地址附近无国家、省、市规定的重点文物保护单位、风景名胜区、革命历史古迹等环境敏感点</w:t>
      </w:r>
      <w:r>
        <w:rPr>
          <w:rFonts w:hint="eastAsia" w:ascii="Times New Roman" w:hAnsi="Times New Roman" w:eastAsia="宋体"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因此，从环保角度考虑，本项目选址是合理的</w:t>
      </w:r>
      <w:r>
        <w:rPr>
          <w:rFonts w:hint="eastAsia" w:ascii="Times New Roman" w:hAnsi="Times New Roman" w:eastAsia="宋体"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4施工期环境影响评价结论</w:t>
      </w:r>
    </w:p>
    <w:p>
      <w:pPr>
        <w:numPr>
          <w:ilvl w:val="0"/>
          <w:numId w:val="2"/>
        </w:num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施工扬尘：本项目在施工过程中对弃土堆存场采取四周加设围墙，必要时对弃土进行遮盖和洒水抑尘等措施：运输建筑材料的车辆要加盖篷布，防止沿途撒落，必要时对路面采取清扫并洒水抑尘的措施</w:t>
      </w:r>
      <w:r>
        <w:rPr>
          <w:rFonts w:hint="eastAsia" w:ascii="Times New Roman" w:hAnsi="Times New Roman" w:eastAsia="宋体" w:cs="Times New Roman"/>
          <w:color w:val="auto"/>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（2）施工废水：施工设备冲洗废水和水泥养护废水回用不外排，施工人员生活废水用于施工场地的泼洒抑尘，不随意排放。</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（3）施工噪声：施工期合理安排施工时间，建筑机械设备采取减振、隔声降噪等措施，建设施工场地设在项目中部进行，以降低施工噪声对周围环境敏感点的影响。</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（4）施工固废：建筑垃圾及生活垃圾回收或墳埋，弃土回填地基或用于项目铺路及绿化用途。采取上述措施后，施工期固废对周围环境影响较小。</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5营运期环境影响评价结论</w:t>
      </w:r>
    </w:p>
    <w:p>
      <w:pPr>
        <w:numPr>
          <w:ilvl w:val="0"/>
          <w:numId w:val="3"/>
        </w:numPr>
        <w:spacing w:line="440" w:lineRule="atLeast"/>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环境空气</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本项目废气主要为汽车尾气、垃圾中转站及公厕恶臭。</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地下停车场汽车尾气中的主要成分有CO、NOx、和总碳氢（THC）。目前我国汽车出厂即达到国家机动车尾气控制标准要求，根据项目性质，本项目车辆多为小汽车，使用的燃料为无铅汽油，本项目设有地下停车场，设置排风系统，再辅以绿化措施可以使影响降至最低。由于本项目的垃圾中转站采用专用垃圾收集箱，收集的垃圾定期由专职人员清运，做到日产清，不积存，装车清运时将专用垃圾收集箱的垃墩直接裝入垃圾运输车，整个过程垃圾不外露，能够减轻转运站垃圾臭气对附近环境（尤其是居民住宅）的影响；公厕必须有专人管理，保持清洁卫生。对公共厕所应经常进行卫生消毒。在有肠道传染病流行时，应按传染病防治法实施办法的规定，对公共厕所的粪便进行消毒处理。公共厕所的周围应适当绿化、美化综上所述，本项目产生的废气不会对周围大气环境产生影响。</w:t>
      </w:r>
    </w:p>
    <w:p>
      <w:pPr>
        <w:numPr>
          <w:ilvl w:val="0"/>
          <w:numId w:val="3"/>
        </w:numPr>
        <w:spacing w:line="440" w:lineRule="atLeast"/>
        <w:ind w:left="0" w:leftChars="0"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水环境</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产生的废水主要是职工产生的生活污水和商业废水，商业废水和生活污水一同进入化粪池，经化粪池处理后满足《污水综合排放标准》（GB8978-1996）表4三级标准，同时满足盐山县城市污水处理厂进水水质要求，经城市污水管网进入盐山县城市污水处理厂进一步处理因此，本项目营运过程中排放的废水不会对水环境产生明显影响。</w:t>
      </w:r>
    </w:p>
    <w:p>
      <w:pPr>
        <w:keepNext w:val="0"/>
        <w:keepLines w:val="0"/>
        <w:pageBreakBefore w:val="0"/>
        <w:widowControl w:val="0"/>
        <w:numPr>
          <w:ilvl w:val="0"/>
          <w:numId w:val="3"/>
        </w:numPr>
        <w:kinsoku/>
        <w:wordWrap/>
        <w:overflowPunct/>
        <w:topLinePunct w:val="0"/>
        <w:autoSpaceDE/>
        <w:autoSpaceDN/>
        <w:bidi w:val="0"/>
        <w:adjustRightInd/>
        <w:snapToGrid/>
        <w:spacing w:line="440" w:lineRule="atLeast"/>
        <w:ind w:left="0" w:leftChars="0" w:firstLine="480" w:firstLineChars="200"/>
        <w:textAlignment w:val="auto"/>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声环境本项目噪声源主要是加压水泵、地下停车场排风机、电梯等设备产生的噪声小区内居民生活噪声和机动车噪声。项目加压水泵房、地下停车场采取地下布置，水泵设基础减振，电梯间设吸音板及隔声门进行隔声降噪，控制机动车进入小区内部，设立机动车禁鸣标志。采取上述措施后，项目东边界噪声满足《社会生活环境噪声排放标准》（GB22337-2008）4类标准，其他三侧边界满足《社会生活环境噪声排放标准》（GB223372008）2类标准，项目营运后产生的噪声不会对周围环境产生明显影响</w:t>
      </w:r>
      <w:r>
        <w:rPr>
          <w:rFonts w:hint="eastAsia" w:ascii="Times New Roman" w:hAnsi="Times New Roman" w:eastAsia="宋体" w:cs="Times New Roman"/>
          <w:color w:val="auto"/>
          <w:sz w:val="24"/>
          <w:szCs w:val="24"/>
          <w:lang w:val="en-US" w:eastAsia="zh-CN"/>
        </w:rPr>
        <w:t>。</w:t>
      </w:r>
    </w:p>
    <w:p>
      <w:pPr>
        <w:keepNext w:val="0"/>
        <w:keepLines w:val="0"/>
        <w:pageBreakBefore w:val="0"/>
        <w:widowControl w:val="0"/>
        <w:numPr>
          <w:ilvl w:val="0"/>
          <w:numId w:val="3"/>
        </w:numPr>
        <w:kinsoku/>
        <w:wordWrap/>
        <w:overflowPunct/>
        <w:topLinePunct w:val="0"/>
        <w:autoSpaceDE/>
        <w:autoSpaceDN/>
        <w:bidi w:val="0"/>
        <w:adjustRightInd/>
        <w:snapToGrid/>
        <w:spacing w:line="440" w:lineRule="atLeast"/>
        <w:ind w:left="0"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固体废物</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产生的固废主要是商业垃圾和职工产生的生活垃圾。垃圾实行分类袋装通过垃圾转运站中转后由环卫部门运至垃圾填埋场统一处理，满足《一般工业固体废物贮存、处置场污染控制标准》（GB185992001）及修改单中标准要求。</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因此，本项目产生的固体废弃物不会对周围环境造成影响。</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6总量控制指标</w:t>
      </w:r>
    </w:p>
    <w:p>
      <w:pPr>
        <w:keepNext w:val="0"/>
        <w:keepLines w:val="0"/>
        <w:pageBreakBefore w:val="0"/>
        <w:widowControl w:val="0"/>
        <w:numPr>
          <w:ilvl w:val="0"/>
          <w:numId w:val="0"/>
        </w:numPr>
        <w:kinsoku/>
        <w:wordWrap/>
        <w:overflowPunct/>
        <w:topLinePunct w:val="0"/>
        <w:autoSpaceDE/>
        <w:autoSpaceDN/>
        <w:bidi w:val="0"/>
        <w:adjustRightInd/>
        <w:snapToGrid/>
        <w:spacing w:line="440" w:lineRule="atLeast"/>
        <w:ind w:leftChars="0" w:firstLine="480" w:firstLineChars="200"/>
        <w:textAlignment w:val="auto"/>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根据《国家环境保护“十二五”规划》，结合本项目特点及排污特征，确定本工程污染物总量控制因子为COD、氨氮、SO</w:t>
      </w:r>
      <w:r>
        <w:rPr>
          <w:rFonts w:hint="eastAsia" w:ascii="Times New Roman" w:hAnsi="Times New Roman" w:eastAsia="宋体" w:cs="Times New Roman"/>
          <w:color w:val="auto"/>
          <w:sz w:val="24"/>
          <w:szCs w:val="24"/>
          <w:vertAlign w:val="subscript"/>
          <w:lang w:val="en-US" w:eastAsia="zh-CN"/>
        </w:rPr>
        <w:t>2</w:t>
      </w:r>
      <w:r>
        <w:rPr>
          <w:rFonts w:hint="eastAsia" w:ascii="Times New Roman" w:hAnsi="Times New Roman" w:eastAsia="宋体" w:cs="Times New Roman"/>
          <w:color w:val="auto"/>
          <w:sz w:val="24"/>
          <w:szCs w:val="24"/>
          <w:lang w:val="en-US" w:eastAsia="zh-CN"/>
        </w:rPr>
        <w:t>、NOx。污染物排放总量的确定遵循达标排放的原则，评价建议以环评核算的总量作为控制指标值，即COD：21.066t/a；氨氮：2.107t/a；SO</w:t>
      </w:r>
      <w:r>
        <w:rPr>
          <w:rFonts w:hint="eastAsia" w:ascii="Times New Roman" w:hAnsi="Times New Roman" w:eastAsia="宋体" w:cs="Times New Roman"/>
          <w:color w:val="auto"/>
          <w:sz w:val="24"/>
          <w:szCs w:val="24"/>
          <w:vertAlign w:val="subscript"/>
          <w:lang w:val="en-US" w:eastAsia="zh-CN"/>
        </w:rPr>
        <w:t>2</w:t>
      </w:r>
      <w:r>
        <w:rPr>
          <w:rFonts w:hint="eastAsia" w:ascii="Times New Roman" w:hAnsi="Times New Roman" w:eastAsia="宋体" w:cs="Times New Roman"/>
          <w:color w:val="auto"/>
          <w:sz w:val="24"/>
          <w:szCs w:val="24"/>
          <w:lang w:val="en-US" w:eastAsia="zh-CN"/>
        </w:rPr>
        <w:t>:0ta；NOx：0t/a。</w:t>
      </w:r>
    </w:p>
    <w:bookmarkEnd w:id="55"/>
    <w:p>
      <w:pPr>
        <w:pStyle w:val="5"/>
        <w:spacing w:line="440" w:lineRule="atLeast"/>
        <w:rPr>
          <w:rFonts w:hint="default" w:ascii="Times New Roman" w:hAnsi="Times New Roman" w:eastAsia="宋体" w:cs="Times New Roman"/>
          <w:color w:val="auto"/>
        </w:rPr>
      </w:pPr>
      <w:r>
        <w:rPr>
          <w:rFonts w:hint="default" w:ascii="Times New Roman" w:hAnsi="Times New Roman" w:eastAsia="宋体" w:cs="Times New Roman"/>
          <w:color w:val="auto"/>
        </w:rPr>
        <w:t>4.2 审批部门审批意见</w:t>
      </w:r>
      <w:bookmarkEnd w:id="54"/>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本项目于</w:t>
      </w:r>
      <w:r>
        <w:rPr>
          <w:rFonts w:hint="eastAsia" w:ascii="Times New Roman" w:hAnsi="Times New Roman" w:eastAsia="宋体" w:cs="Times New Roman"/>
          <w:color w:val="auto"/>
          <w:sz w:val="24"/>
          <w:szCs w:val="24"/>
          <w:lang w:val="en-US" w:eastAsia="zh-CN"/>
        </w:rPr>
        <w:t>2015</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日由</w:t>
      </w:r>
      <w:r>
        <w:rPr>
          <w:rFonts w:hint="eastAsia" w:ascii="Times New Roman" w:hAnsi="Times New Roman" w:eastAsia="宋体" w:cs="Times New Roman"/>
          <w:color w:val="auto"/>
          <w:sz w:val="24"/>
          <w:szCs w:val="24"/>
          <w:lang w:val="en-US" w:eastAsia="zh-CN"/>
        </w:rPr>
        <w:t>原盐山县环保</w:t>
      </w:r>
      <w:r>
        <w:rPr>
          <w:rFonts w:hint="default" w:ascii="Times New Roman" w:hAnsi="Times New Roman" w:eastAsia="宋体" w:cs="Times New Roman"/>
          <w:color w:val="auto"/>
          <w:sz w:val="24"/>
          <w:szCs w:val="24"/>
          <w:lang w:val="en-US" w:eastAsia="zh-CN"/>
        </w:rPr>
        <w:t>局</w:t>
      </w:r>
      <w:r>
        <w:rPr>
          <w:rFonts w:hint="default" w:ascii="Times New Roman" w:hAnsi="Times New Roman" w:eastAsia="宋体" w:cs="Times New Roman"/>
          <w:color w:val="auto"/>
          <w:sz w:val="24"/>
          <w:szCs w:val="24"/>
        </w:rPr>
        <w:t>审批通过，并出具审批意见。其批复如下：</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rFonts w:hint="default" w:ascii="Times New Roman" w:hAnsi="Times New Roman" w:eastAsia="宋体" w:cs="Times New Roman"/>
          <w:color w:val="FF0000"/>
          <w:sz w:val="24"/>
          <w:szCs w:val="24"/>
          <w:lang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default" w:ascii="Times New Roman" w:hAnsi="Times New Roman" w:eastAsia="宋体" w:cs="Times New Roman"/>
          <w:color w:val="FF0000"/>
          <w:sz w:val="24"/>
          <w:szCs w:val="24"/>
          <w:lang w:eastAsia="zh-CN"/>
        </w:rPr>
      </w:pPr>
      <w:r>
        <w:rPr>
          <w:rFonts w:hint="default" w:ascii="Times New Roman" w:hAnsi="Times New Roman" w:eastAsia="宋体" w:cs="Times New Roman"/>
          <w:color w:val="FF0000"/>
          <w:sz w:val="24"/>
          <w:szCs w:val="24"/>
          <w:lang w:eastAsia="zh-CN"/>
        </w:rPr>
        <w:drawing>
          <wp:inline distT="0" distB="0" distL="114300" distR="114300">
            <wp:extent cx="5132705" cy="7616190"/>
            <wp:effectExtent l="0" t="0" r="10795" b="3810"/>
            <wp:docPr id="3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
                    <pic:cNvPicPr>
                      <a:picLocks noChangeAspect="1"/>
                    </pic:cNvPicPr>
                  </pic:nvPicPr>
                  <pic:blipFill>
                    <a:blip r:embed="rId7"/>
                    <a:stretch>
                      <a:fillRect/>
                    </a:stretch>
                  </pic:blipFill>
                  <pic:spPr>
                    <a:xfrm>
                      <a:off x="0" y="0"/>
                      <a:ext cx="5132705" cy="761619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left"/>
        <w:textAlignment w:val="auto"/>
        <w:outlineLvl w:val="9"/>
        <w:rPr>
          <w:rFonts w:hint="default" w:ascii="Times New Roman" w:hAnsi="Times New Roman" w:eastAsia="宋体" w:cs="Times New Roman"/>
          <w:color w:val="FF0000"/>
          <w:sz w:val="24"/>
          <w:szCs w:val="24"/>
          <w:lang w:eastAsia="zh-CN"/>
        </w:rPr>
      </w:pPr>
      <w:r>
        <w:rPr>
          <w:rFonts w:hint="default" w:ascii="Times New Roman" w:hAnsi="Times New Roman" w:eastAsia="宋体" w:cs="Times New Roman"/>
          <w:color w:val="FF0000"/>
          <w:sz w:val="24"/>
          <w:szCs w:val="24"/>
          <w:lang w:eastAsia="zh-CN"/>
        </w:rPr>
        <w:drawing>
          <wp:inline distT="0" distB="0" distL="114300" distR="114300">
            <wp:extent cx="5200015" cy="7624445"/>
            <wp:effectExtent l="0" t="0" r="635" b="14605"/>
            <wp:docPr id="3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4"/>
                    <pic:cNvPicPr>
                      <a:picLocks noChangeAspect="1"/>
                    </pic:cNvPicPr>
                  </pic:nvPicPr>
                  <pic:blipFill>
                    <a:blip r:embed="rId8"/>
                    <a:stretch>
                      <a:fillRect/>
                    </a:stretch>
                  </pic:blipFill>
                  <pic:spPr>
                    <a:xfrm>
                      <a:off x="0" y="0"/>
                      <a:ext cx="5200015" cy="762444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textAlignment w:val="auto"/>
        <w:outlineLvl w:val="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39"/>
        <w:rPr>
          <w:rFonts w:hint="default" w:ascii="Times New Roman" w:hAnsi="Times New Roman" w:eastAsia="宋体" w:cs="Times New Roman"/>
          <w:color w:val="FF0000"/>
        </w:rPr>
      </w:pPr>
    </w:p>
    <w:p>
      <w:pPr>
        <w:pStyle w:val="2"/>
        <w:rPr>
          <w:rFonts w:hint="default" w:ascii="Times New Roman" w:hAnsi="Times New Roman" w:eastAsia="宋体" w:cs="Times New Roman"/>
          <w:color w:val="FF0000"/>
        </w:rPr>
      </w:pPr>
    </w:p>
    <w:p>
      <w:pPr>
        <w:pStyle w:val="5"/>
        <w:rPr>
          <w:rFonts w:hint="default" w:ascii="Times New Roman" w:hAnsi="Times New Roman" w:eastAsia="宋体" w:cs="Times New Roman"/>
          <w:color w:val="auto"/>
        </w:rPr>
      </w:pPr>
      <w:bookmarkStart w:id="56" w:name="_Toc1571"/>
      <w:r>
        <w:rPr>
          <w:rFonts w:hint="default" w:ascii="Times New Roman" w:hAnsi="Times New Roman" w:eastAsia="宋体" w:cs="Times New Roman"/>
          <w:color w:val="auto"/>
        </w:rPr>
        <w:t>4.3 审批意见落实情况</w:t>
      </w:r>
      <w:bookmarkEnd w:id="56"/>
    </w:p>
    <w:p>
      <w:pPr>
        <w:rPr>
          <w:rFonts w:hint="default" w:ascii="Times New Roman" w:hAnsi="Times New Roman" w:eastAsia="宋体" w:cs="Times New Roman"/>
          <w:b/>
          <w:color w:val="auto"/>
          <w:sz w:val="24"/>
          <w:szCs w:val="24"/>
        </w:rPr>
      </w:pPr>
      <w:bookmarkStart w:id="57" w:name="_Toc497001471"/>
      <w:r>
        <w:rPr>
          <w:rFonts w:hint="default" w:ascii="Times New Roman" w:hAnsi="Times New Roman" w:eastAsia="宋体" w:cs="Times New Roman"/>
          <w:color w:val="auto"/>
          <w:sz w:val="24"/>
          <w:szCs w:val="24"/>
        </w:rPr>
        <w:t>审批意见落实情况详见下表。</w:t>
      </w:r>
      <w:bookmarkEnd w:id="57"/>
    </w:p>
    <w:p>
      <w:pPr>
        <w:widowControl/>
        <w:spacing w:before="156" w:beforeLines="50" w:after="156" w:afterLines="50"/>
        <w:ind w:firstLine="142" w:firstLineChars="59"/>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表4-</w:t>
      </w:r>
      <w:r>
        <w:rPr>
          <w:rFonts w:hint="default" w:ascii="Times New Roman" w:hAnsi="Times New Roman" w:eastAsia="宋体" w:cs="Times New Roman"/>
          <w:b/>
          <w:color w:val="auto"/>
          <w:sz w:val="24"/>
          <w:szCs w:val="24"/>
          <w:lang w:val="en-US" w:eastAsia="zh-CN"/>
        </w:rPr>
        <w:t>2</w:t>
      </w:r>
      <w:r>
        <w:rPr>
          <w:rFonts w:hint="default" w:ascii="Times New Roman" w:hAnsi="Times New Roman" w:eastAsia="宋体" w:cs="Times New Roman"/>
          <w:b/>
          <w:color w:val="auto"/>
          <w:sz w:val="24"/>
          <w:szCs w:val="24"/>
        </w:rPr>
        <w:t xml:space="preserve">  环评审批意见落实情况</w:t>
      </w:r>
    </w:p>
    <w:tbl>
      <w:tblPr>
        <w:tblStyle w:val="30"/>
        <w:tblW w:w="9132" w:type="dxa"/>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557"/>
        <w:gridCol w:w="5480"/>
        <w:gridCol w:w="309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序号</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审批意见内容</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b/>
                <w:color w:val="auto"/>
                <w:spacing w:val="-10"/>
                <w:sz w:val="21"/>
                <w:szCs w:val="21"/>
              </w:rPr>
              <w:t>落实情况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1</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b/>
                <w:color w:val="auto"/>
                <w:spacing w:val="-10"/>
                <w:sz w:val="21"/>
                <w:szCs w:val="21"/>
              </w:rPr>
            </w:pPr>
            <w:r>
              <w:rPr>
                <w:rFonts w:hint="default" w:ascii="Times New Roman" w:hAnsi="Times New Roman" w:eastAsia="宋体" w:cs="Times New Roman"/>
                <w:color w:val="auto"/>
                <w:sz w:val="21"/>
                <w:szCs w:val="21"/>
              </w:rPr>
              <w:t>建设单位：</w:t>
            </w:r>
            <w:r>
              <w:rPr>
                <w:rFonts w:hint="eastAsia" w:ascii="Times New Roman" w:hAnsi="Times New Roman" w:eastAsia="宋体" w:cs="Times New Roman"/>
                <w:color w:val="auto"/>
                <w:sz w:val="21"/>
                <w:szCs w:val="21"/>
                <w:lang w:eastAsia="zh-CN"/>
              </w:rPr>
              <w:t>盐山县泰达房地产开发有限公司</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建设单位名称不变</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rPr>
            </w:pPr>
            <w:r>
              <w:rPr>
                <w:rFonts w:hint="default" w:ascii="Times New Roman" w:hAnsi="Times New Roman" w:eastAsia="宋体" w:cs="Times New Roman"/>
                <w:color w:val="auto"/>
                <w:spacing w:val="-10"/>
                <w:sz w:val="21"/>
                <w:szCs w:val="21"/>
              </w:rPr>
              <w:t>2</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建设地点：</w:t>
            </w:r>
            <w:r>
              <w:rPr>
                <w:rFonts w:hint="eastAsia" w:ascii="Times New Roman" w:hAnsi="Times New Roman" w:eastAsia="宋体" w:cs="Times New Roman"/>
                <w:color w:val="auto"/>
                <w:sz w:val="21"/>
                <w:szCs w:val="21"/>
                <w:lang w:eastAsia="zh-CN"/>
              </w:rPr>
              <w:t>盐山县泰安路北侧、建设东街西侧</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盐山县城西南部，东至银河大街，西至千童大街</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3</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建设内容：</w:t>
            </w:r>
            <w:r>
              <w:rPr>
                <w:rFonts w:hint="default" w:ascii="Times New Roman" w:hAnsi="Times New Roman" w:eastAsia="宋体" w:cs="Times New Roman"/>
                <w:color w:val="auto"/>
                <w:kern w:val="0"/>
                <w:sz w:val="21"/>
                <w:szCs w:val="21"/>
              </w:rPr>
              <w:t>盐山县泰达国际城（北区）项目，建设内容为：总投资18200万元，其中环保投资85万元。占地面积14152.86平方米，建筑面积99922.8平方米。盐山县发展改革局以盐发改投核字[2015]007号文同意该项目的备案。盐山县国土资源局、盐山县建设局均出具意见，同意项目选址和建设。</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本项目主体工程为3栋24F住宅楼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4</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生活污水经化粪池处理后排入市政管网废水排放要达到《污水综合排放标准》（GB8978-1996）表4中三级标准及盐山县城市污水处理厂进水水质要求</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10"/>
                <w:sz w:val="21"/>
                <w:szCs w:val="21"/>
                <w:lang w:val="en-US" w:eastAsia="zh-CN"/>
              </w:rPr>
            </w:pPr>
            <w:r>
              <w:rPr>
                <w:rFonts w:hint="default" w:ascii="Times New Roman" w:hAnsi="Times New Roman" w:eastAsia="宋体" w:cs="Times New Roman"/>
                <w:color w:val="auto"/>
                <w:spacing w:val="-10"/>
                <w:sz w:val="21"/>
                <w:szCs w:val="21"/>
                <w:lang w:val="en-US" w:eastAsia="zh-CN"/>
              </w:rPr>
              <w:t>5</w:t>
            </w:r>
          </w:p>
        </w:tc>
        <w:tc>
          <w:tcPr>
            <w:tcW w:w="5480"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废气排放执行《大气污染物综合排放标准》（GB16297-1996）表2中无组织排放监控浓度限值要求；</w:t>
            </w:r>
          </w:p>
        </w:tc>
        <w:tc>
          <w:tcPr>
            <w:tcW w:w="3095"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6</w:t>
            </w:r>
          </w:p>
        </w:tc>
        <w:tc>
          <w:tcPr>
            <w:tcW w:w="5480"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sz w:val="21"/>
                <w:szCs w:val="21"/>
              </w:rPr>
              <w:t>对噪声源采取有效措施，确保噪声达到《社会生活环境噪声排放标准》（GB22337-2008）2类标准</w:t>
            </w:r>
          </w:p>
        </w:tc>
        <w:tc>
          <w:tcPr>
            <w:tcW w:w="3095"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c>
          <w:tcPr>
            <w:tcW w:w="557" w:type="dxa"/>
            <w:vAlign w:val="center"/>
          </w:tcPr>
          <w:p>
            <w:pPr>
              <w:keepNext w:val="0"/>
              <w:keepLines w:val="0"/>
              <w:pageBreakBefore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7</w:t>
            </w:r>
          </w:p>
        </w:tc>
        <w:tc>
          <w:tcPr>
            <w:tcW w:w="5480"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sz w:val="21"/>
                <w:szCs w:val="21"/>
              </w:rPr>
              <w:t>运营期固体废物排放执行《一般工业固体废物贮存、处置场污染控制标准》（GB18599-2001）及修改单中标准要求。</w:t>
            </w:r>
          </w:p>
        </w:tc>
        <w:tc>
          <w:tcPr>
            <w:tcW w:w="3095" w:type="dxa"/>
            <w:vAlign w:val="center"/>
          </w:tcPr>
          <w:p>
            <w:pPr>
              <w:keepNext w:val="0"/>
              <w:keepLines w:val="0"/>
              <w:pageBreakBefore w:val="0"/>
              <w:widowControl/>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已落实</w:t>
            </w:r>
          </w:p>
        </w:tc>
      </w:tr>
    </w:tbl>
    <w:p>
      <w:pPr>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58" w:name="_Toc9231"/>
      <w:r>
        <w:rPr>
          <w:rFonts w:hint="default" w:ascii="Times New Roman" w:hAnsi="Times New Roman" w:eastAsia="宋体" w:cs="Times New Roman"/>
          <w:color w:val="auto"/>
        </w:rPr>
        <w:t>5 验收评价标准</w:t>
      </w:r>
      <w:bookmarkEnd w:id="5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center"/>
        <w:textAlignment w:val="auto"/>
        <w:outlineLvl w:val="9"/>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表</w:t>
      </w:r>
      <w:r>
        <w:rPr>
          <w:rFonts w:hint="default" w:ascii="Times New Roman" w:hAnsi="Times New Roman" w:eastAsia="宋体" w:cs="Times New Roman"/>
          <w:color w:val="auto"/>
          <w:sz w:val="24"/>
          <w:szCs w:val="24"/>
          <w:lang w:val="en-US" w:eastAsia="zh-CN"/>
        </w:rPr>
        <w:t>5-1</w:t>
      </w:r>
      <w:r>
        <w:rPr>
          <w:rFonts w:hint="default" w:ascii="Times New Roman" w:hAnsi="Times New Roman" w:eastAsia="宋体" w:cs="Times New Roman"/>
          <w:color w:val="auto"/>
          <w:sz w:val="24"/>
          <w:szCs w:val="24"/>
        </w:rPr>
        <w:t xml:space="preserve"> </w:t>
      </w:r>
      <w:r>
        <w:rPr>
          <w:rFonts w:hint="default" w:ascii="Times New Roman" w:hAnsi="Times New Roman" w:eastAsia="宋体" w:cs="Times New Roman"/>
          <w:color w:val="auto"/>
          <w:sz w:val="24"/>
          <w:szCs w:val="24"/>
          <w:lang w:val="en-US" w:eastAsia="zh-CN"/>
        </w:rPr>
        <w:t xml:space="preserve"> 验收执行标准</w:t>
      </w:r>
    </w:p>
    <w:tbl>
      <w:tblPr>
        <w:tblStyle w:val="30"/>
        <w:tblW w:w="733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6"/>
        <w:gridCol w:w="1146"/>
        <w:gridCol w:w="1741"/>
        <w:gridCol w:w="1731"/>
        <w:gridCol w:w="17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blHeader/>
          <w:jc w:val="center"/>
        </w:trPr>
        <w:tc>
          <w:tcPr>
            <w:tcW w:w="98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项目</w:t>
            </w: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污染源</w:t>
            </w:r>
          </w:p>
        </w:tc>
        <w:tc>
          <w:tcPr>
            <w:tcW w:w="174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治理措施</w:t>
            </w:r>
          </w:p>
        </w:tc>
        <w:tc>
          <w:tcPr>
            <w:tcW w:w="3462" w:type="dxa"/>
            <w:gridSpan w:val="2"/>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rPr>
              <w:t>验收标准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82" w:hRule="atLeast"/>
          <w:jc w:val="center"/>
        </w:trPr>
        <w:tc>
          <w:tcPr>
            <w:tcW w:w="986"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废气</w:t>
            </w: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非甲烷总烃</w:t>
            </w:r>
          </w:p>
        </w:tc>
        <w:tc>
          <w:tcPr>
            <w:tcW w:w="1741"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送排风系统+商业区绿化</w:t>
            </w:r>
          </w:p>
        </w:tc>
        <w:tc>
          <w:tcPr>
            <w:tcW w:w="1731"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非甲烷总烃浓度限值：≤4.0mg/m</w:t>
            </w:r>
            <w:r>
              <w:rPr>
                <w:rFonts w:hint="eastAsia" w:ascii="Times New Roman" w:hAnsi="Times New Roman" w:eastAsia="宋体" w:cs="Times New Roman"/>
                <w:snapToGrid w:val="0"/>
                <w:color w:val="auto"/>
                <w:kern w:val="0"/>
                <w:sz w:val="21"/>
                <w:szCs w:val="21"/>
                <w:vertAlign w:val="superscript"/>
                <w:lang w:val="en-US" w:eastAsia="zh-CN"/>
              </w:rPr>
              <w:t>3</w:t>
            </w:r>
            <w:r>
              <w:rPr>
                <w:rFonts w:hint="eastAsia" w:ascii="Times New Roman" w:hAnsi="Times New Roman" w:eastAsia="宋体" w:cs="Times New Roman"/>
                <w:snapToGrid w:val="0"/>
                <w:color w:val="auto"/>
                <w:kern w:val="0"/>
                <w:sz w:val="21"/>
                <w:szCs w:val="21"/>
                <w:lang w:val="en-US" w:eastAsia="zh-CN"/>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氮氧化物浓度限值≤0.12mg/m</w:t>
            </w:r>
            <w:r>
              <w:rPr>
                <w:rFonts w:hint="eastAsia" w:ascii="Times New Roman" w:hAnsi="Times New Roman" w:eastAsia="宋体" w:cs="Times New Roman"/>
                <w:snapToGrid w:val="0"/>
                <w:color w:val="auto"/>
                <w:kern w:val="0"/>
                <w:sz w:val="21"/>
                <w:szCs w:val="21"/>
                <w:vertAlign w:val="superscript"/>
                <w:lang w:val="en-US" w:eastAsia="zh-CN"/>
              </w:rPr>
              <w:t>3</w:t>
            </w:r>
            <w:r>
              <w:rPr>
                <w:rFonts w:hint="eastAsia" w:ascii="Times New Roman" w:hAnsi="Times New Roman" w:eastAsia="宋体" w:cs="Times New Roman"/>
                <w:snapToGrid w:val="0"/>
                <w:color w:val="auto"/>
                <w:kern w:val="0"/>
                <w:sz w:val="21"/>
                <w:szCs w:val="21"/>
                <w:lang w:val="en-US" w:eastAsia="zh-CN"/>
              </w:rPr>
              <w:t xml:space="preserve"> </w:t>
            </w:r>
          </w:p>
        </w:tc>
        <w:tc>
          <w:tcPr>
            <w:tcW w:w="1731" w:type="dxa"/>
            <w:vMerge w:val="restart"/>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rPr>
              <w:t>《大气污染物综合排放标准》（GB16297-1996）表2 无组织排放监控浓度限值要求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4" w:hRule="atLeast"/>
          <w:jc w:val="center"/>
        </w:trPr>
        <w:tc>
          <w:tcPr>
            <w:tcW w:w="986"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氮氧化物</w:t>
            </w:r>
          </w:p>
        </w:tc>
        <w:tc>
          <w:tcPr>
            <w:tcW w:w="1741"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p>
        </w:tc>
        <w:tc>
          <w:tcPr>
            <w:tcW w:w="1731"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p>
        </w:tc>
        <w:tc>
          <w:tcPr>
            <w:tcW w:w="1731"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86" w:type="dxa"/>
            <w:vMerge w:val="continue"/>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eastAsia="zh-CN"/>
              </w:rPr>
            </w:pPr>
            <w:r>
              <w:rPr>
                <w:rFonts w:hint="eastAsia" w:ascii="Times New Roman" w:hAnsi="Times New Roman" w:eastAsia="宋体" w:cs="Times New Roman"/>
                <w:snapToGrid w:val="0"/>
                <w:color w:val="auto"/>
                <w:kern w:val="0"/>
                <w:sz w:val="21"/>
                <w:szCs w:val="21"/>
                <w:lang w:val="en-US" w:eastAsia="zh-CN"/>
              </w:rPr>
              <w:t>臭气浓度</w:t>
            </w:r>
          </w:p>
        </w:tc>
        <w:tc>
          <w:tcPr>
            <w:tcW w:w="174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专用垃圾收集箱，绿化带隔离，除臭处理：公厕专人管理，保持卫生，卫生消毒</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浓度限值≤20（无量纲）</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rPr>
              <w:t>《恶臭污染物排放标准》（GB14554-93）表 1 中二级标准相应值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70" w:hRule="atLeast"/>
          <w:jc w:val="center"/>
        </w:trPr>
        <w:tc>
          <w:tcPr>
            <w:tcW w:w="98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废水</w:t>
            </w: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default" w:ascii="Times New Roman" w:hAnsi="Times New Roman" w:eastAsia="宋体" w:cs="Times New Roman"/>
                <w:snapToGrid w:val="0"/>
                <w:color w:val="auto"/>
                <w:kern w:val="0"/>
                <w:sz w:val="21"/>
                <w:szCs w:val="21"/>
              </w:rPr>
              <w:t>pH、化学需氧量、悬浮物、五日生化需氧量、氨氮、总氮、动植物油类</w:t>
            </w:r>
          </w:p>
        </w:tc>
        <w:tc>
          <w:tcPr>
            <w:tcW w:w="174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商业废水及生活污水一同进入化类池处理后经城市污水管网进入盐山县城市污水处理厂</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pH为6-9（无量纲），</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化学需氧量≤400mg/m</w:t>
            </w:r>
            <w:r>
              <w:rPr>
                <w:rFonts w:hint="default" w:ascii="Times New Roman" w:hAnsi="Times New Roman" w:eastAsia="宋体" w:cs="Times New Roman"/>
                <w:snapToGrid w:val="0"/>
                <w:color w:val="auto"/>
                <w:kern w:val="0"/>
                <w:sz w:val="21"/>
                <w:szCs w:val="21"/>
                <w:vertAlign w:val="superscript"/>
              </w:rPr>
              <w:t>3</w:t>
            </w:r>
            <w:r>
              <w:rPr>
                <w:rFonts w:hint="default" w:ascii="Times New Roman" w:hAnsi="Times New Roman" w:eastAsia="宋体" w:cs="Times New Roman"/>
                <w:snapToGrid w:val="0"/>
                <w:color w:val="auto"/>
                <w:kern w:val="0"/>
                <w:sz w:val="21"/>
                <w:szCs w:val="21"/>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悬浮物≤200mg/m</w:t>
            </w:r>
            <w:r>
              <w:rPr>
                <w:rFonts w:hint="default" w:ascii="Times New Roman" w:hAnsi="Times New Roman" w:eastAsia="宋体" w:cs="Times New Roman"/>
                <w:snapToGrid w:val="0"/>
                <w:color w:val="auto"/>
                <w:kern w:val="0"/>
                <w:sz w:val="21"/>
                <w:szCs w:val="21"/>
                <w:vertAlign w:val="superscript"/>
              </w:rPr>
              <w:t>3</w:t>
            </w:r>
            <w:r>
              <w:rPr>
                <w:rFonts w:hint="default" w:ascii="Times New Roman" w:hAnsi="Times New Roman" w:eastAsia="宋体" w:cs="Times New Roman"/>
                <w:snapToGrid w:val="0"/>
                <w:color w:val="auto"/>
                <w:kern w:val="0"/>
                <w:sz w:val="21"/>
                <w:szCs w:val="21"/>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五日生化需氧量 ≤200mg/m</w:t>
            </w:r>
            <w:r>
              <w:rPr>
                <w:rFonts w:hint="default" w:ascii="Times New Roman" w:hAnsi="Times New Roman" w:eastAsia="宋体" w:cs="Times New Roman"/>
                <w:snapToGrid w:val="0"/>
                <w:color w:val="auto"/>
                <w:kern w:val="0"/>
                <w:sz w:val="21"/>
                <w:szCs w:val="21"/>
                <w:vertAlign w:val="superscript"/>
              </w:rPr>
              <w:t>3</w:t>
            </w:r>
            <w:r>
              <w:rPr>
                <w:rFonts w:hint="default" w:ascii="Times New Roman" w:hAnsi="Times New Roman" w:eastAsia="宋体" w:cs="Times New Roman"/>
                <w:snapToGrid w:val="0"/>
                <w:color w:val="auto"/>
                <w:kern w:val="0"/>
                <w:sz w:val="21"/>
                <w:szCs w:val="21"/>
              </w:rPr>
              <w:t>，</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氨氮≤35mg/m</w:t>
            </w:r>
            <w:r>
              <w:rPr>
                <w:rFonts w:hint="default" w:ascii="Times New Roman" w:hAnsi="Times New Roman" w:eastAsia="宋体" w:cs="Times New Roman"/>
                <w:snapToGrid w:val="0"/>
                <w:color w:val="auto"/>
                <w:kern w:val="0"/>
                <w:sz w:val="21"/>
                <w:szCs w:val="21"/>
                <w:vertAlign w:val="superscript"/>
              </w:rPr>
              <w:t>3</w:t>
            </w:r>
            <w:r>
              <w:rPr>
                <w:rFonts w:hint="default" w:ascii="Times New Roman" w:hAnsi="Times New Roman" w:eastAsia="宋体" w:cs="Times New Roman"/>
                <w:snapToGrid w:val="0"/>
                <w:color w:val="auto"/>
                <w:kern w:val="0"/>
                <w:sz w:val="21"/>
                <w:szCs w:val="21"/>
              </w:rPr>
              <w:t>， 动植物油≤100mg/m</w:t>
            </w:r>
            <w:r>
              <w:rPr>
                <w:rFonts w:hint="default" w:ascii="Times New Roman" w:hAnsi="Times New Roman" w:eastAsia="宋体" w:cs="Times New Roman"/>
                <w:snapToGrid w:val="0"/>
                <w:color w:val="auto"/>
                <w:kern w:val="0"/>
                <w:sz w:val="21"/>
                <w:szCs w:val="21"/>
                <w:vertAlign w:val="superscript"/>
              </w:rPr>
              <w:t>3</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rPr>
              <w:t>《污水综合排放标准》(GB8978-1996)中表4三级标准，同时满足盐山县城市污水处理厂进水水质要求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5" w:hRule="atLeast"/>
          <w:jc w:val="center"/>
        </w:trPr>
        <w:tc>
          <w:tcPr>
            <w:tcW w:w="98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噪声</w:t>
            </w:r>
          </w:p>
        </w:tc>
        <w:tc>
          <w:tcPr>
            <w:tcW w:w="1146"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rPr>
            </w:pPr>
            <w:r>
              <w:rPr>
                <w:rFonts w:hint="eastAsia" w:ascii="Times New Roman" w:hAnsi="Times New Roman" w:eastAsia="宋体" w:cs="Times New Roman"/>
                <w:snapToGrid w:val="0"/>
                <w:color w:val="auto"/>
                <w:kern w:val="0"/>
                <w:sz w:val="21"/>
                <w:szCs w:val="21"/>
                <w:lang w:val="en-US" w:eastAsia="zh-CN"/>
              </w:rPr>
              <w:t>厂界噪声</w:t>
            </w:r>
          </w:p>
        </w:tc>
        <w:tc>
          <w:tcPr>
            <w:tcW w:w="174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lang w:val="zh-CN"/>
              </w:rPr>
              <w:t>地下布置、基础减振、吸音板及隔声门、减振带、设机动车禁鸣标志</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4类标准要求（昼间≤70dB(A)夜间≤55dB(A)）</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rPr>
            </w:pPr>
            <w:r>
              <w:rPr>
                <w:rFonts w:hint="default" w:ascii="Times New Roman" w:hAnsi="Times New Roman" w:eastAsia="宋体" w:cs="Times New Roman"/>
                <w:snapToGrid w:val="0"/>
                <w:color w:val="auto"/>
                <w:kern w:val="0"/>
                <w:sz w:val="21"/>
                <w:szCs w:val="21"/>
              </w:rPr>
              <w:t>2 类标准（昼间≤60dB(A)夜间≤50dB(A)）</w:t>
            </w:r>
          </w:p>
        </w:tc>
        <w:tc>
          <w:tcPr>
            <w:tcW w:w="1731" w:type="dxa"/>
            <w:vAlign w:val="center"/>
          </w:tcPr>
          <w:p>
            <w:pPr>
              <w:keepNext w:val="0"/>
              <w:keepLines w:val="0"/>
              <w:pageBreakBefore w:val="0"/>
              <w:widowControl w:val="0"/>
              <w:kinsoku/>
              <w:wordWrap/>
              <w:overflowPunct/>
              <w:topLinePunct w:val="0"/>
              <w:autoSpaceDE/>
              <w:autoSpaceDN/>
              <w:bidi w:val="0"/>
              <w:adjustRightInd/>
              <w:snapToGrid/>
              <w:ind w:firstLine="0" w:firstLineChars="0"/>
              <w:jc w:val="center"/>
              <w:textAlignment w:val="auto"/>
              <w:outlineLvl w:val="9"/>
              <w:rPr>
                <w:rFonts w:hint="default" w:ascii="Times New Roman" w:hAnsi="Times New Roman" w:eastAsia="宋体" w:cs="Times New Roman"/>
                <w:snapToGrid w:val="0"/>
                <w:color w:val="auto"/>
                <w:kern w:val="0"/>
                <w:sz w:val="21"/>
                <w:szCs w:val="21"/>
                <w:lang w:val="en-US" w:eastAsia="zh-CN" w:bidi="ar-SA"/>
              </w:rPr>
            </w:pPr>
            <w:r>
              <w:rPr>
                <w:rFonts w:hint="default" w:ascii="Times New Roman" w:hAnsi="Times New Roman" w:eastAsia="宋体" w:cs="Times New Roman"/>
                <w:snapToGrid w:val="0"/>
                <w:color w:val="auto"/>
                <w:kern w:val="0"/>
                <w:sz w:val="21"/>
                <w:szCs w:val="21"/>
              </w:rPr>
              <w:t>东边界满足《社会生活环境 噪声排放标准》(GB22337-2008) 4类标准要求，其他三侧边界满足 2 类标准</w:t>
            </w:r>
          </w:p>
        </w:tc>
      </w:tr>
    </w:tbl>
    <w:p>
      <w:pPr>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59" w:name="_Toc11727"/>
      <w:r>
        <w:rPr>
          <w:rFonts w:hint="default" w:ascii="Times New Roman" w:hAnsi="Times New Roman" w:eastAsia="宋体" w:cs="Times New Roman"/>
          <w:color w:val="auto"/>
        </w:rPr>
        <w:t>6 质量保障措施和检测分析方法</w:t>
      </w:r>
      <w:bookmarkEnd w:id="59"/>
    </w:p>
    <w:p>
      <w:pPr>
        <w:spacing w:line="440" w:lineRule="atLeast"/>
        <w:ind w:firstLine="480" w:firstLineChars="200"/>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val="en-US" w:eastAsia="zh-CN"/>
        </w:rPr>
        <w:t>河北科友环保科技有限公司</w:t>
      </w:r>
      <w:r>
        <w:rPr>
          <w:rFonts w:hint="default" w:ascii="Times New Roman" w:hAnsi="Times New Roman" w:eastAsia="宋体" w:cs="Times New Roman"/>
          <w:color w:val="auto"/>
          <w:sz w:val="24"/>
          <w:szCs w:val="24"/>
        </w:rPr>
        <w:t>于20</w:t>
      </w:r>
      <w:r>
        <w:rPr>
          <w:rFonts w:hint="eastAsia" w:ascii="Times New Roman" w:hAnsi="Times New Roman" w:eastAsia="宋体" w:cs="Times New Roman"/>
          <w:color w:val="auto"/>
          <w:sz w:val="24"/>
          <w:szCs w:val="24"/>
          <w:lang w:val="en-US" w:eastAsia="zh-CN"/>
        </w:rPr>
        <w:t>20</w:t>
      </w:r>
      <w:r>
        <w:rPr>
          <w:rFonts w:hint="default" w:ascii="Times New Roman" w:hAnsi="Times New Roman" w:eastAsia="宋体" w:cs="Times New Roman"/>
          <w:color w:val="auto"/>
          <w:sz w:val="24"/>
          <w:szCs w:val="24"/>
        </w:rPr>
        <w:t>年</w:t>
      </w:r>
      <w:r>
        <w:rPr>
          <w:rFonts w:hint="eastAsia" w:ascii="Times New Roman" w:hAnsi="Times New Roman" w:eastAsia="宋体" w:cs="Times New Roman"/>
          <w:color w:val="auto"/>
          <w:sz w:val="24"/>
          <w:szCs w:val="24"/>
          <w:lang w:val="en-US" w:eastAsia="zh-CN"/>
        </w:rPr>
        <w:t>9</w:t>
      </w:r>
      <w:r>
        <w:rPr>
          <w:rFonts w:hint="default"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日至</w:t>
      </w:r>
      <w:r>
        <w:rPr>
          <w:rFonts w:hint="eastAsia" w:ascii="Times New Roman" w:hAnsi="Times New Roman" w:eastAsia="宋体" w:cs="Times New Roman"/>
          <w:color w:val="auto"/>
          <w:sz w:val="24"/>
          <w:szCs w:val="24"/>
          <w:lang w:val="en-US" w:eastAsia="zh-CN"/>
        </w:rPr>
        <w:t>7</w:t>
      </w:r>
      <w:r>
        <w:rPr>
          <w:rFonts w:hint="default" w:ascii="Times New Roman" w:hAnsi="Times New Roman" w:eastAsia="宋体" w:cs="Times New Roman"/>
          <w:color w:val="auto"/>
          <w:sz w:val="24"/>
          <w:szCs w:val="24"/>
        </w:rPr>
        <w:t>日进行了竣工验收检测并出具检测报告。</w:t>
      </w:r>
    </w:p>
    <w:p>
      <w:pPr>
        <w:pStyle w:val="5"/>
        <w:rPr>
          <w:rFonts w:hint="default" w:ascii="Times New Roman" w:hAnsi="Times New Roman" w:eastAsia="宋体" w:cs="Times New Roman"/>
          <w:color w:val="auto"/>
        </w:rPr>
      </w:pPr>
      <w:bookmarkStart w:id="60" w:name="_Toc22196"/>
      <w:r>
        <w:rPr>
          <w:rFonts w:hint="default" w:ascii="Times New Roman" w:hAnsi="Times New Roman" w:eastAsia="宋体" w:cs="Times New Roman"/>
          <w:color w:val="auto"/>
        </w:rPr>
        <w:t>6.1 质量保障体系</w:t>
      </w:r>
      <w:bookmarkEnd w:id="60"/>
    </w:p>
    <w:p>
      <w:pPr>
        <w:spacing w:line="440" w:lineRule="atLeast"/>
        <w:ind w:firstLine="480" w:firstLineChars="200"/>
        <w:rPr>
          <w:rFonts w:hint="default" w:ascii="Times New Roman" w:hAnsi="Times New Roman" w:eastAsia="宋体" w:cs="Times New Roman"/>
          <w:color w:val="auto"/>
          <w:sz w:val="24"/>
        </w:rPr>
      </w:pPr>
      <w:bookmarkStart w:id="61" w:name="_Toc349134675"/>
      <w:r>
        <w:rPr>
          <w:rFonts w:hint="default" w:ascii="Times New Roman" w:hAnsi="Times New Roman" w:eastAsia="宋体" w:cs="Times New Roman"/>
          <w:color w:val="auto"/>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（4）声级计测量前后均经标准声源校准且合格，测试时无雨雪，无雷电，风速小于5.0m/s。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（5）检测数据严格执行三级审核制度。</w:t>
      </w:r>
      <w:bookmarkEnd w:id="61"/>
    </w:p>
    <w:p>
      <w:pPr>
        <w:pStyle w:val="5"/>
        <w:rPr>
          <w:rFonts w:hint="default" w:ascii="Times New Roman" w:hAnsi="Times New Roman" w:eastAsia="宋体" w:cs="Times New Roman"/>
          <w:color w:val="auto"/>
        </w:rPr>
      </w:pPr>
      <w:bookmarkStart w:id="62" w:name="_Toc30605"/>
      <w:r>
        <w:rPr>
          <w:rFonts w:hint="default" w:ascii="Times New Roman" w:hAnsi="Times New Roman" w:eastAsia="宋体" w:cs="Times New Roman"/>
          <w:color w:val="auto"/>
        </w:rPr>
        <w:t>6.2 检测点位、项目及频次</w:t>
      </w:r>
      <w:bookmarkEnd w:id="62"/>
    </w:p>
    <w:p>
      <w:pPr>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表6-</w:t>
      </w:r>
      <w:r>
        <w:rPr>
          <w:rFonts w:hint="default" w:ascii="Times New Roman" w:hAnsi="Times New Roman" w:eastAsia="宋体" w:cs="Times New Roman"/>
          <w:b/>
          <w:color w:val="auto"/>
          <w:sz w:val="24"/>
          <w:szCs w:val="24"/>
          <w:lang w:val="en-US" w:eastAsia="zh-CN"/>
        </w:rPr>
        <w:t>1</w:t>
      </w:r>
      <w:r>
        <w:rPr>
          <w:rFonts w:hint="default" w:ascii="Times New Roman" w:hAnsi="Times New Roman" w:eastAsia="宋体" w:cs="Times New Roman"/>
          <w:b/>
          <w:color w:val="auto"/>
          <w:sz w:val="24"/>
          <w:szCs w:val="24"/>
        </w:rPr>
        <w:t xml:space="preserve">  检测点位、项目及频次</w:t>
      </w:r>
    </w:p>
    <w:tbl>
      <w:tblPr>
        <w:tblStyle w:val="3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56"/>
        <w:gridCol w:w="1506"/>
        <w:gridCol w:w="2454"/>
        <w:gridCol w:w="1661"/>
        <w:gridCol w:w="24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45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序号</w:t>
            </w:r>
          </w:p>
        </w:tc>
        <w:tc>
          <w:tcPr>
            <w:tcW w:w="150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监测类别</w:t>
            </w: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监测点位名称</w:t>
            </w:r>
          </w:p>
        </w:tc>
        <w:tc>
          <w:tcPr>
            <w:tcW w:w="1661"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监测因子</w:t>
            </w:r>
          </w:p>
        </w:tc>
        <w:tc>
          <w:tcPr>
            <w:tcW w:w="2445"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2" w:hRule="atLeast"/>
        </w:trPr>
        <w:tc>
          <w:tcPr>
            <w:tcW w:w="45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150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无组织废气</w:t>
            </w: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上风向1个参照点</w:t>
            </w:r>
          </w:p>
        </w:tc>
        <w:tc>
          <w:tcPr>
            <w:tcW w:w="1661"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非甲烷总</w:t>
            </w:r>
          </w:p>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烃、氮氧化</w:t>
            </w:r>
          </w:p>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物</w:t>
            </w:r>
            <w:r>
              <w:rPr>
                <w:rFonts w:hint="eastAsia" w:ascii="Times New Roman" w:hAnsi="Times New Roman" w:eastAsia="宋体" w:cs="Times New Roman"/>
                <w:color w:val="auto"/>
                <w:sz w:val="21"/>
                <w:szCs w:val="21"/>
                <w:lang w:eastAsia="zh-CN"/>
              </w:rPr>
              <w:t>、臭气浓度</w:t>
            </w:r>
          </w:p>
        </w:tc>
        <w:tc>
          <w:tcPr>
            <w:tcW w:w="2445" w:type="dxa"/>
            <w:vMerge w:val="restart"/>
            <w:vAlign w:val="center"/>
          </w:tcPr>
          <w:p>
            <w:pPr>
              <w:spacing w:after="0"/>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每天监测 4 次</w:t>
            </w:r>
          </w:p>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rPr>
              <w:t>监测 2 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下风向3个监控点</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auto"/>
                <w:sz w:val="21"/>
                <w:szCs w:val="21"/>
              </w:rPr>
            </w:pPr>
          </w:p>
        </w:tc>
        <w:tc>
          <w:tcPr>
            <w:tcW w:w="2445" w:type="dxa"/>
            <w:vMerge w:val="continue"/>
            <w:vAlign w:val="center"/>
          </w:tcPr>
          <w:p>
            <w:pPr>
              <w:spacing w:after="0"/>
              <w:jc w:val="center"/>
              <w:rPr>
                <w:rFonts w:hint="default" w:ascii="Times New Roman" w:hAnsi="Times New Roman" w:eastAsia="宋体" w:cs="Times New Roman"/>
                <w:color w:val="auto"/>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trPr>
        <w:tc>
          <w:tcPr>
            <w:tcW w:w="456" w:type="dxa"/>
            <w:vAlign w:val="center"/>
          </w:tcPr>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2</w:t>
            </w:r>
          </w:p>
        </w:tc>
        <w:tc>
          <w:tcPr>
            <w:tcW w:w="1506"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w:t>
            </w:r>
          </w:p>
        </w:tc>
        <w:tc>
          <w:tcPr>
            <w:tcW w:w="2454" w:type="dxa"/>
            <w:vAlign w:val="center"/>
          </w:tcPr>
          <w:p>
            <w:pPr>
              <w:pStyle w:val="119"/>
              <w:spacing w:after="0"/>
              <w:ind w:firstLine="0" w:firstLineChars="0"/>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化粪池出口</w:t>
            </w:r>
          </w:p>
        </w:tc>
        <w:tc>
          <w:tcPr>
            <w:tcW w:w="1661"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zh-CN"/>
              </w:rPr>
              <w:t>pH、化学需氧量、悬浮物、五日生化需氧量、氨氮、总氮、动植物油类</w:t>
            </w:r>
          </w:p>
        </w:tc>
        <w:tc>
          <w:tcPr>
            <w:tcW w:w="2445" w:type="dxa"/>
            <w:vAlign w:val="center"/>
          </w:tcPr>
          <w:p>
            <w:pPr>
              <w:spacing w:after="0"/>
              <w:jc w:val="center"/>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每天监测 4 次</w:t>
            </w:r>
          </w:p>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highlight w:val="none"/>
              </w:rPr>
              <w:t>监测 2 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trPr>
        <w:tc>
          <w:tcPr>
            <w:tcW w:w="45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val="en-US" w:eastAsia="zh-CN"/>
              </w:rPr>
              <w:t>3</w:t>
            </w:r>
          </w:p>
        </w:tc>
        <w:tc>
          <w:tcPr>
            <w:tcW w:w="1506"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东厂界▲1#</w:t>
            </w:r>
          </w:p>
        </w:tc>
        <w:tc>
          <w:tcPr>
            <w:tcW w:w="1661" w:type="dxa"/>
            <w:vMerge w:val="restart"/>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2445" w:type="dxa"/>
            <w:vMerge w:val="restart"/>
            <w:vAlign w:val="center"/>
          </w:tcPr>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昼、夜间各监测</w:t>
            </w:r>
          </w:p>
          <w:p>
            <w:pPr>
              <w:spacing w:after="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一次，监测 2 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4"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南厂界▲2#</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西厂界▲3#</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trPr>
        <w:tc>
          <w:tcPr>
            <w:tcW w:w="45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1506"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54" w:type="dxa"/>
            <w:vAlign w:val="center"/>
          </w:tcPr>
          <w:p>
            <w:pPr>
              <w:pStyle w:val="119"/>
              <w:spacing w:after="0"/>
              <w:ind w:firstLine="0" w:firstLine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北厂界▲4#</w:t>
            </w:r>
          </w:p>
        </w:tc>
        <w:tc>
          <w:tcPr>
            <w:tcW w:w="1661" w:type="dxa"/>
            <w:vMerge w:val="continue"/>
            <w:vAlign w:val="center"/>
          </w:tcPr>
          <w:p>
            <w:pPr>
              <w:pStyle w:val="119"/>
              <w:spacing w:after="0"/>
              <w:ind w:firstLine="0" w:firstLineChars="0"/>
              <w:jc w:val="center"/>
              <w:rPr>
                <w:rFonts w:hint="default" w:ascii="Times New Roman" w:hAnsi="Times New Roman" w:eastAsia="宋体" w:cs="Times New Roman"/>
                <w:color w:val="FF0000"/>
                <w:sz w:val="21"/>
                <w:szCs w:val="21"/>
              </w:rPr>
            </w:pPr>
          </w:p>
        </w:tc>
        <w:tc>
          <w:tcPr>
            <w:tcW w:w="2445" w:type="dxa"/>
            <w:vMerge w:val="continue"/>
            <w:vAlign w:val="center"/>
          </w:tcPr>
          <w:p>
            <w:pPr>
              <w:spacing w:after="0"/>
              <w:jc w:val="center"/>
              <w:rPr>
                <w:rFonts w:hint="default" w:ascii="Times New Roman" w:hAnsi="Times New Roman" w:eastAsia="宋体" w:cs="Times New Roman"/>
                <w:color w:val="FF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650" w:hRule="atLeast"/>
        </w:trPr>
        <w:tc>
          <w:tcPr>
            <w:tcW w:w="8522" w:type="dxa"/>
            <w:gridSpan w:val="5"/>
            <w:vAlign w:val="top"/>
          </w:tcPr>
          <w:p>
            <w:pPr>
              <w:keepNext w:val="0"/>
              <w:keepLines w:val="0"/>
              <w:pageBreakBefore w:val="0"/>
              <w:widowControl w:val="0"/>
              <w:numPr>
                <w:ilvl w:val="0"/>
                <w:numId w:val="4"/>
              </w:numPr>
              <w:kinsoku/>
              <w:wordWrap/>
              <w:overflowPunct/>
              <w:topLinePunct w:val="0"/>
              <w:autoSpaceDE/>
              <w:autoSpaceDN/>
              <w:bidi w:val="0"/>
              <w:adjustRightInd/>
              <w:snapToGrid/>
              <w:spacing w:after="0"/>
              <w:jc w:val="left"/>
              <w:textAlignment w:val="auto"/>
              <w:rPr>
                <w:rFonts w:hint="default"/>
              </w:rPr>
            </w:pPr>
            <w:r>
              <w:rPr>
                <w:rFonts w:hint="eastAsia"/>
                <w:lang w:val="en-US" w:eastAsia="zh-CN"/>
              </w:rPr>
              <w:t>噪声检测点位示意图</w:t>
            </w:r>
            <w:r>
              <w:drawing>
                <wp:inline distT="0" distB="0" distL="114300" distR="114300">
                  <wp:extent cx="3819525" cy="2266950"/>
                  <wp:effectExtent l="0" t="0" r="9525" b="0"/>
                  <wp:docPr id="3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9"/>
                          <pic:cNvPicPr>
                            <a:picLocks noChangeAspect="1"/>
                          </pic:cNvPicPr>
                        </pic:nvPicPr>
                        <pic:blipFill>
                          <a:blip r:embed="rId9"/>
                          <a:stretch>
                            <a:fillRect/>
                          </a:stretch>
                        </pic:blipFill>
                        <pic:spPr>
                          <a:xfrm>
                            <a:off x="0" y="0"/>
                            <a:ext cx="3819525" cy="2266950"/>
                          </a:xfrm>
                          <a:prstGeom prst="rect">
                            <a:avLst/>
                          </a:prstGeom>
                          <a:noFill/>
                          <a:ln>
                            <a:noFill/>
                          </a:ln>
                        </pic:spPr>
                      </pic:pic>
                    </a:graphicData>
                  </a:graphic>
                </wp:inline>
              </w:drawing>
            </w:r>
            <w:r>
              <w:drawing>
                <wp:inline distT="0" distB="0" distL="114300" distR="114300">
                  <wp:extent cx="2181225" cy="190500"/>
                  <wp:effectExtent l="0" t="0" r="9525" b="0"/>
                  <wp:docPr id="4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0"/>
                          <pic:cNvPicPr>
                            <a:picLocks noChangeAspect="1"/>
                          </pic:cNvPicPr>
                        </pic:nvPicPr>
                        <pic:blipFill>
                          <a:blip r:embed="rId10"/>
                          <a:stretch>
                            <a:fillRect/>
                          </a:stretch>
                        </pic:blipFill>
                        <pic:spPr>
                          <a:xfrm>
                            <a:off x="0" y="0"/>
                            <a:ext cx="2181225" cy="190500"/>
                          </a:xfrm>
                          <a:prstGeom prst="rect">
                            <a:avLst/>
                          </a:prstGeom>
                          <a:noFill/>
                          <a:ln>
                            <a:noFill/>
                          </a:ln>
                        </pic:spPr>
                      </pic:pic>
                    </a:graphicData>
                  </a:graphic>
                </wp:inline>
              </w:drawing>
            </w:r>
          </w:p>
          <w:p>
            <w:pPr>
              <w:pStyle w:val="2"/>
              <w:numPr>
                <w:ilvl w:val="0"/>
                <w:numId w:val="4"/>
              </w:numPr>
              <w:rPr>
                <w:rFonts w:hint="default"/>
              </w:rPr>
            </w:pPr>
            <w:r>
              <w:rPr>
                <w:rFonts w:hint="eastAsia"/>
                <w:lang w:val="en-US" w:eastAsia="zh-CN"/>
              </w:rPr>
              <w:drawing>
                <wp:anchor distT="0" distB="0" distL="114300" distR="114300" simplePos="0" relativeHeight="251788288" behindDoc="0" locked="0" layoutInCell="1" allowOverlap="1">
                  <wp:simplePos x="0" y="0"/>
                  <wp:positionH relativeFrom="column">
                    <wp:posOffset>93345</wp:posOffset>
                  </wp:positionH>
                  <wp:positionV relativeFrom="paragraph">
                    <wp:posOffset>2675890</wp:posOffset>
                  </wp:positionV>
                  <wp:extent cx="3028950" cy="3124200"/>
                  <wp:effectExtent l="0" t="0" r="0" b="0"/>
                  <wp:wrapNone/>
                  <wp:docPr id="4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3"/>
                          <pic:cNvPicPr>
                            <a:picLocks noChangeAspect="1"/>
                          </pic:cNvPicPr>
                        </pic:nvPicPr>
                        <pic:blipFill>
                          <a:blip r:embed="rId11">
                            <a:lum contrast="6000"/>
                          </a:blip>
                          <a:stretch>
                            <a:fillRect/>
                          </a:stretch>
                        </pic:blipFill>
                        <pic:spPr>
                          <a:xfrm>
                            <a:off x="0" y="0"/>
                            <a:ext cx="3028950" cy="3124200"/>
                          </a:xfrm>
                          <a:prstGeom prst="rect">
                            <a:avLst/>
                          </a:prstGeom>
                          <a:noFill/>
                          <a:ln>
                            <a:noFill/>
                          </a:ln>
                        </pic:spPr>
                      </pic:pic>
                    </a:graphicData>
                  </a:graphic>
                </wp:anchor>
              </w:drawing>
            </w:r>
            <w:r>
              <w:rPr>
                <w:rFonts w:hint="eastAsia"/>
                <w:lang w:val="en-US" w:eastAsia="zh-CN"/>
              </w:rPr>
              <w:drawing>
                <wp:anchor distT="0" distB="0" distL="114300" distR="114300" simplePos="0" relativeHeight="251787264" behindDoc="0" locked="0" layoutInCell="1" allowOverlap="1">
                  <wp:simplePos x="0" y="0"/>
                  <wp:positionH relativeFrom="column">
                    <wp:posOffset>-38735</wp:posOffset>
                  </wp:positionH>
                  <wp:positionV relativeFrom="paragraph">
                    <wp:posOffset>238125</wp:posOffset>
                  </wp:positionV>
                  <wp:extent cx="3286125" cy="3107690"/>
                  <wp:effectExtent l="0" t="0" r="9525" b="16510"/>
                  <wp:wrapNone/>
                  <wp:docPr id="4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1"/>
                          <pic:cNvPicPr>
                            <a:picLocks noChangeAspect="1"/>
                          </pic:cNvPicPr>
                        </pic:nvPicPr>
                        <pic:blipFill>
                          <a:blip r:embed="rId12">
                            <a:lum contrast="6000"/>
                          </a:blip>
                          <a:srcRect b="51949"/>
                          <a:stretch>
                            <a:fillRect/>
                          </a:stretch>
                        </pic:blipFill>
                        <pic:spPr>
                          <a:xfrm>
                            <a:off x="0" y="0"/>
                            <a:ext cx="3286125" cy="3107690"/>
                          </a:xfrm>
                          <a:prstGeom prst="rect">
                            <a:avLst/>
                          </a:prstGeom>
                          <a:noFill/>
                          <a:ln>
                            <a:noFill/>
                          </a:ln>
                        </pic:spPr>
                      </pic:pic>
                    </a:graphicData>
                  </a:graphic>
                </wp:anchor>
              </w:drawing>
            </w:r>
            <w:r>
              <w:rPr>
                <w:rFonts w:hint="eastAsia"/>
                <w:lang w:val="en-US" w:eastAsia="zh-CN"/>
              </w:rPr>
              <w:t>废气检测点位示意图</w:t>
            </w:r>
          </w:p>
        </w:tc>
      </w:tr>
    </w:tbl>
    <w:p>
      <w:pPr>
        <w:tabs>
          <w:tab w:val="left" w:pos="540"/>
        </w:tabs>
        <w:jc w:val="center"/>
        <w:rPr>
          <w:rFonts w:hint="default" w:ascii="Times New Roman" w:hAnsi="Times New Roman" w:eastAsia="宋体" w:cs="Times New Roman"/>
          <w:b/>
          <w:color w:val="FF0000"/>
          <w:sz w:val="24"/>
          <w:szCs w:val="24"/>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spacing w:line="440" w:lineRule="atLeast"/>
        <w:rPr>
          <w:rFonts w:hint="default" w:ascii="Times New Roman" w:hAnsi="Times New Roman" w:eastAsia="宋体" w:cs="Times New Roman"/>
          <w:color w:val="auto"/>
        </w:rPr>
      </w:pPr>
      <w:bookmarkStart w:id="63" w:name="_Toc14489"/>
      <w:r>
        <w:rPr>
          <w:rFonts w:hint="default" w:ascii="Times New Roman" w:hAnsi="Times New Roman" w:eastAsia="宋体" w:cs="Times New Roman"/>
          <w:color w:val="auto"/>
        </w:rPr>
        <w:t>7 验收检测结果及分析</w:t>
      </w:r>
      <w:bookmarkEnd w:id="63"/>
    </w:p>
    <w:p>
      <w:pPr>
        <w:pStyle w:val="5"/>
        <w:spacing w:line="440" w:lineRule="atLeast"/>
        <w:rPr>
          <w:rFonts w:hint="default" w:ascii="Times New Roman" w:hAnsi="Times New Roman" w:eastAsia="宋体" w:cs="Times New Roman"/>
          <w:color w:val="auto"/>
        </w:rPr>
      </w:pPr>
      <w:bookmarkStart w:id="64" w:name="_Toc26651"/>
      <w:r>
        <w:rPr>
          <w:rFonts w:hint="default" w:ascii="Times New Roman" w:hAnsi="Times New Roman" w:eastAsia="宋体" w:cs="Times New Roman"/>
          <w:color w:val="auto"/>
        </w:rPr>
        <w:t>7.1 检测结果</w:t>
      </w:r>
      <w:bookmarkEnd w:id="64"/>
    </w:p>
    <w:p>
      <w:pPr>
        <w:pStyle w:val="6"/>
        <w:spacing w:line="440" w:lineRule="atLeast"/>
        <w:rPr>
          <w:rFonts w:hint="default" w:ascii="Times New Roman" w:hAnsi="Times New Roman" w:eastAsia="宋体" w:cs="Times New Roman"/>
          <w:color w:val="auto"/>
        </w:rPr>
      </w:pPr>
      <w:bookmarkStart w:id="65" w:name="_Toc497001486"/>
      <w:bookmarkStart w:id="66" w:name="_Toc10580"/>
      <w:r>
        <w:rPr>
          <w:rFonts w:hint="default" w:ascii="Times New Roman" w:hAnsi="Times New Roman" w:eastAsia="宋体" w:cs="Times New Roman"/>
          <w:color w:val="auto"/>
        </w:rPr>
        <w:t>7.1.1 废气检测结果</w:t>
      </w:r>
      <w:bookmarkEnd w:id="65"/>
      <w:bookmarkEnd w:id="66"/>
    </w:p>
    <w:p>
      <w:pPr>
        <w:spacing w:line="400" w:lineRule="atLeast"/>
        <w:jc w:val="center"/>
        <w:rPr>
          <w:rFonts w:hint="default" w:ascii="Times New Roman" w:hAnsi="Times New Roman" w:eastAsia="宋体" w:cs="Times New Roman"/>
          <w:b/>
          <w:color w:val="auto"/>
          <w:sz w:val="24"/>
          <w:lang w:val="en-US" w:eastAsia="zh-CN"/>
        </w:rPr>
      </w:pPr>
      <w:r>
        <w:rPr>
          <w:rFonts w:hint="default" w:ascii="Times New Roman" w:hAnsi="Times New Roman" w:eastAsia="宋体" w:cs="Times New Roman"/>
          <w:b/>
          <w:color w:val="auto"/>
          <w:sz w:val="24"/>
          <w:lang w:val="en-US" w:eastAsia="zh-CN"/>
        </w:rPr>
        <w:t>表7-1  无组织废气监测结果</w:t>
      </w:r>
    </w:p>
    <w:p>
      <w:pPr>
        <w:pStyle w:val="6"/>
      </w:pPr>
      <w:bookmarkStart w:id="67" w:name="_Toc497001489"/>
      <w:bookmarkStart w:id="68" w:name="_Toc16224"/>
      <w:r>
        <w:drawing>
          <wp:inline distT="0" distB="0" distL="114300" distR="114300">
            <wp:extent cx="5000625" cy="6134100"/>
            <wp:effectExtent l="0" t="0" r="9525" b="0"/>
            <wp:docPr id="4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4"/>
                    <pic:cNvPicPr>
                      <a:picLocks noChangeAspect="1"/>
                    </pic:cNvPicPr>
                  </pic:nvPicPr>
                  <pic:blipFill>
                    <a:blip r:embed="rId13">
                      <a:lum bright="6000"/>
                    </a:blip>
                    <a:stretch>
                      <a:fillRect/>
                    </a:stretch>
                  </pic:blipFill>
                  <pic:spPr>
                    <a:xfrm>
                      <a:off x="0" y="0"/>
                      <a:ext cx="5000625" cy="6134100"/>
                    </a:xfrm>
                    <a:prstGeom prst="rect">
                      <a:avLst/>
                    </a:prstGeom>
                    <a:noFill/>
                    <a:ln>
                      <a:noFill/>
                    </a:ln>
                  </pic:spPr>
                </pic:pic>
              </a:graphicData>
            </a:graphic>
          </wp:inline>
        </w:drawing>
      </w:r>
    </w:p>
    <w:p>
      <w:pPr>
        <w:pStyle w:val="6"/>
      </w:pPr>
      <w:r>
        <w:drawing>
          <wp:inline distT="0" distB="0" distL="114300" distR="114300">
            <wp:extent cx="4972050" cy="3283585"/>
            <wp:effectExtent l="0" t="0" r="0" b="12065"/>
            <wp:docPr id="4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5"/>
                    <pic:cNvPicPr>
                      <a:picLocks noChangeAspect="1"/>
                    </pic:cNvPicPr>
                  </pic:nvPicPr>
                  <pic:blipFill>
                    <a:blip r:embed="rId14">
                      <a:lum bright="6000"/>
                    </a:blip>
                    <a:srcRect t="1223"/>
                    <a:stretch>
                      <a:fillRect/>
                    </a:stretch>
                  </pic:blipFill>
                  <pic:spPr>
                    <a:xfrm>
                      <a:off x="0" y="0"/>
                      <a:ext cx="4972050" cy="3283585"/>
                    </a:xfrm>
                    <a:prstGeom prst="rect">
                      <a:avLst/>
                    </a:prstGeom>
                    <a:noFill/>
                    <a:ln>
                      <a:noFill/>
                    </a:ln>
                  </pic:spPr>
                </pic:pic>
              </a:graphicData>
            </a:graphic>
          </wp:inline>
        </w:drawing>
      </w:r>
    </w:p>
    <w:p>
      <w:pPr>
        <w:pStyle w:val="6"/>
        <w:rPr>
          <w:rFonts w:hint="default" w:ascii="Times New Roman" w:hAnsi="Times New Roman" w:eastAsia="宋体" w:cs="Times New Roman"/>
          <w:color w:val="auto"/>
        </w:rPr>
      </w:pPr>
      <w:r>
        <w:rPr>
          <w:rFonts w:hint="default" w:ascii="Times New Roman" w:hAnsi="Times New Roman" w:eastAsia="宋体" w:cs="Times New Roman"/>
          <w:color w:val="auto"/>
        </w:rPr>
        <w:t>7.1.</w:t>
      </w:r>
      <w:r>
        <w:rPr>
          <w:rFonts w:hint="default" w:ascii="Times New Roman" w:hAnsi="Times New Roman" w:eastAsia="宋体" w:cs="Times New Roman"/>
          <w:color w:val="auto"/>
          <w:lang w:val="en-US" w:eastAsia="zh-CN"/>
        </w:rPr>
        <w:t>2</w:t>
      </w:r>
      <w:r>
        <w:rPr>
          <w:rFonts w:hint="default" w:ascii="Times New Roman" w:hAnsi="Times New Roman" w:eastAsia="宋体" w:cs="Times New Roman"/>
          <w:color w:val="auto"/>
        </w:rPr>
        <w:t xml:space="preserve"> 噪声检测结果</w:t>
      </w:r>
      <w:bookmarkEnd w:id="67"/>
      <w:bookmarkEnd w:id="68"/>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r>
        <w:rPr>
          <w:rFonts w:hint="default" w:ascii="Times New Roman" w:hAnsi="Times New Roman" w:eastAsia="宋体" w:cs="Times New Roman"/>
          <w:b/>
          <w:color w:val="auto"/>
          <w:sz w:val="24"/>
          <w:lang w:val="en-US" w:eastAsia="zh-CN"/>
        </w:rPr>
        <w:t xml:space="preserve">表7-2  厂界噪声监测结果       </w:t>
      </w:r>
      <w:r>
        <w:rPr>
          <w:rFonts w:hint="default" w:ascii="Times New Roman" w:hAnsi="Times New Roman" w:eastAsia="宋体" w:cs="Times New Roman"/>
          <w:color w:val="auto"/>
          <w:sz w:val="22"/>
          <w:szCs w:val="18"/>
        </w:rPr>
        <w:t>单位：dB(A)</w:t>
      </w: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r>
        <w:rPr>
          <w:rFonts w:hint="default" w:ascii="Times New Roman" w:hAnsi="Times New Roman" w:eastAsia="宋体" w:cs="Times New Roman"/>
          <w:color w:val="auto"/>
          <w:sz w:val="22"/>
          <w:szCs w:val="18"/>
        </w:rPr>
        <w:drawing>
          <wp:anchor distT="0" distB="0" distL="114300" distR="114300" simplePos="0" relativeHeight="251789312" behindDoc="0" locked="0" layoutInCell="1" allowOverlap="1">
            <wp:simplePos x="0" y="0"/>
            <wp:positionH relativeFrom="column">
              <wp:posOffset>36830</wp:posOffset>
            </wp:positionH>
            <wp:positionV relativeFrom="paragraph">
              <wp:posOffset>8890</wp:posOffset>
            </wp:positionV>
            <wp:extent cx="4919345" cy="1865630"/>
            <wp:effectExtent l="0" t="0" r="14605" b="1270"/>
            <wp:wrapNone/>
            <wp:docPr id="4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6"/>
                    <pic:cNvPicPr>
                      <a:picLocks noChangeAspect="1"/>
                    </pic:cNvPicPr>
                  </pic:nvPicPr>
                  <pic:blipFill>
                    <a:blip r:embed="rId15"/>
                    <a:stretch>
                      <a:fillRect/>
                    </a:stretch>
                  </pic:blipFill>
                  <pic:spPr>
                    <a:xfrm>
                      <a:off x="0" y="0"/>
                      <a:ext cx="4919345" cy="1865630"/>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p>
    <w:p>
      <w:pPr>
        <w:keepNext w:val="0"/>
        <w:keepLines w:val="0"/>
        <w:pageBreakBefore w:val="0"/>
        <w:widowControl w:val="0"/>
        <w:kinsoku/>
        <w:wordWrap/>
        <w:overflowPunct/>
        <w:topLinePunct w:val="0"/>
        <w:autoSpaceDE/>
        <w:autoSpaceDN/>
        <w:bidi w:val="0"/>
        <w:adjustRightInd/>
        <w:snapToGrid/>
        <w:spacing w:line="400" w:lineRule="atLeast"/>
        <w:jc w:val="center"/>
        <w:textAlignment w:val="auto"/>
        <w:outlineLvl w:val="9"/>
        <w:rPr>
          <w:rFonts w:hint="default" w:ascii="Times New Roman" w:hAnsi="Times New Roman" w:eastAsia="宋体" w:cs="Times New Roman"/>
          <w:color w:val="auto"/>
          <w:sz w:val="22"/>
          <w:szCs w:val="18"/>
        </w:rPr>
      </w:pPr>
    </w:p>
    <w:p>
      <w:pPr>
        <w:pStyle w:val="6"/>
        <w:rPr>
          <w:rFonts w:hint="default" w:ascii="Times New Roman" w:hAnsi="Times New Roman" w:eastAsia="宋体" w:cs="Times New Roman"/>
          <w:color w:val="auto"/>
        </w:rPr>
      </w:pPr>
      <w:bookmarkStart w:id="69" w:name="_Toc21828"/>
      <w:r>
        <w:rPr>
          <w:rFonts w:hint="default" w:ascii="Times New Roman" w:hAnsi="Times New Roman" w:eastAsia="宋体" w:cs="Times New Roman"/>
          <w:color w:val="auto"/>
        </w:rPr>
        <w:t>7.1.</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废水</w:t>
      </w:r>
      <w:r>
        <w:rPr>
          <w:rFonts w:hint="default" w:ascii="Times New Roman" w:hAnsi="Times New Roman" w:eastAsia="宋体" w:cs="Times New Roman"/>
          <w:color w:val="auto"/>
        </w:rPr>
        <w:t>检测结果</w:t>
      </w:r>
      <w:bookmarkEnd w:id="69"/>
    </w:p>
    <w:p>
      <w:pPr>
        <w:spacing w:line="400" w:lineRule="atLeast"/>
        <w:jc w:val="center"/>
        <w:rPr>
          <w:rFonts w:hint="default" w:ascii="Times New Roman" w:hAnsi="Times New Roman" w:eastAsia="宋体" w:cs="Times New Roman"/>
          <w:color w:val="auto"/>
          <w:sz w:val="22"/>
          <w:szCs w:val="18"/>
        </w:rPr>
      </w:pPr>
      <w:r>
        <w:rPr>
          <w:rFonts w:hint="default" w:ascii="Times New Roman" w:hAnsi="Times New Roman" w:eastAsia="宋体" w:cs="Times New Roman"/>
          <w:b/>
          <w:color w:val="auto"/>
          <w:sz w:val="24"/>
          <w:lang w:val="en-US" w:eastAsia="zh-CN"/>
        </w:rPr>
        <w:t>表7-3  废水监测结果</w:t>
      </w:r>
      <w:r>
        <w:rPr>
          <w:rFonts w:hint="default" w:ascii="Times New Roman" w:hAnsi="Times New Roman" w:eastAsia="宋体" w:cs="Times New Roman"/>
          <w:b/>
          <w:color w:val="auto"/>
          <w:sz w:val="24"/>
          <w:lang w:val="en-US" w:eastAsia="zh-CN"/>
        </w:rPr>
        <w:drawing>
          <wp:inline distT="0" distB="0" distL="114300" distR="114300">
            <wp:extent cx="4667250" cy="6172200"/>
            <wp:effectExtent l="0" t="0" r="0" b="0"/>
            <wp:docPr id="4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7"/>
                    <pic:cNvPicPr>
                      <a:picLocks noChangeAspect="1"/>
                    </pic:cNvPicPr>
                  </pic:nvPicPr>
                  <pic:blipFill>
                    <a:blip r:embed="rId16"/>
                    <a:stretch>
                      <a:fillRect/>
                    </a:stretch>
                  </pic:blipFill>
                  <pic:spPr>
                    <a:xfrm>
                      <a:off x="0" y="0"/>
                      <a:ext cx="4667250" cy="6172200"/>
                    </a:xfrm>
                    <a:prstGeom prst="rect">
                      <a:avLst/>
                    </a:prstGeom>
                    <a:noFill/>
                    <a:ln>
                      <a:noFill/>
                    </a:ln>
                  </pic:spPr>
                </pic:pic>
              </a:graphicData>
            </a:graphic>
          </wp:inline>
        </w:drawing>
      </w:r>
    </w:p>
    <w:p>
      <w:pPr>
        <w:pStyle w:val="5"/>
        <w:keepNext w:val="0"/>
        <w:keepLines w:val="0"/>
        <w:pageBreakBefore w:val="0"/>
        <w:kinsoku/>
        <w:wordWrap/>
        <w:overflowPunct/>
        <w:topLinePunct w:val="0"/>
        <w:autoSpaceDE/>
        <w:autoSpaceDN/>
        <w:bidi w:val="0"/>
        <w:adjustRightInd/>
        <w:snapToGrid/>
        <w:spacing w:line="360" w:lineRule="auto"/>
        <w:ind w:left="0" w:leftChars="0" w:right="0" w:rightChars="0"/>
        <w:rPr>
          <w:rFonts w:hint="default" w:ascii="Times New Roman" w:hAnsi="Times New Roman" w:eastAsia="宋体" w:cs="Times New Roman"/>
          <w:color w:val="auto"/>
        </w:rPr>
      </w:pPr>
      <w:bookmarkStart w:id="70" w:name="_Toc7147"/>
      <w:r>
        <w:rPr>
          <w:rFonts w:hint="default" w:ascii="Times New Roman" w:hAnsi="Times New Roman" w:eastAsia="宋体" w:cs="Times New Roman"/>
          <w:color w:val="auto"/>
        </w:rPr>
        <w:t>7.2 检测结果分析</w:t>
      </w:r>
      <w:bookmarkEnd w:id="70"/>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eastAsia" w:ascii="Times New Roman" w:hAnsi="Times New Roman" w:cs="Times New Roman"/>
          <w:color w:val="auto"/>
          <w:sz w:val="24"/>
          <w:szCs w:val="24"/>
          <w:lang w:val="en-US" w:eastAsia="zh-CN"/>
        </w:rPr>
        <w:t>1、</w:t>
      </w:r>
      <w:r>
        <w:rPr>
          <w:rFonts w:hint="default" w:ascii="Times New Roman" w:hAnsi="Times New Roman" w:eastAsia="宋体" w:cs="Times New Roman"/>
          <w:color w:val="auto"/>
          <w:sz w:val="24"/>
          <w:szCs w:val="24"/>
        </w:rPr>
        <w:t>废水：本项目产生的废水主要是居民产生的生活污水及商业废水。商业废水及生活污水一起进入化粪池，经化粪池处理后经市政污水管网排入盐山县城市污水处理厂处理。外排废水经城市污水管网进入盐山县城市污水处理厂处理，不直接外排。经检测，废水pH、化学需氧量、悬浮物、五日生化需氧量、氨氮、总氮、动植物油符合《污水综合排放标准》(GB8978-1996)中表4三级标准，同时满足盐山县城市污水处理厂进水水质要求。（即pH为6-9（无量纲），化学需氧量≤400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，悬浮物≤200mg/m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，五日生化需氧量≤200mg/m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，氨氮≤35mg/m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，动植物油≤100mg/m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w:t>
      </w:r>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废气：本项目产生的废气主要是汽车尾气、垃圾恶臭。a、汽车尾气。本项目设置地下停车场停车场内会排放少量汽车尾气。项目停车场为地下停车场，地下停车场设置独立的送排风系统，汽车尾气扩散条件较好，并作消声处理。项目道路两旁进行绿化景观处理，对排放尾气起到一定的吸收净化作用。b、垃圾中转及公厕恶臭。本项目采用专用垃圾收集箱及塑料垃圾收集袋，收集的垃圾定期由专职人员清运，做到日产日清，不积存。装车清运时将专用垃圾收集箱及塑料垃圾收集袋里的垃圾直接装入垃圾运输车，整个过程垃圾不外露，能够减轻垃圾臭气对附近环境（尤其是居民住宅）的影响。经检测，无组织废气非甲烷总烃、氮氧化物排放符合《大气污染物综合排放标准》（GB16297-1996）表 2 无组织排放监控浓度限值要求（即非甲烷总烃浓度限值：≤4.0mg/m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，氮氧化物浓度限值≤0.12mg/m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），臭气浓度排放符合《恶臭污染物排放标准》（GB14554-93）表1二级标准相应值（即臭气浓度限值≤20（无量纲））；</w:t>
      </w:r>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噪声：项目产生的噪声主要是加压水泵、地下停车场排风机、电梯等设备产生的噪声，小区内居民生活噪声和机动车噪声。a、加压水泵房水泵、地下停车场排风机运行时产生的噪声。本项目采取地下布置，设备间设吸声板及隔声门进行隔声降噪，水泵设基础减振。b、为降低电梯房噪声，项目电梯间设吸音板及隔声门进行隔声降噪。c、为避免使小区内声环境受到机动车影响，小区管理部门应采取有效措施控制机动车进入小区内部。小区内道路设置缓冲带，使车辆进入小区后降低速度，以减少噪声。小区内设立机动车禁鸣标志。d、商业噪声主要来源于人员的喧哗声和日常营业噪声。加强管理，减少商业噪声。本项目通过采用低噪声设备、墙体内壁吸声等降噪措施，再经距离衰减后，设备噪声对距离最近的居民住宅贡献值较小，对周围居民住宅声环境质量变化影响不大。经检测，东边界满足《社会生活环境噪声排放标准》(GB22337-2008)4类标准要求（昼间≤70dB(A) 夜间≤55dB(A)），其他三侧边界满足2类标准（昼间≤60dB(A) 夜间≤50dB(A)）。</w:t>
      </w:r>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FF0000"/>
          <w:sz w:val="24"/>
          <w:szCs w:val="24"/>
        </w:rPr>
      </w:pPr>
    </w:p>
    <w:p>
      <w:pPr>
        <w:pStyle w:val="2"/>
        <w:keepNext w:val="0"/>
        <w:keepLines w:val="0"/>
        <w:pageBreakBefore w:val="0"/>
        <w:kinsoku/>
        <w:wordWrap/>
        <w:overflowPunct/>
        <w:topLinePunct w:val="0"/>
        <w:autoSpaceDE/>
        <w:autoSpaceDN/>
        <w:bidi w:val="0"/>
        <w:adjustRightInd/>
        <w:snapToGrid/>
        <w:spacing w:after="0" w:line="360" w:lineRule="auto"/>
        <w:ind w:firstLine="480" w:firstLineChars="200"/>
        <w:jc w:val="both"/>
        <w:rPr>
          <w:rFonts w:hint="default" w:ascii="Times New Roman" w:hAnsi="Times New Roman" w:eastAsia="宋体" w:cs="Times New Roman"/>
          <w:color w:val="FF0000"/>
          <w:sz w:val="24"/>
          <w:szCs w:val="24"/>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rPr>
          <w:rFonts w:hint="default" w:ascii="Times New Roman" w:hAnsi="Times New Roman" w:eastAsia="宋体" w:cs="Times New Roman"/>
          <w:color w:val="auto"/>
        </w:rPr>
      </w:pPr>
      <w:bookmarkStart w:id="71" w:name="_Toc15787"/>
      <w:r>
        <w:rPr>
          <w:rFonts w:hint="default" w:ascii="Times New Roman" w:hAnsi="Times New Roman" w:eastAsia="宋体" w:cs="Times New Roman"/>
          <w:color w:val="auto"/>
        </w:rPr>
        <w:t>8 环境管理检查</w:t>
      </w:r>
      <w:bookmarkEnd w:id="71"/>
    </w:p>
    <w:p>
      <w:pPr>
        <w:pStyle w:val="5"/>
        <w:rPr>
          <w:rFonts w:hint="default" w:ascii="Times New Roman" w:hAnsi="Times New Roman" w:eastAsia="宋体" w:cs="Times New Roman"/>
          <w:color w:val="auto"/>
        </w:rPr>
      </w:pPr>
      <w:bookmarkStart w:id="72" w:name="_Toc2880"/>
      <w:r>
        <w:rPr>
          <w:rFonts w:hint="default" w:ascii="Times New Roman" w:hAnsi="Times New Roman" w:eastAsia="宋体" w:cs="Times New Roman"/>
          <w:color w:val="auto"/>
        </w:rPr>
        <w:t>8.1 环保管理机构</w:t>
      </w:r>
      <w:bookmarkEnd w:id="72"/>
    </w:p>
    <w:p>
      <w:pPr>
        <w:spacing w:line="480" w:lineRule="atLeast"/>
        <w:ind w:firstLine="480" w:firstLineChars="200"/>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eastAsia="zh-CN"/>
        </w:rPr>
        <w:t>盐山县泰达房地产开发有限公司</w:t>
      </w:r>
      <w:r>
        <w:rPr>
          <w:rFonts w:hint="default" w:ascii="Times New Roman" w:hAnsi="Times New Roman" w:eastAsia="宋体" w:cs="Times New Roman"/>
          <w:color w:val="auto"/>
          <w:sz w:val="24"/>
          <w:szCs w:val="24"/>
        </w:rPr>
        <w:t>环境管理由公司</w:t>
      </w:r>
      <w:r>
        <w:rPr>
          <w:rFonts w:hint="default" w:ascii="Times New Roman" w:hAnsi="Times New Roman" w:eastAsia="宋体" w:cs="Times New Roman"/>
          <w:color w:val="auto"/>
          <w:sz w:val="24"/>
          <w:szCs w:val="24"/>
          <w:lang w:val="en-US" w:eastAsia="zh-CN"/>
        </w:rPr>
        <w:t>管理科</w:t>
      </w:r>
      <w:r>
        <w:rPr>
          <w:rFonts w:hint="default" w:ascii="Times New Roman" w:hAnsi="Times New Roman" w:eastAsia="宋体" w:cs="Times New Roman"/>
          <w:color w:val="auto"/>
          <w:sz w:val="24"/>
          <w:szCs w:val="24"/>
        </w:rPr>
        <w:t>负责监督，负责工程环境管理工作，定期进行巡检环境影响情况，及时处理环境问题，并进行有关环境保护法规宣传工作。</w:t>
      </w:r>
    </w:p>
    <w:p>
      <w:pPr>
        <w:pStyle w:val="5"/>
        <w:rPr>
          <w:rFonts w:hint="default" w:ascii="Times New Roman" w:hAnsi="Times New Roman" w:eastAsia="宋体" w:cs="Times New Roman"/>
          <w:snapToGrid w:val="0"/>
          <w:color w:val="auto"/>
        </w:rPr>
      </w:pPr>
      <w:bookmarkStart w:id="73" w:name="_Toc412705194"/>
      <w:bookmarkStart w:id="74" w:name="_Toc294178076"/>
      <w:bookmarkStart w:id="75" w:name="_Toc3637"/>
      <w:r>
        <w:rPr>
          <w:rFonts w:hint="default" w:ascii="Times New Roman" w:hAnsi="Times New Roman" w:eastAsia="宋体" w:cs="Times New Roman"/>
          <w:snapToGrid w:val="0"/>
          <w:color w:val="auto"/>
        </w:rPr>
        <w:t>8.2 施工期环境管理</w:t>
      </w:r>
      <w:bookmarkEnd w:id="73"/>
      <w:bookmarkEnd w:id="74"/>
      <w:bookmarkEnd w:id="75"/>
    </w:p>
    <w:p>
      <w:pPr>
        <w:spacing w:line="480" w:lineRule="atLeast"/>
        <w:ind w:firstLine="482"/>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本工程在施工招标文件中严格要求施工单位按设计文件施工，特别是按环保设计要求提出的措施要求进行施工。</w:t>
      </w:r>
    </w:p>
    <w:p>
      <w:pPr>
        <w:pStyle w:val="5"/>
        <w:rPr>
          <w:rFonts w:hint="default" w:ascii="Times New Roman" w:hAnsi="Times New Roman" w:eastAsia="宋体" w:cs="Times New Roman"/>
          <w:color w:val="auto"/>
        </w:rPr>
      </w:pPr>
      <w:bookmarkStart w:id="76" w:name="_Toc30117"/>
      <w:bookmarkStart w:id="77" w:name="_Toc294178077"/>
      <w:bookmarkStart w:id="78" w:name="_Toc412705195"/>
      <w:r>
        <w:rPr>
          <w:rFonts w:hint="default" w:ascii="Times New Roman" w:hAnsi="Times New Roman" w:eastAsia="宋体" w:cs="Times New Roman"/>
          <w:color w:val="auto"/>
        </w:rPr>
        <w:t>8.3 运行期环境管理</w:t>
      </w:r>
      <w:bookmarkEnd w:id="76"/>
      <w:bookmarkEnd w:id="77"/>
      <w:bookmarkEnd w:id="78"/>
    </w:p>
    <w:p>
      <w:pPr>
        <w:spacing w:line="480" w:lineRule="atLeast"/>
        <w:ind w:firstLine="480" w:firstLineChars="200"/>
        <w:rPr>
          <w:rFonts w:hint="default" w:ascii="Times New Roman" w:hAnsi="Times New Roman" w:eastAsia="宋体" w:cs="Times New Roman"/>
          <w:color w:val="auto"/>
          <w:sz w:val="24"/>
          <w:szCs w:val="24"/>
        </w:rPr>
      </w:pPr>
      <w:bookmarkStart w:id="79" w:name="_Toc294178078"/>
      <w:r>
        <w:rPr>
          <w:rFonts w:hint="eastAsia" w:ascii="Times New Roman" w:hAnsi="Times New Roman" w:eastAsia="宋体" w:cs="Times New Roman"/>
          <w:color w:val="auto"/>
          <w:sz w:val="24"/>
          <w:szCs w:val="24"/>
          <w:lang w:eastAsia="zh-CN"/>
        </w:rPr>
        <w:t>盐山县泰达房地产开发有限公司</w:t>
      </w:r>
      <w:r>
        <w:rPr>
          <w:rFonts w:hint="default" w:ascii="Times New Roman" w:hAnsi="Times New Roman" w:eastAsia="宋体" w:cs="Times New Roman"/>
          <w:color w:val="auto"/>
          <w:sz w:val="24"/>
          <w:szCs w:val="24"/>
        </w:rPr>
        <w:t>设立专门的环境管理部门，配备相应专业的管理人员，负责监督国家法规、条例的贯彻执行情况，制订和贯彻环保管理制度，监控本工程的主要污染，对各部门、操作岗位进行环境保护监督和考核。</w:t>
      </w:r>
    </w:p>
    <w:bookmarkEnd w:id="79"/>
    <w:p>
      <w:pPr>
        <w:pStyle w:val="5"/>
        <w:spacing w:line="440" w:lineRule="atLeast"/>
        <w:rPr>
          <w:rFonts w:hint="default" w:ascii="Times New Roman" w:hAnsi="Times New Roman" w:eastAsia="宋体" w:cs="Times New Roman"/>
          <w:color w:val="auto"/>
        </w:rPr>
      </w:pPr>
      <w:bookmarkStart w:id="80" w:name="_Toc5148"/>
      <w:bookmarkStart w:id="81" w:name="_Toc414220602"/>
      <w:bookmarkStart w:id="82" w:name="_Toc412705196"/>
      <w:bookmarkStart w:id="83" w:name="_Toc412705199"/>
      <w:bookmarkStart w:id="84" w:name="_Toc414220604"/>
      <w:r>
        <w:rPr>
          <w:rFonts w:hint="default" w:ascii="Times New Roman" w:hAnsi="Times New Roman" w:eastAsia="宋体" w:cs="Times New Roman"/>
          <w:color w:val="auto"/>
        </w:rPr>
        <w:t>8.4 社会环境影响情况调查</w:t>
      </w:r>
      <w:bookmarkEnd w:id="80"/>
      <w:bookmarkEnd w:id="81"/>
      <w:bookmarkEnd w:id="82"/>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经咨询当地环保主管部门，项目建设及试运行期间未发生扰民和公众投诉意见。</w:t>
      </w:r>
    </w:p>
    <w:p>
      <w:pPr>
        <w:pStyle w:val="5"/>
        <w:rPr>
          <w:rFonts w:hint="default" w:ascii="Times New Roman" w:hAnsi="Times New Roman" w:eastAsia="宋体" w:cs="Times New Roman"/>
          <w:color w:val="auto"/>
        </w:rPr>
      </w:pPr>
      <w:bookmarkStart w:id="85" w:name="_Toc2387"/>
      <w:r>
        <w:rPr>
          <w:rFonts w:hint="default" w:ascii="Times New Roman" w:hAnsi="Times New Roman" w:eastAsia="宋体" w:cs="Times New Roman"/>
          <w:color w:val="auto"/>
        </w:rPr>
        <w:t>8.5 环境管理情况分析</w:t>
      </w:r>
      <w:bookmarkEnd w:id="83"/>
      <w:bookmarkEnd w:id="84"/>
      <w:bookmarkEnd w:id="85"/>
    </w:p>
    <w:p>
      <w:pPr>
        <w:spacing w:line="48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建设单位设置了相应的环境管理机构，并且正常履行了施工期和运行期的环境职责，运行初期的检测工作也已经完成，后续检测计划按周期正常进行。</w:t>
      </w:r>
    </w:p>
    <w:p>
      <w:pPr>
        <w:rPr>
          <w:rFonts w:hint="default" w:ascii="Times New Roman" w:hAnsi="Times New Roman" w:eastAsia="宋体" w:cs="Times New Roman"/>
          <w:color w:val="auto"/>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pStyle w:val="4"/>
        <w:keepNext w:val="0"/>
        <w:keepLines w:val="0"/>
        <w:pageBreakBefore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color w:val="auto"/>
        </w:rPr>
      </w:pPr>
      <w:bookmarkStart w:id="86" w:name="_Toc2827"/>
      <w:r>
        <w:rPr>
          <w:rFonts w:hint="default" w:ascii="Times New Roman" w:hAnsi="Times New Roman" w:eastAsia="宋体" w:cs="Times New Roman"/>
          <w:color w:val="auto"/>
        </w:rPr>
        <w:t>9 结论和建议</w:t>
      </w:r>
      <w:bookmarkEnd w:id="86"/>
    </w:p>
    <w:p>
      <w:pPr>
        <w:pStyle w:val="5"/>
        <w:keepNext w:val="0"/>
        <w:keepLines w:val="0"/>
        <w:pageBreakBefore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Times New Roman"/>
          <w:color w:val="auto"/>
        </w:rPr>
      </w:pPr>
      <w:bookmarkStart w:id="87" w:name="_Toc10295"/>
      <w:r>
        <w:rPr>
          <w:rFonts w:hint="default" w:ascii="Times New Roman" w:hAnsi="Times New Roman" w:eastAsia="宋体" w:cs="Times New Roman"/>
          <w:color w:val="auto"/>
        </w:rPr>
        <w:t>9.1 验收主要结论</w:t>
      </w:r>
      <w:bookmarkEnd w:id="87"/>
    </w:p>
    <w:p>
      <w:pPr>
        <w:spacing w:line="480" w:lineRule="atLeast"/>
        <w:ind w:firstLine="480" w:firstLineChars="200"/>
        <w:rPr>
          <w:rFonts w:hint="default" w:ascii="Times New Roman" w:hAnsi="Times New Roman" w:eastAsia="宋体" w:cs="Times New Roman"/>
          <w:color w:val="auto"/>
          <w:sz w:val="24"/>
          <w:szCs w:val="24"/>
          <w:lang w:val="en-US" w:eastAsia="zh-CN"/>
        </w:rPr>
      </w:pPr>
      <w:bookmarkStart w:id="88" w:name="_Hlk496999304"/>
      <w:r>
        <w:rPr>
          <w:rFonts w:hint="default" w:ascii="Times New Roman" w:hAnsi="Times New Roman" w:eastAsia="宋体" w:cs="Times New Roman"/>
          <w:color w:val="auto"/>
          <w:sz w:val="24"/>
          <w:szCs w:val="24"/>
          <w:lang w:val="en-US" w:eastAsia="zh-CN"/>
        </w:rPr>
        <w:t>1、废水：本项目产生的废水主要是居民产生的生活污水及商业废水。商业废水及生活污水一起进入化粪池，经化粪池处理后经市政污水管网排入盐山县城市污水处理厂处理。外排废水经城市污水管网进入盐山县城市污水处理厂处理，不直接外排。经检测，废水 pH、化学需氧量、悬浮物、五日生化需氧量、氨氮、总氮、动植物油符合《污水综合排放标准》(GB8978-1996)中表4三级标准，同时满足盐山县城市污水处理厂进水水质要求。（即pH为6-9（无量纲），化学需氧量≤400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，悬浮物≤200mg/m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，五日生化需氧量≤200mg/m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，氨氮≤35mg/m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，动植物油≤100mg/m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p>
    <w:p>
      <w:pPr>
        <w:spacing w:line="48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废气：本项目产生的废气主要是汽车尾气、垃圾恶臭。a、汽车尾气。本项目设置地下停车场停车场内会排放少量汽车尾气。项目停车场为地下停车场，地下停车场设置独立的送排风系统，汽车尾气扩散条件较好，并作消声处理。项目道路两旁进行绿化景观处理，对排放尾气起到一定的吸收净化作用。b、垃圾中转及公厕恶臭。本项目采用专用垃圾收集箱及塑料垃圾收集袋，收集的垃圾定期由专职人员清运，做到日产日清，不积存。装车清运时将专用垃圾收集箱及塑料垃圾收集袋里的垃圾直接装入垃圾运输车，整个过程垃圾不外露，能够减轻垃圾臭气对附近环境（尤其是居民住宅）的影响。经检测，无组织废气非甲烷总烃、氮氧化物排放符合《大气污染物综合排放标准》（GB16297-1996）表 2 无组织排放监控浓度限值要求（即非甲烷总烃浓度限值：≤4.0mg/m3，氮氧化物浓度限值≤0.12mg/m3），臭气浓度排放符合《恶臭污染物排放标准》（GB14554-93）表1二级标准相应值（即臭气浓度限值≤20（无量纲））</w:t>
      </w:r>
      <w:r>
        <w:rPr>
          <w:rFonts w:hint="eastAsia" w:ascii="Times New Roman" w:hAnsi="Times New Roman" w:eastAsia="宋体" w:cs="Times New Roman"/>
          <w:color w:val="auto"/>
          <w:sz w:val="24"/>
          <w:szCs w:val="24"/>
          <w:lang w:val="en-US" w:eastAsia="zh-CN"/>
        </w:rPr>
        <w:t>。</w:t>
      </w:r>
    </w:p>
    <w:p>
      <w:pPr>
        <w:spacing w:line="48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3、噪声：项目产生的噪声主要是加压水泵、地下停车场排风机、电梯等设备产生的噪声，小区内居民生活噪声和机动车噪声。a、加压水泵房水泵、地下停车场排风机运行时产生的噪声。本项目采取地下布置，设备间设吸声板及隔声门进行隔声降噪，水泵设基础减振。b、为降低电梯房噪声，项目电梯间设吸音板及隔声门进行隔声降噪。c、为避免使小区内声环境受到机动车影响，小区管理部门应采取有效措施控制机动车进入小区内部。小区内道路设置缓冲带，使车辆进入小区后降低速度，以减少噪声。小区内设立机动车禁鸣标志。d、商业噪声主要来源于人员的喧哗声和日常营业噪声。加强管理，减少商业噪声。本项目通过采用低噪声设备、墙体内壁吸声等降噪措施，再经距离衰减后，设备噪声对距离最近的居民住宅贡献值较小，对周围居民住宅声环境质量变化影响不大。经检测，东边界满足《社会生活环境噪声排放标准》(GB22337-2008)4类标准要求（昼间≤70dB(A) 夜间≤55dB(A)），其他三侧边界满足2类标准（昼间≤60dB(A) 夜间≤50dB(A)）。</w:t>
      </w:r>
    </w:p>
    <w:p>
      <w:pPr>
        <w:spacing w:line="48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4、固废：本项目固废主要是商业垃圾和小区居民产生的生活垃圾。生活垃圾、商业垃圾采用垃圾袋装，通过垃圾箱分类收集，能利用的回收利用，不能利用的由物业管理部门通过垃圾收集、清运并由盐山县市容部门统一处理。</w:t>
      </w:r>
    </w:p>
    <w:p>
      <w:pPr>
        <w:pStyle w:val="6"/>
        <w:keepNext w:val="0"/>
        <w:keepLines w:val="0"/>
        <w:pageBreakBefore w:val="0"/>
        <w:kinsoku/>
        <w:wordWrap/>
        <w:overflowPunct/>
        <w:topLinePunct w:val="0"/>
        <w:autoSpaceDE/>
        <w:autoSpaceDN/>
        <w:bidi w:val="0"/>
        <w:adjustRightInd/>
        <w:snapToGrid/>
        <w:spacing w:line="360" w:lineRule="auto"/>
        <w:ind w:left="0" w:leftChars="0" w:right="0" w:rightChars="0"/>
        <w:jc w:val="both"/>
        <w:textAlignment w:val="auto"/>
        <w:rPr>
          <w:rFonts w:hint="default" w:ascii="Times New Roman" w:hAnsi="Times New Roman" w:eastAsia="宋体" w:cs="Times New Roman"/>
          <w:color w:val="auto"/>
          <w:kern w:val="2"/>
          <w:sz w:val="24"/>
          <w:szCs w:val="24"/>
          <w:lang w:val="en-US" w:eastAsia="zh-CN" w:bidi="ar-SA"/>
        </w:rPr>
      </w:pPr>
      <w:bookmarkStart w:id="89" w:name="_Toc12727"/>
      <w:r>
        <w:rPr>
          <w:rFonts w:hint="default" w:ascii="Times New Roman" w:hAnsi="Times New Roman" w:eastAsia="宋体" w:cs="Times New Roman"/>
          <w:color w:val="auto"/>
          <w:lang w:val="en-US" w:eastAsia="zh-CN"/>
        </w:rPr>
        <w:t>9.1</w:t>
      </w:r>
      <w:r>
        <w:rPr>
          <w:rFonts w:hint="default" w:ascii="Times New Roman" w:hAnsi="Times New Roman" w:eastAsia="宋体" w:cs="Times New Roman"/>
          <w:color w:val="auto"/>
        </w:rPr>
        <w:t>.</w:t>
      </w:r>
      <w:r>
        <w:rPr>
          <w:rFonts w:hint="default" w:ascii="Times New Roman" w:hAnsi="Times New Roman" w:eastAsia="宋体" w:cs="Times New Roman"/>
          <w:color w:val="auto"/>
          <w:lang w:val="en-US" w:eastAsia="zh-CN"/>
        </w:rPr>
        <w:t>3</w:t>
      </w:r>
      <w:r>
        <w:rPr>
          <w:rFonts w:hint="default" w:ascii="Times New Roman" w:hAnsi="Times New Roman" w:eastAsia="宋体" w:cs="Times New Roman"/>
          <w:color w:val="auto"/>
        </w:rPr>
        <w:t xml:space="preserve"> </w:t>
      </w:r>
      <w:r>
        <w:rPr>
          <w:rFonts w:hint="default" w:ascii="Times New Roman" w:hAnsi="Times New Roman" w:eastAsia="宋体" w:cs="Times New Roman"/>
          <w:color w:val="auto"/>
          <w:lang w:val="en-US" w:eastAsia="zh-CN"/>
        </w:rPr>
        <w:t>验收结论</w:t>
      </w:r>
      <w:bookmarkEnd w:id="89"/>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firstLine="480" w:firstLineChars="200"/>
        <w:jc w:val="both"/>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综上分析，项目已按环评及批复要求进行了环境保护设施建设，根据监测结果可满足相关环境排放标准要求。</w:t>
      </w:r>
    </w:p>
    <w:bookmarkEnd w:id="88"/>
    <w:p>
      <w:pPr>
        <w:pStyle w:val="5"/>
        <w:keepNext w:val="0"/>
        <w:keepLines w:val="0"/>
        <w:pageBreakBefore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color w:val="auto"/>
        </w:rPr>
      </w:pPr>
      <w:bookmarkStart w:id="90" w:name="_Toc15520"/>
      <w:r>
        <w:rPr>
          <w:rFonts w:hint="default" w:ascii="Times New Roman" w:hAnsi="Times New Roman" w:eastAsia="宋体" w:cs="Times New Roman"/>
          <w:color w:val="auto"/>
        </w:rPr>
        <w:t>9.2 建议</w:t>
      </w:r>
      <w:bookmarkEnd w:id="90"/>
    </w:p>
    <w:p>
      <w:pPr>
        <w:keepNext w:val="0"/>
        <w:keepLines w:val="0"/>
        <w:pageBreakBefore w:val="0"/>
        <w:widowControl/>
        <w:kinsoku/>
        <w:wordWrap/>
        <w:overflowPunct/>
        <w:topLinePunct w:val="0"/>
        <w:autoSpaceDE/>
        <w:autoSpaceDN/>
        <w:bidi w:val="0"/>
        <w:adjustRightInd/>
        <w:snapToGrid/>
        <w:spacing w:line="360" w:lineRule="auto"/>
        <w:ind w:right="0" w:rightChars="0" w:firstLine="480" w:firstLineChars="200"/>
        <w:jc w:val="both"/>
        <w:textAlignment w:val="auto"/>
        <w:rPr>
          <w:rFonts w:hint="default" w:ascii="Times New Roman" w:hAnsi="Times New Roman" w:eastAsia="宋体" w:cs="Times New Roman"/>
          <w:color w:val="FF0000"/>
          <w:sz w:val="24"/>
          <w:szCs w:val="24"/>
        </w:rPr>
      </w:pPr>
      <w:r>
        <w:rPr>
          <w:rFonts w:hint="default" w:ascii="Times New Roman" w:hAnsi="Times New Roman" w:eastAsia="宋体" w:cs="Times New Roman"/>
          <w:color w:val="auto"/>
          <w:sz w:val="24"/>
          <w:szCs w:val="24"/>
        </w:rPr>
        <w:t>加强各项环保设施运行维护，确保设施稳定运行。</w:t>
      </w:r>
    </w:p>
    <w:p>
      <w:pPr>
        <w:widowControl/>
        <w:spacing w:line="480" w:lineRule="atLeast"/>
        <w:ind w:firstLine="420" w:firstLineChars="200"/>
        <w:rPr>
          <w:rFonts w:hint="default" w:ascii="Times New Roman" w:hAnsi="Times New Roman" w:eastAsia="宋体" w:cs="Times New Roman"/>
          <w:color w:val="FF0000"/>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p>
    <w:p>
      <w:pPr>
        <w:widowControl/>
        <w:jc w:val="center"/>
        <w:rPr>
          <w:rFonts w:ascii="Times New Roman" w:hAnsi="Times New Roman" w:eastAsia="宋体" w:cs="Times New Roman"/>
        </w:rPr>
      </w:pPr>
      <w:r>
        <w:rPr>
          <w:rFonts w:ascii="Times New Roman" w:hAnsi="Times New Roman" w:eastAsia="宋体" w:cs="Times New Roman"/>
        </w:rPr>
        <w:t>建设项目工程竣工环境保护“三同时”验收登记表</w:t>
      </w:r>
    </w:p>
    <w:p>
      <w:pPr>
        <w:ind w:firstLine="210" w:firstLineChars="100"/>
        <w:rPr>
          <w:rFonts w:ascii="Times New Roman" w:hAnsi="Times New Roman" w:eastAsia="宋体" w:cs="Times New Roman"/>
        </w:rPr>
      </w:pPr>
      <w:r>
        <w:rPr>
          <w:rFonts w:ascii="Times New Roman" w:hAnsi="Times New Roman" w:eastAsia="宋体" w:cs="Times New Roman"/>
        </w:rPr>
        <w:t>填表单位（盖章）：</w:t>
      </w:r>
      <w:r>
        <w:rPr>
          <w:rFonts w:hint="eastAsia" w:ascii="Times New Roman" w:hAnsi="Times New Roman" w:eastAsia="宋体" w:cs="Times New Roman"/>
        </w:rPr>
        <w:t xml:space="preserve"> 盐山县泰达房地产开发有限公司              </w:t>
      </w:r>
      <w:r>
        <w:rPr>
          <w:rFonts w:ascii="Times New Roman" w:hAnsi="Times New Roman" w:eastAsia="宋体" w:cs="Times New Roman"/>
        </w:rPr>
        <w:t>填表人（签字）：</w:t>
      </w:r>
      <w:r>
        <w:rPr>
          <w:rFonts w:hint="eastAsia" w:ascii="Times New Roman" w:hAnsi="Times New Roman" w:eastAsia="宋体" w:cs="Times New Roman"/>
        </w:rPr>
        <w:t xml:space="preserve">                                      </w:t>
      </w:r>
      <w:r>
        <w:rPr>
          <w:rFonts w:ascii="Times New Roman" w:hAnsi="Times New Roman" w:eastAsia="宋体" w:cs="Times New Roman"/>
        </w:rPr>
        <w:t>项目经办人（签字）：</w:t>
      </w:r>
    </w:p>
    <w:tbl>
      <w:tblPr>
        <w:tblStyle w:val="30"/>
        <w:tblW w:w="158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758"/>
        <w:gridCol w:w="1013"/>
        <w:gridCol w:w="781"/>
        <w:gridCol w:w="142"/>
        <w:gridCol w:w="1134"/>
        <w:gridCol w:w="850"/>
        <w:gridCol w:w="284"/>
        <w:gridCol w:w="992"/>
        <w:gridCol w:w="567"/>
        <w:gridCol w:w="567"/>
        <w:gridCol w:w="1220"/>
        <w:gridCol w:w="1005"/>
        <w:gridCol w:w="640"/>
        <w:gridCol w:w="1022"/>
        <w:gridCol w:w="204"/>
        <w:gridCol w:w="822"/>
        <w:gridCol w:w="533"/>
        <w:gridCol w:w="460"/>
        <w:gridCol w:w="480"/>
        <w:gridCol w:w="709"/>
        <w:gridCol w:w="257"/>
        <w:gridCol w:w="8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 w:hRule="atLeast"/>
          <w:jc w:val="center"/>
        </w:trPr>
        <w:tc>
          <w:tcPr>
            <w:tcW w:w="421" w:type="dxa"/>
            <w:vMerge w:val="restart"/>
            <w:tcMar>
              <w:left w:w="6" w:type="dxa"/>
              <w:right w:w="6" w:type="dxa"/>
            </w:tcMar>
          </w:tcPr>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建设项目</w:t>
            </w: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项目名称</w:t>
            </w:r>
          </w:p>
        </w:tc>
        <w:tc>
          <w:tcPr>
            <w:tcW w:w="4750" w:type="dxa"/>
            <w:gridSpan w:val="7"/>
            <w:tcMar>
              <w:left w:w="6" w:type="dxa"/>
              <w:right w:w="6" w:type="dxa"/>
            </w:tcMar>
          </w:tcPr>
          <w:p>
            <w:pPr>
              <w:spacing w:line="260" w:lineRule="exact"/>
              <w:rPr>
                <w:rFonts w:ascii="Times New Roman" w:hAnsi="Times New Roman" w:eastAsia="宋体" w:cs="黑体"/>
                <w:bCs/>
                <w:sz w:val="15"/>
                <w:szCs w:val="15"/>
              </w:rPr>
            </w:pPr>
            <w:r>
              <w:rPr>
                <w:rFonts w:hint="eastAsia" w:ascii="Times New Roman" w:hAnsi="Times New Roman" w:eastAsia="宋体" w:cs="Times New Roman"/>
                <w:bCs/>
                <w:sz w:val="15"/>
                <w:szCs w:val="15"/>
              </w:rPr>
              <w:t xml:space="preserve"> 盐山县泰达国际城（北区）项目</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项目代码</w:t>
            </w:r>
          </w:p>
        </w:tc>
        <w:tc>
          <w:tcPr>
            <w:tcW w:w="1645" w:type="dxa"/>
            <w:gridSpan w:val="2"/>
            <w:tcMar>
              <w:left w:w="6" w:type="dxa"/>
              <w:right w:w="6" w:type="dxa"/>
            </w:tcMar>
          </w:tcPr>
          <w:p>
            <w:pPr>
              <w:spacing w:line="260" w:lineRule="exact"/>
              <w:rPr>
                <w:rFonts w:ascii="Times New Roman" w:hAnsi="Times New Roman" w:eastAsia="宋体" w:cs="Times New Roman"/>
                <w:sz w:val="15"/>
                <w:szCs w:val="15"/>
              </w:rPr>
            </w:pPr>
          </w:p>
        </w:tc>
        <w:tc>
          <w:tcPr>
            <w:tcW w:w="122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建设地点</w:t>
            </w:r>
          </w:p>
        </w:tc>
        <w:tc>
          <w:tcPr>
            <w:tcW w:w="4111" w:type="dxa"/>
            <w:gridSpan w:val="7"/>
            <w:tcMar>
              <w:left w:w="6" w:type="dxa"/>
              <w:right w:w="6" w:type="dxa"/>
            </w:tcMar>
          </w:tcPr>
          <w:p>
            <w:pPr>
              <w:spacing w:line="260" w:lineRule="exact"/>
              <w:rPr>
                <w:rFonts w:ascii="Times New Roman" w:hAnsi="Times New Roman" w:eastAsia="宋体" w:cs="Times New Roman"/>
                <w:sz w:val="15"/>
                <w:szCs w:val="15"/>
              </w:rPr>
            </w:pPr>
            <w:r>
              <w:rPr>
                <w:rFonts w:hint="eastAsia" w:ascii="Times New Roman" w:hAnsi="Times New Roman" w:eastAsia="宋体" w:cs="黑体"/>
                <w:bCs/>
                <w:sz w:val="15"/>
                <w:szCs w:val="15"/>
              </w:rPr>
              <w:t>盐山县城西南部，东邻银河大街，南邻凤凰路，西邻千章大街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行业分类(分类管理名录)</w:t>
            </w:r>
          </w:p>
        </w:tc>
        <w:tc>
          <w:tcPr>
            <w:tcW w:w="4750" w:type="dxa"/>
            <w:gridSpan w:val="7"/>
            <w:tcMar>
              <w:left w:w="6" w:type="dxa"/>
              <w:right w:w="6" w:type="dxa"/>
            </w:tcMar>
          </w:tcPr>
          <w:p>
            <w:pPr>
              <w:spacing w:line="260" w:lineRule="exact"/>
              <w:rPr>
                <w:rFonts w:ascii="Times New Roman" w:hAnsi="Times New Roman" w:eastAsia="宋体" w:cs="黑体"/>
                <w:bCs/>
                <w:sz w:val="15"/>
                <w:szCs w:val="15"/>
              </w:rPr>
            </w:pPr>
            <w:r>
              <w:rPr>
                <w:rFonts w:hint="eastAsia" w:ascii="Times New Roman" w:hAnsi="Times New Roman" w:eastAsia="宋体" w:cs="黑体"/>
                <w:bCs/>
                <w:sz w:val="15"/>
                <w:szCs w:val="15"/>
                <w:lang w:val="en-US" w:eastAsia="zh-CN"/>
              </w:rPr>
              <w:t>K7010房地产开发经营</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建设性质</w:t>
            </w:r>
          </w:p>
        </w:tc>
        <w:tc>
          <w:tcPr>
            <w:tcW w:w="6982" w:type="dxa"/>
            <w:gridSpan w:val="11"/>
            <w:tcMar>
              <w:left w:w="6" w:type="dxa"/>
              <w:right w:w="6" w:type="dxa"/>
            </w:tcMar>
          </w:tcPr>
          <w:p>
            <w:pPr>
              <w:spacing w:line="260" w:lineRule="exact"/>
              <w:ind w:firstLine="210" w:firstLineChars="100"/>
              <w:rPr>
                <w:rFonts w:ascii="Times New Roman" w:hAnsi="Times New Roman" w:eastAsia="宋体" w:cs="Times New Roman"/>
                <w:sz w:val="15"/>
                <w:szCs w:val="15"/>
              </w:rPr>
            </w:pPr>
            <w:r>
              <w:rPr>
                <w:rFonts w:ascii="Times New Roman" w:hAnsi="Times New Roman" w:eastAsia="宋体" w:cs="Times New Roman"/>
              </w:rPr>
              <mc:AlternateContent>
                <mc:Choice Requires="wps">
                  <w:drawing>
                    <wp:anchor distT="0" distB="0" distL="114300" distR="114300" simplePos="0" relativeHeight="251760640" behindDoc="0" locked="0" layoutInCell="1" allowOverlap="1">
                      <wp:simplePos x="0" y="0"/>
                      <wp:positionH relativeFrom="column">
                        <wp:posOffset>36195</wp:posOffset>
                      </wp:positionH>
                      <wp:positionV relativeFrom="page">
                        <wp:posOffset>47625</wp:posOffset>
                      </wp:positionV>
                      <wp:extent cx="76200" cy="78740"/>
                      <wp:effectExtent l="6350" t="6350" r="12700" b="10160"/>
                      <wp:wrapNone/>
                      <wp:docPr id="1" name="矩形 22"/>
                      <wp:cNvGraphicFramePr/>
                      <a:graphic xmlns:a="http://schemas.openxmlformats.org/drawingml/2006/main">
                        <a:graphicData uri="http://schemas.microsoft.com/office/word/2010/wordprocessingShape">
                          <wps:wsp>
                            <wps:cNvSpPr/>
                            <wps:spPr>
                              <a:xfrm>
                                <a:off x="0" y="0"/>
                                <a:ext cx="76200" cy="78740"/>
                              </a:xfrm>
                              <a:prstGeom prst="rect">
                                <a:avLst/>
                              </a:prstGeom>
                              <a:solidFill>
                                <a:srgbClr val="000000"/>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2" o:spid="_x0000_s1026" o:spt="1" style="position:absolute;left:0pt;margin-left:2.85pt;margin-top:3.75pt;height:6.2pt;width:6pt;mso-position-vertical-relative:page;z-index:251760640;v-text-anchor:middle;mso-width-relative:page;mso-height-relative:page;" fillcolor="#000000" filled="t" stroked="t" coordsize="21600,21600" o:gfxdata="UEsDBAoAAAAAAIdO4kAAAAAAAAAAAAAAAAAEAAAAZHJzL1BLAwQUAAAACACHTuJA502gbNUAAAAF&#10;AQAADwAAAGRycy9kb3ducmV2LnhtbE2OzU7DMBCE70h9B2uRuFGnRSUkxKnUSuVQiQMBWnFz4iWJ&#10;aq+j2P3h7dme4DQazWjmK5YXZ8UJx9B7UjCbJiCQGm96ahV8vG/un0CEqMlo6wkV/GCAZTm5KXRu&#10;/Jne8FTFVvAIhVwr6GIccilD06HTYeoHJM6+/eh0ZDu20oz6zOPOynmSPEqne+KHTg+47rA5VEen&#10;wGXbV9z5/Ve9TVfWVM3ny8Nqo9Td7Sx5BhHxEv/KcMVndCiZqfZHMkFYBYuUiwrSBYhrmrKtWbMM&#10;ZFnI//TlL1BLAwQUAAAACACHTuJAbA+MHeIBAADcAwAADgAAAGRycy9lMm9Eb2MueG1srVPNbhMx&#10;EL4j8Q6W72STFWqqVTY9EMoFQaXCA0z8s2vJfxq72eRpkLjxEDwO4jUYO2lK6aWq2IN3bI8/f983&#10;49XV3lm2U5hM8D1fzOacKS+CNH7o+dcv128uOUsZvAQbvOr5QSV+tX79ajXFTrVhDFYqZATiUzfF&#10;no85x65pkhiVgzQLUXna1AEdZJri0EiEidCdbdr5/KKZAsqIQaiUaHVz3OTriq+1Evmz1kllZntO&#10;3HIdsY7bMjbrFXQDQhyNONGAF7BwYDxdeobaQAZ2h+YJlDMCQwo6z0RwTdDaCFU1kJrF/B81tyNE&#10;VbWQOSmebUr/D1Z82t0gM5Jqx5kHRyX6/e3Hr5/fWdsWc6aYOsq5jTd4miUKi9K9Rlf+pIHtq6GH&#10;s6Fqn5mgxeUF1YgzQTvLy+XbanfzcDRiyh9UcKwEPUeqVjURdh9Tpuso9T6l3JSCNfLaWFsnOGzf&#10;WWQ7KJWtX+FLRx6lWc8m0tYuKw+gDtMWMlFykTQnP9QLHx1Jz0MuzDaQxiODinDsJmeyKmZBNyqQ&#10;771k+RDJV08PgBc2TknOrKL3UqKamcHY52SSPOtJZSnLsRAl2gZ5oCqCF2Og3hYZObuLaIaRXF1U&#10;W0oatVA16NTupUf/nlfYh0e5/g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nTaBs1QAAAAUBAAAP&#10;AAAAAAAAAAEAIAAAACIAAABkcnMvZG93bnJldi54bWxQSwECFAAUAAAACACHTuJAbA+MHeIBAADc&#10;AwAADgAAAAAAAAABACAAAAAkAQAAZHJzL2Uyb0RvYy54bWxQSwUGAAAAAAYABgBZAQAAeAUAAAAA&#10;">
                      <v:fill on="t" focussize="0,0"/>
                      <v:stroke weight="1pt" color="#000000" joinstyle="miter"/>
                      <v:imagedata o:title=""/>
                      <o:lock v:ext="edit" aspectratio="f"/>
                    </v:rect>
                  </w:pict>
                </mc:Fallback>
              </mc:AlternateContent>
            </w:r>
            <w:r>
              <w:rPr>
                <w:rFonts w:ascii="Times New Roman" w:hAnsi="Times New Roman" w:eastAsia="宋体" w:cs="Times New Roman"/>
              </w:rPr>
              <mc:AlternateContent>
                <mc:Choice Requires="wps">
                  <w:drawing>
                    <wp:anchor distT="0" distB="0" distL="114300" distR="114300" simplePos="0" relativeHeight="251766784" behindDoc="0" locked="0" layoutInCell="1" allowOverlap="1">
                      <wp:simplePos x="0" y="0"/>
                      <wp:positionH relativeFrom="column">
                        <wp:posOffset>872490</wp:posOffset>
                      </wp:positionH>
                      <wp:positionV relativeFrom="paragraph">
                        <wp:posOffset>64135</wp:posOffset>
                      </wp:positionV>
                      <wp:extent cx="66675" cy="71120"/>
                      <wp:effectExtent l="6350" t="6350" r="22225" b="17780"/>
                      <wp:wrapNone/>
                      <wp:docPr id="2" name="矩形 28"/>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8" o:spid="_x0000_s1026" o:spt="1" style="position:absolute;left:0pt;margin-left:68.7pt;margin-top:5.05pt;height:5.6pt;width:5.25pt;z-index:251766784;v-text-anchor:middle;mso-width-relative:page;mso-height-relative:page;" fillcolor="#FFFFFF" filled="t" stroked="t" coordsize="21600,21600" o:gfxdata="UEsDBAoAAAAAAIdO4kAAAAAAAAAAAAAAAAAEAAAAZHJzL1BLAwQUAAAACACHTuJAsLak5dYAAAAJ&#10;AQAADwAAAGRycy9kb3ducmV2LnhtbE2PsU7DMBCGdyTewTokNmqnrSiEOB0QbCwJHWC7xkcSYZ+j&#10;2G0Snh53gu1+3af/viv2s7PiTGPoPWvIVgoEceNNz62Gw/vr3QOIEJENWs+kYaEA+/L6qsDc+Ikr&#10;OtexFamEQ44auhiHXMrQdOQwrPxAnHZffnQYUxxbaUacUrmzcq3UvXTYc7rQ4UDPHTXf9clpwHr+&#10;XJblY5pkZVX/8lMN9Vul9e1Npp5ARJrjHwwX/aQOZXI6+hObIGzKm902oWlQGYgLsN09gjhqWGcb&#10;kGUh/39Q/gJQSwMEFAAAAAgAh07iQOy5q2HrAQAA3AMAAA4AAABkcnMvZTJvRG9jLnhtbK1TzY7T&#10;MBC+I/EOlu80aSTaVdR0D5RyQbDSwgNMbSex5D+NvU37NEjceAgeB/EajN3S3QUOaLU5ODP2+Jv5&#10;vhmvrg/WsL3CqL3r+HxWc6ac8FK7oeOfP21fXXEWEzgJxjvV8aOK/Hr98sVqCq1q/OiNVMgIxMV2&#10;Ch0fUwptVUUxKgtx5oNydNh7tJDIxaGSCBOhW1M1db2oJo8yoBcqRtrdnA75uuD3vRLpY99HlZjp&#10;ONWWyopl3eW1Wq+gHRDCqMW5DHhCFRa0o6QXqA0kYHeo/4KyWqCPvk8z4W3l+14LVTgQm3n9B5vb&#10;EYIqXEicGC4yxeeDFR/2N8i07HjDmQNLLfr55duP719Zc5XFmUJsKeY23ODZi2Rmpocebf4TB3Yo&#10;gh4vgqpDYoI2F4vF8jVngk6W83lT5K7urwaM6Z3ylmWj40jdKiLC/n1MlI5Cf4fkTNEbLbfamOLg&#10;sHtjkO2BOrstX66XrjwKM45NNJfNsqbuC6AJ6w0kMm0gztENJeGjK/Ehcl2+fyHnyjYQx1MFBSGH&#10;QWt1UlksaEcF8q2TLB0D6eroAfBcjVWSM6PovWSrRCbQ5n8iiZ5xxDK35dSIbO28PFIXwYnR02yL&#10;hJzdBdTDSKrOS/E5jEaoCHQe9zyjD/0Ce/8o178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sLak&#10;5dYAAAAJAQAADwAAAAAAAAABACAAAAAiAAAAZHJzL2Rvd25yZXYueG1sUEsBAhQAFAAAAAgAh07i&#10;QOy5q2HrAQAA3AMAAA4AAAAAAAAAAQAgAAAAJQEAAGRycy9lMm9Eb2MueG1sUEsFBgAAAAAGAAYA&#10;WQEAAIIFAAAAAA==&#10;">
                      <v:fill on="t" focussize="0,0"/>
                      <v:stroke weight="1pt" color="#000000" joinstyle="miter"/>
                      <v:imagedata o:title=""/>
                      <o:lock v:ext="edit" aspectratio="f"/>
                    </v:rect>
                  </w:pict>
                </mc:Fallback>
              </mc:AlternateContent>
            </w:r>
            <w:r>
              <w:rPr>
                <w:rFonts w:ascii="Times New Roman" w:hAnsi="Times New Roman" w:eastAsia="宋体" w:cs="Times New Roman"/>
              </w:rPr>
              <mc:AlternateContent>
                <mc:Choice Requires="wps">
                  <w:drawing>
                    <wp:anchor distT="0" distB="0" distL="114300" distR="114300" simplePos="0" relativeHeight="251754496" behindDoc="0" locked="0" layoutInCell="1" allowOverlap="1">
                      <wp:simplePos x="0" y="0"/>
                      <wp:positionH relativeFrom="column">
                        <wp:posOffset>372110</wp:posOffset>
                      </wp:positionH>
                      <wp:positionV relativeFrom="page">
                        <wp:posOffset>62865</wp:posOffset>
                      </wp:positionV>
                      <wp:extent cx="66675" cy="71120"/>
                      <wp:effectExtent l="6350" t="6350" r="22225" b="17780"/>
                      <wp:wrapNone/>
                      <wp:docPr id="3"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bodyPr anchor="ctr" upright="1"/>
                          </wps:wsp>
                        </a:graphicData>
                      </a:graphic>
                    </wp:anchor>
                  </w:drawing>
                </mc:Choice>
                <mc:Fallback>
                  <w:pict>
                    <v:rect id="矩形 27" o:spid="_x0000_s1026" o:spt="1" style="position:absolute;left:0pt;margin-left:29.3pt;margin-top:4.95pt;height:5.6pt;width:5.25pt;mso-position-vertical-relative:page;z-index:251754496;v-text-anchor:middle;mso-width-relative:page;mso-height-relative:page;" fillcolor="#FFFFFF" filled="t" stroked="t" coordsize="21600,21600" o:gfxdata="UEsDBAoAAAAAAIdO4kAAAAAAAAAAAAAAAAAEAAAAZHJzL1BLAwQUAAAACACHTuJAlcotRtMAAAAG&#10;AQAADwAAAGRycy9kb3ducmV2LnhtbE2OsU7EMBBEeyT+wVokOs7OSUSXEOcKBB1NAgV0e/GSRNjr&#10;KPZdEr4eU0E5mtGbVx1XZ8WF5jB61pDtFAjizpuRew1vr893BxAhIhu0nknDRgGO9fVVhaXxCzd0&#10;aWMvEoRDiRqGGKdSytAN5DDs/EScuk8/O4wpzr00My4J7qzcK5VLhyOnhwEnehyo+2rPTgO268e2&#10;be/LIhurxqfvZmpfGq1vbzL1ACLSGv/G8Kuf1KFOTid/ZhOE1XB/yNNSQ1GASHVeZCBOGvZZBrKu&#10;5H/9+gdQSwMEFAAAAAgAh07iQGxFxV3rAQAA3AMAAA4AAABkcnMvZTJvRG9jLnhtbK1TzY7TMBC+&#10;I/EOlu80SREtiprugVIuCFZaeICp7SSW/CePt2mfBokbD8HjIF6DsVu6u8BhtSIHZ8YefzPfN+PV&#10;1cEatlcRtXcdb2Y1Z8oJL7UbOv750/bFa84wgZNgvFMdPyrkV+vnz1ZTaNXcj95IFRmBOGyn0PEx&#10;pdBWFYpRWcCZD8rRYe+jhURuHCoZYSJ0a6p5XS+qyUcZohcKkXY3p0O+Lvh9r0T62PeoEjMdp9pS&#10;WWNZd3mt1itohwhh1OJcBjyhCgvaUdIL1AYSsNuo/4KyWkSPvk8z4W3l+14LVTgQm6b+g83NCEEV&#10;LiQOhotM+P9gxYf9dWRadvwlZw4stejnl28/vn9l82UWZwrYUsxNuI5nD8nMTA99tPlPHNihCHq8&#10;CKoOiQnaXCwWy1ecCTpZNs28yF3dXQ0R0zvlLctGxyN1q4gI+/eYKB2F/g7JmdAbLbfamOLEYffG&#10;RLYH6uy2fLleuvIgzDg20VzOlzV1XwBNWG8gkWkDcUY3lIQPruB95Lp8/0LOlW0Ax1MFBSGHQWt1&#10;UlksaEcF8q2TLB0D6eroAfBcjVWSM6PovWSrRCbQ5jGRRM84YpnbcmpEtnZeHqmL4MToabZFipzd&#10;hqiHkVRtSvE5jEaoCHQe9zyj9/0Ce/co17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lcotRtMA&#10;AAAGAQAADwAAAAAAAAABACAAAAAiAAAAZHJzL2Rvd25yZXYueG1sUEsBAhQAFAAAAAgAh07iQGxF&#10;xV3rAQAA3AMAAA4AAAAAAAAAAQAgAAAAIgEAAGRycy9lMm9Eb2MueG1sUEsFBgAAAAAGAAYAWQEA&#10;AH8FAAAAAA==&#10;">
                      <v:fill on="t" focussize="0,0"/>
                      <v:stroke weight="1pt" color="#000000" joinstyle="miter"/>
                      <v:imagedata o:title=""/>
                      <o:lock v:ext="edit" aspectratio="f"/>
                    </v:rect>
                  </w:pict>
                </mc:Fallback>
              </mc:AlternateContent>
            </w:r>
            <w:r>
              <w:rPr>
                <w:rFonts w:ascii="Times New Roman" w:hAnsi="Times New Roman" w:eastAsia="宋体" w:cs="Times New Roman"/>
                <w:sz w:val="15"/>
                <w:szCs w:val="15"/>
              </w:rPr>
              <w:t>新建</w:t>
            </w:r>
            <w:r>
              <w:rPr>
                <w:rFonts w:hint="eastAsia" w:ascii="Times New Roman" w:hAnsi="Times New Roman" w:eastAsia="宋体" w:cs="Times New Roman"/>
                <w:sz w:val="15"/>
                <w:szCs w:val="15"/>
              </w:rPr>
              <w:t xml:space="preserve">   </w:t>
            </w:r>
            <w:r>
              <w:rPr>
                <w:rFonts w:ascii="Times New Roman" w:hAnsi="Times New Roman" w:eastAsia="宋体" w:cs="Times New Roman"/>
                <w:sz w:val="15"/>
                <w:szCs w:val="15"/>
              </w:rPr>
              <w:t>改扩建</w:t>
            </w:r>
            <w:r>
              <w:rPr>
                <w:rFonts w:hint="eastAsia" w:ascii="Times New Roman" w:hAnsi="Times New Roman" w:eastAsia="宋体" w:cs="Times New Roman"/>
                <w:sz w:val="15"/>
                <w:szCs w:val="15"/>
              </w:rPr>
              <w:t xml:space="preserve">     </w:t>
            </w:r>
            <w:r>
              <w:rPr>
                <w:rFonts w:ascii="Times New Roman" w:hAnsi="Times New Roman" w:eastAsia="宋体" w:cs="Times New Roman"/>
                <w:sz w:val="15"/>
                <w:szCs w:val="15"/>
              </w:rPr>
              <w:t>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设计生产能力</w:t>
            </w:r>
          </w:p>
        </w:tc>
        <w:tc>
          <w:tcPr>
            <w:tcW w:w="4750" w:type="dxa"/>
            <w:gridSpan w:val="7"/>
            <w:tcMar>
              <w:left w:w="6" w:type="dxa"/>
              <w:right w:w="6" w:type="dxa"/>
            </w:tcMar>
          </w:tcPr>
          <w:p>
            <w:pPr>
              <w:spacing w:line="260" w:lineRule="exact"/>
              <w:rPr>
                <w:rFonts w:ascii="Times New Roman" w:hAnsi="Times New Roman" w:eastAsia="宋体" w:cs="黑体"/>
                <w:bCs/>
                <w:sz w:val="15"/>
                <w:szCs w:val="15"/>
              </w:rPr>
            </w:pPr>
            <w:r>
              <w:rPr>
                <w:rFonts w:hint="eastAsia" w:ascii="Times New Roman" w:hAnsi="Times New Roman" w:eastAsia="宋体" w:cs="黑体"/>
                <w:bCs/>
                <w:sz w:val="15"/>
                <w:szCs w:val="15"/>
              </w:rPr>
              <w:t>主体工程20F住宅楼楼7栋，2F商业楼楼2栋</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实际生产能力</w:t>
            </w:r>
          </w:p>
        </w:tc>
        <w:tc>
          <w:tcPr>
            <w:tcW w:w="2667" w:type="dxa"/>
            <w:gridSpan w:val="3"/>
            <w:tcMar>
              <w:left w:w="6" w:type="dxa"/>
              <w:right w:w="6" w:type="dxa"/>
            </w:tcMar>
          </w:tcPr>
          <w:p>
            <w:pPr>
              <w:spacing w:line="260" w:lineRule="exact"/>
              <w:rPr>
                <w:rFonts w:ascii="Times New Roman" w:hAnsi="Times New Roman" w:eastAsia="宋体" w:cs="Times New Roman"/>
                <w:bCs/>
                <w:sz w:val="15"/>
                <w:szCs w:val="15"/>
              </w:rPr>
            </w:pPr>
            <w:r>
              <w:rPr>
                <w:rFonts w:hint="default" w:ascii="Times New Roman" w:hAnsi="Times New Roman" w:eastAsia="宋体" w:cs="Times New Roman"/>
                <w:bCs/>
                <w:sz w:val="15"/>
                <w:szCs w:val="15"/>
                <w:lang w:val="en-US" w:eastAsia="zh-CN"/>
              </w:rPr>
              <w:t>3栋24F住宅楼</w:t>
            </w:r>
          </w:p>
        </w:tc>
        <w:tc>
          <w:tcPr>
            <w:tcW w:w="1559" w:type="dxa"/>
            <w:gridSpan w:val="3"/>
            <w:tcMar>
              <w:left w:w="6" w:type="dxa"/>
              <w:right w:w="6" w:type="dxa"/>
            </w:tcMar>
          </w:tcPr>
          <w:p>
            <w:pPr>
              <w:spacing w:line="260" w:lineRule="exact"/>
              <w:rPr>
                <w:rFonts w:ascii="Times New Roman" w:hAnsi="Times New Roman" w:eastAsia="宋体" w:cs="Times New Roman"/>
                <w:bCs/>
                <w:sz w:val="15"/>
                <w:szCs w:val="15"/>
              </w:rPr>
            </w:pPr>
            <w:r>
              <w:rPr>
                <w:rFonts w:ascii="Times New Roman" w:hAnsi="Times New Roman" w:eastAsia="宋体" w:cs="Times New Roman"/>
                <w:bCs/>
                <w:sz w:val="15"/>
                <w:szCs w:val="15"/>
              </w:rPr>
              <w:t>环评单位</w:t>
            </w:r>
          </w:p>
        </w:tc>
        <w:tc>
          <w:tcPr>
            <w:tcW w:w="2756" w:type="dxa"/>
            <w:gridSpan w:val="5"/>
            <w:tcMar>
              <w:left w:w="6" w:type="dxa"/>
              <w:right w:w="6" w:type="dxa"/>
            </w:tcMar>
          </w:tcPr>
          <w:p>
            <w:pPr>
              <w:spacing w:line="260" w:lineRule="exact"/>
              <w:rPr>
                <w:rFonts w:ascii="Times New Roman" w:hAnsi="Times New Roman" w:eastAsia="宋体" w:cs="Times New Roman"/>
                <w:bCs/>
                <w:sz w:val="15"/>
                <w:szCs w:val="15"/>
              </w:rPr>
            </w:pPr>
            <w:r>
              <w:rPr>
                <w:rFonts w:hint="eastAsia" w:ascii="Times New Roman" w:hAnsi="Times New Roman" w:eastAsia="宋体" w:cs="Times New Roman"/>
                <w:bCs/>
                <w:sz w:val="15"/>
                <w:szCs w:val="15"/>
              </w:rPr>
              <w:t>河北嘉诚环境工程有限公司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环评文件审批机关</w:t>
            </w:r>
          </w:p>
        </w:tc>
        <w:tc>
          <w:tcPr>
            <w:tcW w:w="4750" w:type="dxa"/>
            <w:gridSpan w:val="7"/>
            <w:tcMar>
              <w:left w:w="6" w:type="dxa"/>
              <w:right w:w="6" w:type="dxa"/>
            </w:tcMar>
          </w:tcPr>
          <w:p>
            <w:pPr>
              <w:spacing w:line="260" w:lineRule="exact"/>
              <w:rPr>
                <w:rFonts w:hint="default" w:ascii="Times New Roman" w:hAnsi="Times New Roman" w:eastAsia="宋体" w:cs="Times New Roman"/>
                <w:bCs/>
                <w:sz w:val="15"/>
                <w:szCs w:val="15"/>
                <w:lang w:val="en-US" w:eastAsia="zh-CN"/>
              </w:rPr>
            </w:pPr>
            <w:r>
              <w:rPr>
                <w:rFonts w:hint="eastAsia" w:ascii="Times New Roman" w:hAnsi="Times New Roman" w:eastAsia="宋体" w:cs="Times New Roman"/>
                <w:bCs/>
                <w:sz w:val="15"/>
                <w:szCs w:val="15"/>
                <w:lang w:val="en-US" w:eastAsia="zh-CN"/>
              </w:rPr>
              <w:t>盐山县环保局</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审批文号</w:t>
            </w:r>
          </w:p>
        </w:tc>
        <w:tc>
          <w:tcPr>
            <w:tcW w:w="2667" w:type="dxa"/>
            <w:gridSpan w:val="3"/>
            <w:tcMar>
              <w:left w:w="6" w:type="dxa"/>
              <w:right w:w="6" w:type="dxa"/>
            </w:tcMar>
          </w:tcPr>
          <w:p>
            <w:pPr>
              <w:spacing w:line="260" w:lineRule="exact"/>
              <w:jc w:val="center"/>
              <w:rPr>
                <w:rFonts w:ascii="Times New Roman" w:hAnsi="Times New Roman" w:eastAsia="宋体" w:cs="Times New Roman"/>
                <w:bCs/>
                <w:sz w:val="15"/>
                <w:szCs w:val="15"/>
              </w:rPr>
            </w:pPr>
            <w:r>
              <w:rPr>
                <w:rFonts w:hint="eastAsia" w:ascii="Times New Roman" w:hAnsi="Times New Roman" w:eastAsia="宋体" w:cs="Times New Roman"/>
                <w:bCs/>
                <w:sz w:val="15"/>
                <w:szCs w:val="15"/>
              </w:rPr>
              <w:t>盐环表[</w:t>
            </w:r>
            <w:r>
              <w:rPr>
                <w:rFonts w:hint="eastAsia" w:ascii="Times New Roman" w:hAnsi="Times New Roman" w:eastAsia="宋体" w:cs="Times New Roman"/>
                <w:bCs/>
                <w:sz w:val="15"/>
                <w:szCs w:val="15"/>
                <w:lang w:val="en-US" w:eastAsia="zh-CN"/>
              </w:rPr>
              <w:t>2015</w:t>
            </w:r>
            <w:r>
              <w:rPr>
                <w:rFonts w:hint="eastAsia" w:ascii="Times New Roman" w:hAnsi="Times New Roman" w:eastAsia="宋体" w:cs="Times New Roman"/>
                <w:bCs/>
                <w:sz w:val="15"/>
                <w:szCs w:val="15"/>
              </w:rPr>
              <w:t>]</w:t>
            </w:r>
            <w:r>
              <w:rPr>
                <w:rFonts w:hint="eastAsia" w:ascii="Times New Roman" w:hAnsi="Times New Roman" w:eastAsia="宋体" w:cs="Times New Roman"/>
                <w:bCs/>
                <w:sz w:val="15"/>
                <w:szCs w:val="15"/>
                <w:lang w:val="en-US" w:eastAsia="zh-CN"/>
              </w:rPr>
              <w:t>08</w:t>
            </w:r>
            <w:r>
              <w:rPr>
                <w:rFonts w:hint="eastAsia" w:ascii="Times New Roman" w:hAnsi="Times New Roman" w:eastAsia="宋体" w:cs="Times New Roman"/>
                <w:bCs/>
                <w:sz w:val="15"/>
                <w:szCs w:val="15"/>
              </w:rPr>
              <w:t>号</w:t>
            </w:r>
          </w:p>
        </w:tc>
        <w:tc>
          <w:tcPr>
            <w:tcW w:w="1559" w:type="dxa"/>
            <w:gridSpan w:val="3"/>
            <w:tcMar>
              <w:left w:w="6" w:type="dxa"/>
              <w:right w:w="6" w:type="dxa"/>
            </w:tcMar>
          </w:tcPr>
          <w:p>
            <w:pPr>
              <w:spacing w:line="260" w:lineRule="exact"/>
              <w:rPr>
                <w:rFonts w:ascii="Times New Roman" w:hAnsi="Times New Roman" w:eastAsia="宋体" w:cs="Times New Roman"/>
                <w:bCs/>
                <w:sz w:val="15"/>
                <w:szCs w:val="15"/>
              </w:rPr>
            </w:pPr>
            <w:r>
              <w:rPr>
                <w:rFonts w:ascii="Times New Roman" w:hAnsi="Times New Roman" w:eastAsia="宋体" w:cs="Times New Roman"/>
                <w:bCs/>
                <w:sz w:val="15"/>
                <w:szCs w:val="15"/>
              </w:rPr>
              <w:t>环评文件类型</w:t>
            </w:r>
          </w:p>
        </w:tc>
        <w:tc>
          <w:tcPr>
            <w:tcW w:w="2756" w:type="dxa"/>
            <w:gridSpan w:val="5"/>
            <w:tcMar>
              <w:left w:w="6" w:type="dxa"/>
              <w:right w:w="6" w:type="dxa"/>
            </w:tcMar>
          </w:tcPr>
          <w:p>
            <w:pPr>
              <w:spacing w:line="260" w:lineRule="exact"/>
              <w:rPr>
                <w:rFonts w:ascii="Times New Roman" w:hAnsi="Times New Roman" w:eastAsia="宋体" w:cs="Times New Roman"/>
                <w:bCs/>
                <w:sz w:val="15"/>
                <w:szCs w:val="15"/>
              </w:rPr>
            </w:pPr>
            <w:r>
              <w:rPr>
                <w:rFonts w:ascii="Times New Roman" w:hAnsi="Times New Roman" w:eastAsia="宋体" w:cs="Times New Roman"/>
                <w:bCs/>
                <w:sz w:val="15"/>
                <w:szCs w:val="15"/>
              </w:rPr>
              <w:t>环境影响报告表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开工日期</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竣工日期</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排污许可证申领时间</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环保设施设计单位</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环保设施施工单位</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本工程排污许可证编号</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验收单位</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环保设施监测单位</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验收监测时工况</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投资总概算（万元）</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r>
              <w:rPr>
                <w:rFonts w:hint="eastAsia" w:ascii="Times New Roman" w:hAnsi="Times New Roman" w:eastAsia="宋体" w:cs="Times New Roman"/>
                <w:sz w:val="15"/>
                <w:szCs w:val="15"/>
              </w:rPr>
              <w:t>18200</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环保投资总概算(万元)</w:t>
            </w:r>
          </w:p>
        </w:tc>
        <w:tc>
          <w:tcPr>
            <w:tcW w:w="2667" w:type="dxa"/>
            <w:gridSpan w:val="3"/>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85</w:t>
            </w: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所占比例（%）</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实际总投资（万元）</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r>
              <w:rPr>
                <w:rFonts w:hint="eastAsia" w:ascii="Times New Roman" w:hAnsi="Times New Roman" w:eastAsia="宋体" w:cs="Times New Roman"/>
                <w:sz w:val="15"/>
                <w:szCs w:val="15"/>
              </w:rPr>
              <w:t>18200</w:t>
            </w: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实际环保投资(万元)</w:t>
            </w:r>
          </w:p>
        </w:tc>
        <w:tc>
          <w:tcPr>
            <w:tcW w:w="2667" w:type="dxa"/>
            <w:gridSpan w:val="3"/>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85</w:t>
            </w: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所占比例(%）</w:t>
            </w:r>
          </w:p>
        </w:tc>
        <w:tc>
          <w:tcPr>
            <w:tcW w:w="2756" w:type="dxa"/>
            <w:gridSpan w:val="5"/>
            <w:tcMar>
              <w:left w:w="6" w:type="dxa"/>
              <w:right w:w="6" w:type="dxa"/>
            </w:tcMar>
          </w:tcPr>
          <w:p>
            <w:pPr>
              <w:spacing w:line="260" w:lineRule="exact"/>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废水治理（万元）</w:t>
            </w:r>
          </w:p>
        </w:tc>
        <w:tc>
          <w:tcPr>
            <w:tcW w:w="781" w:type="dxa"/>
            <w:tcMar>
              <w:left w:w="6" w:type="dxa"/>
              <w:right w:w="6" w:type="dxa"/>
            </w:tcMar>
          </w:tcPr>
          <w:p>
            <w:pPr>
              <w:spacing w:line="260" w:lineRule="exact"/>
              <w:rPr>
                <w:rFonts w:ascii="Times New Roman" w:hAnsi="Times New Roman" w:eastAsia="宋体" w:cs="Times New Roman"/>
                <w:sz w:val="15"/>
                <w:szCs w:val="15"/>
              </w:rPr>
            </w:pPr>
          </w:p>
        </w:tc>
        <w:tc>
          <w:tcPr>
            <w:tcW w:w="127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废气治理（万元）</w:t>
            </w:r>
          </w:p>
        </w:tc>
        <w:tc>
          <w:tcPr>
            <w:tcW w:w="850" w:type="dxa"/>
            <w:tcMar>
              <w:left w:w="6" w:type="dxa"/>
              <w:right w:w="6" w:type="dxa"/>
            </w:tcMar>
          </w:tcPr>
          <w:p>
            <w:pPr>
              <w:spacing w:line="260" w:lineRule="exact"/>
              <w:rPr>
                <w:rFonts w:ascii="Times New Roman" w:hAnsi="Times New Roman" w:eastAsia="宋体" w:cs="Times New Roman"/>
                <w:sz w:val="15"/>
                <w:szCs w:val="15"/>
              </w:rPr>
            </w:pPr>
          </w:p>
        </w:tc>
        <w:tc>
          <w:tcPr>
            <w:tcW w:w="127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噪声治理(万元)</w:t>
            </w:r>
          </w:p>
        </w:tc>
        <w:tc>
          <w:tcPr>
            <w:tcW w:w="567" w:type="dxa"/>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固体废物治理（万元）</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绿化及生态（万元）</w:t>
            </w:r>
          </w:p>
        </w:tc>
        <w:tc>
          <w:tcPr>
            <w:tcW w:w="940" w:type="dxa"/>
            <w:gridSpan w:val="2"/>
            <w:tcMar>
              <w:left w:w="6" w:type="dxa"/>
              <w:right w:w="6" w:type="dxa"/>
            </w:tcMar>
          </w:tcPr>
          <w:p>
            <w:pPr>
              <w:spacing w:line="260" w:lineRule="exact"/>
              <w:rPr>
                <w:rFonts w:ascii="Times New Roman" w:hAnsi="Times New Roman" w:eastAsia="宋体" w:cs="Times New Roman"/>
                <w:sz w:val="15"/>
                <w:szCs w:val="15"/>
              </w:rPr>
            </w:pPr>
          </w:p>
        </w:tc>
        <w:tc>
          <w:tcPr>
            <w:tcW w:w="96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其他（万元）</w:t>
            </w:r>
          </w:p>
        </w:tc>
        <w:tc>
          <w:tcPr>
            <w:tcW w:w="850" w:type="dxa"/>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21"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912"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新增废水处理设施能力</w:t>
            </w:r>
          </w:p>
        </w:tc>
        <w:tc>
          <w:tcPr>
            <w:tcW w:w="4750" w:type="dxa"/>
            <w:gridSpan w:val="7"/>
            <w:tcMar>
              <w:left w:w="6" w:type="dxa"/>
              <w:right w:w="6" w:type="dxa"/>
            </w:tcMar>
          </w:tcPr>
          <w:p>
            <w:pPr>
              <w:spacing w:line="260" w:lineRule="exact"/>
              <w:rPr>
                <w:rFonts w:ascii="Times New Roman" w:hAnsi="Times New Roman" w:eastAsia="宋体" w:cs="Times New Roman"/>
                <w:sz w:val="15"/>
                <w:szCs w:val="15"/>
              </w:rPr>
            </w:pPr>
          </w:p>
        </w:tc>
        <w:tc>
          <w:tcPr>
            <w:tcW w:w="178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新增废气处理设施能力</w:t>
            </w:r>
          </w:p>
        </w:tc>
        <w:tc>
          <w:tcPr>
            <w:tcW w:w="2667"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w:t>
            </w: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年平均工作时间</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33" w:type="dxa"/>
            <w:gridSpan w:val="4"/>
            <w:tcMar>
              <w:left w:w="6" w:type="dxa"/>
              <w:right w:w="6" w:type="dxa"/>
            </w:tcMar>
          </w:tcPr>
          <w:p>
            <w:pPr>
              <w:spacing w:line="260" w:lineRule="exact"/>
              <w:jc w:val="center"/>
              <w:rPr>
                <w:rFonts w:ascii="Times New Roman" w:hAnsi="Times New Roman" w:eastAsia="宋体" w:cs="Times New Roman"/>
                <w:sz w:val="15"/>
                <w:szCs w:val="15"/>
              </w:rPr>
            </w:pPr>
            <w:r>
              <w:rPr>
                <w:rFonts w:ascii="Times New Roman" w:hAnsi="Times New Roman" w:eastAsia="宋体" w:cs="Times New Roman"/>
                <w:sz w:val="15"/>
                <w:szCs w:val="15"/>
              </w:rPr>
              <w:t>运营单位</w:t>
            </w:r>
          </w:p>
        </w:tc>
        <w:tc>
          <w:tcPr>
            <w:tcW w:w="4183" w:type="dxa"/>
            <w:gridSpan w:val="6"/>
            <w:tcMar>
              <w:left w:w="6" w:type="dxa"/>
              <w:right w:w="6" w:type="dxa"/>
            </w:tcMar>
          </w:tcPr>
          <w:p>
            <w:pPr>
              <w:spacing w:line="260" w:lineRule="exact"/>
              <w:rPr>
                <w:rFonts w:ascii="Times New Roman" w:hAnsi="Times New Roman" w:eastAsia="宋体" w:cs="Times New Roman"/>
                <w:sz w:val="15"/>
                <w:szCs w:val="15"/>
              </w:rPr>
            </w:pPr>
            <w:r>
              <w:rPr>
                <w:rFonts w:hint="eastAsia" w:ascii="Times New Roman" w:hAnsi="Times New Roman" w:eastAsia="宋体" w:cs="Times New Roman"/>
                <w:bCs/>
                <w:sz w:val="15"/>
                <w:szCs w:val="15"/>
              </w:rPr>
              <w:t>盐山县泰达房地产开发有限公司</w:t>
            </w:r>
          </w:p>
        </w:tc>
        <w:tc>
          <w:tcPr>
            <w:tcW w:w="3359" w:type="dxa"/>
            <w:gridSpan w:val="4"/>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运营单位社会统一信用代码(或组织机构代码)</w:t>
            </w: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r>
              <w:rPr>
                <w:rFonts w:hint="eastAsia" w:ascii="Times New Roman" w:hAnsi="Times New Roman" w:eastAsia="微软雅黑" w:cs="Times New Roman"/>
                <w:color w:val="202020"/>
                <w:sz w:val="15"/>
                <w:szCs w:val="15"/>
                <w:shd w:val="clear" w:color="auto" w:fill="FFFFFF"/>
              </w:rPr>
              <w:t>91130925556095180C</w:t>
            </w:r>
          </w:p>
        </w:tc>
        <w:tc>
          <w:tcPr>
            <w:tcW w:w="1559" w:type="dxa"/>
            <w:gridSpan w:val="3"/>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验收时间</w:t>
            </w:r>
          </w:p>
        </w:tc>
        <w:tc>
          <w:tcPr>
            <w:tcW w:w="2756" w:type="dxa"/>
            <w:gridSpan w:val="5"/>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62" w:type="dxa"/>
            <w:gridSpan w:val="2"/>
            <w:vMerge w:val="restart"/>
            <w:tcMar>
              <w:left w:w="6" w:type="dxa"/>
              <w:right w:w="6" w:type="dxa"/>
            </w:tcMar>
          </w:tcPr>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p>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污染物排放达标与总量控制（工业建设项目详填）</w:t>
            </w:r>
          </w:p>
        </w:tc>
        <w:tc>
          <w:tcPr>
            <w:tcW w:w="1771"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污染物</w:t>
            </w:r>
          </w:p>
        </w:tc>
        <w:tc>
          <w:tcPr>
            <w:tcW w:w="923"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原有排放量(1)</w:t>
            </w:r>
          </w:p>
        </w:tc>
        <w:tc>
          <w:tcPr>
            <w:tcW w:w="1134" w:type="dxa"/>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本期工程实际排放浓度(2)</w:t>
            </w: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本期工程允许排放浓度(3)</w:t>
            </w:r>
          </w:p>
        </w:tc>
        <w:tc>
          <w:tcPr>
            <w:tcW w:w="992" w:type="dxa"/>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本期工程产生量(4)</w:t>
            </w: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本期工程自身削减量(5)</w:t>
            </w:r>
          </w:p>
        </w:tc>
        <w:tc>
          <w:tcPr>
            <w:tcW w:w="1220" w:type="dxa"/>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本期工程实际排放量(6)</w:t>
            </w:r>
          </w:p>
        </w:tc>
        <w:tc>
          <w:tcPr>
            <w:tcW w:w="1005" w:type="dxa"/>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本期工程核定排放总量(7)</w:t>
            </w: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本期工程“以新带老”削减量(8)</w:t>
            </w: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全厂实际排放总量(9)</w:t>
            </w: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全厂核定排放总量(10)</w:t>
            </w: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区域平衡替代削减量(11)</w:t>
            </w: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废水</w:t>
            </w:r>
          </w:p>
        </w:tc>
        <w:tc>
          <w:tcPr>
            <w:tcW w:w="923" w:type="dxa"/>
            <w:gridSpan w:val="2"/>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1134" w:type="dxa"/>
            <w:gridSpan w:val="2"/>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化学需氧量</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12</w:t>
            </w:r>
          </w:p>
        </w:tc>
        <w:tc>
          <w:tcPr>
            <w:tcW w:w="1134" w:type="dxa"/>
            <w:gridSpan w:val="2"/>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400</w:t>
            </w:r>
          </w:p>
        </w:tc>
        <w:tc>
          <w:tcPr>
            <w:tcW w:w="992" w:type="dxa"/>
            <w:tcMar>
              <w:left w:w="6" w:type="dxa"/>
              <w:right w:w="6" w:type="dxa"/>
            </w:tcMar>
            <w:vAlign w:val="cente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vAlign w:val="cente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1.01</w:t>
            </w: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氨氮</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0.786</w:t>
            </w:r>
          </w:p>
        </w:tc>
        <w:tc>
          <w:tcPr>
            <w:tcW w:w="1134" w:type="dxa"/>
            <w:gridSpan w:val="2"/>
            <w:tcMar>
              <w:left w:w="6" w:type="dxa"/>
              <w:right w:w="6" w:type="dxa"/>
            </w:tcMar>
            <w:vAlign w:val="center"/>
          </w:tcPr>
          <w:p>
            <w:pPr>
              <w:widowControl w:val="0"/>
              <w:spacing w:line="240" w:lineRule="exact"/>
              <w:ind w:left="-107" w:leftChars="-51" w:right="-67" w:rightChars="-32" w:firstLine="0" w:firstLineChars="0"/>
              <w:jc w:val="center"/>
              <w:rPr>
                <w:rFonts w:hint="default" w:ascii="Times New Roman" w:hAnsi="Times New Roman" w:eastAsia="宋体" w:cs="Times New Roman"/>
                <w:kern w:val="2"/>
                <w:sz w:val="15"/>
                <w:szCs w:val="15"/>
                <w:lang w:val="en-US" w:eastAsia="zh-CN" w:bidi="ar-SA"/>
              </w:rPr>
            </w:pPr>
            <w:r>
              <w:rPr>
                <w:rFonts w:hint="eastAsia" w:ascii="Times New Roman" w:hAnsi="Times New Roman" w:eastAsia="宋体" w:cs="Times New Roman"/>
                <w:kern w:val="2"/>
                <w:sz w:val="15"/>
                <w:szCs w:val="15"/>
                <w:lang w:val="en-US" w:eastAsia="zh-CN" w:bidi="ar-SA"/>
              </w:rPr>
              <w:t>35</w:t>
            </w: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hint="default" w:ascii="Times New Roman" w:hAnsi="Times New Roman" w:eastAsia="宋体" w:cs="Times New Roman"/>
                <w:sz w:val="15"/>
                <w:szCs w:val="15"/>
                <w:lang w:val="en-US" w:eastAsia="zh-CN"/>
              </w:rPr>
            </w:pPr>
            <w:r>
              <w:rPr>
                <w:rFonts w:hint="eastAsia" w:ascii="Times New Roman" w:hAnsi="Times New Roman" w:eastAsia="宋体" w:cs="Times New Roman"/>
                <w:sz w:val="15"/>
                <w:szCs w:val="15"/>
                <w:lang w:val="en-US" w:eastAsia="zh-CN"/>
              </w:rPr>
              <w:t>0.0662</w:t>
            </w: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废气</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color w:val="FF0000"/>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二氧化硫</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vAlign w:val="cente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5"/>
                <w:szCs w:val="15"/>
                <w:lang w:val="en-US" w:eastAsia="zh-CN" w:bidi="ar-SA"/>
              </w:rPr>
            </w:pP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color w:val="FF0000"/>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烟尘</w:t>
            </w:r>
          </w:p>
        </w:tc>
        <w:tc>
          <w:tcPr>
            <w:tcW w:w="923" w:type="dxa"/>
            <w:gridSpan w:val="2"/>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992"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工业粉尘</w:t>
            </w:r>
          </w:p>
        </w:tc>
        <w:tc>
          <w:tcPr>
            <w:tcW w:w="923" w:type="dxa"/>
            <w:gridSpan w:val="2"/>
            <w:tcMar>
              <w:left w:w="6" w:type="dxa"/>
              <w:right w:w="6" w:type="dxa"/>
            </w:tcMar>
            <w:vAlign w:val="center"/>
          </w:tcPr>
          <w:p>
            <w:pPr>
              <w:widowControl w:val="0"/>
              <w:spacing w:line="240" w:lineRule="exact"/>
              <w:ind w:left="-107" w:leftChars="-51" w:right="-101" w:rightChars="-48" w:firstLine="0" w:firstLineChars="0"/>
              <w:jc w:val="center"/>
              <w:rPr>
                <w:rFonts w:ascii="Times New Roman" w:hAnsi="Times New Roman" w:eastAsia="宋体" w:cs="Times New Roman"/>
                <w:kern w:val="2"/>
                <w:sz w:val="15"/>
                <w:szCs w:val="15"/>
                <w:lang w:val="en-US" w:eastAsia="zh-CN" w:bidi="ar-SA"/>
              </w:rPr>
            </w:pPr>
          </w:p>
        </w:tc>
        <w:tc>
          <w:tcPr>
            <w:tcW w:w="1134"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992"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氮氧化物</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8"/>
                <w:szCs w:val="18"/>
                <w:lang w:val="en-US" w:eastAsia="zh-CN" w:bidi="ar-SA"/>
              </w:rPr>
            </w:pPr>
          </w:p>
        </w:tc>
        <w:tc>
          <w:tcPr>
            <w:tcW w:w="1134"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992"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1771" w:type="dxa"/>
            <w:gridSpan w:val="2"/>
            <w:tcMar>
              <w:left w:w="6" w:type="dxa"/>
              <w:right w:w="6" w:type="dxa"/>
            </w:tcMar>
            <w:vAlign w:val="center"/>
          </w:tcPr>
          <w:p>
            <w:pPr>
              <w:spacing w:line="280" w:lineRule="atLeast"/>
              <w:jc w:val="distribute"/>
              <w:rPr>
                <w:rFonts w:ascii="Times New Roman" w:hAnsi="Times New Roman" w:eastAsia="宋体" w:cs="Times New Roman"/>
                <w:bCs/>
                <w:sz w:val="15"/>
                <w:szCs w:val="15"/>
              </w:rPr>
            </w:pPr>
            <w:r>
              <w:rPr>
                <w:rFonts w:ascii="Times New Roman" w:hAnsi="Times New Roman" w:eastAsia="宋体" w:cs="Times New Roman"/>
                <w:bCs/>
                <w:sz w:val="15"/>
                <w:szCs w:val="15"/>
              </w:rPr>
              <w:t>工业固体废物</w:t>
            </w:r>
          </w:p>
        </w:tc>
        <w:tc>
          <w:tcPr>
            <w:tcW w:w="923" w:type="dxa"/>
            <w:gridSpan w:val="2"/>
            <w:tcMar>
              <w:left w:w="6" w:type="dxa"/>
              <w:right w:w="6" w:type="dxa"/>
            </w:tcMar>
            <w:vAlign w:val="center"/>
          </w:tcPr>
          <w:p>
            <w:pPr>
              <w:widowControl w:val="0"/>
              <w:spacing w:line="240" w:lineRule="exact"/>
              <w:ind w:left="-107" w:leftChars="-51" w:right="-67" w:rightChars="-32" w:firstLine="0" w:firstLineChars="0"/>
              <w:jc w:val="center"/>
              <w:rPr>
                <w:rFonts w:ascii="Times New Roman" w:hAnsi="Times New Roman" w:eastAsia="宋体" w:cs="Times New Roman"/>
                <w:kern w:val="2"/>
                <w:sz w:val="18"/>
                <w:szCs w:val="18"/>
                <w:lang w:val="en-US" w:eastAsia="zh-CN" w:bidi="ar-SA"/>
              </w:rPr>
            </w:pPr>
          </w:p>
        </w:tc>
        <w:tc>
          <w:tcPr>
            <w:tcW w:w="1134"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992"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220" w:type="dxa"/>
            <w:tcMar>
              <w:left w:w="6" w:type="dxa"/>
              <w:right w:w="6" w:type="dxa"/>
            </w:tcMar>
          </w:tcPr>
          <w:p>
            <w:pPr>
              <w:spacing w:line="260" w:lineRule="exact"/>
              <w:jc w:val="center"/>
              <w:rPr>
                <w:rFonts w:ascii="Times New Roman" w:hAnsi="Times New Roman" w:eastAsia="宋体" w:cs="Times New Roman"/>
                <w:color w:val="FF0000"/>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758" w:type="dxa"/>
            <w:vMerge w:val="restart"/>
            <w:tcMar>
              <w:top w:w="0" w:type="dxa"/>
              <w:left w:w="6" w:type="dxa"/>
              <w:bottom w:w="0" w:type="dxa"/>
              <w:right w:w="6" w:type="dxa"/>
            </w:tcMar>
          </w:tcPr>
          <w:p>
            <w:pPr>
              <w:spacing w:line="260" w:lineRule="exact"/>
              <w:rPr>
                <w:rFonts w:ascii="Times New Roman" w:hAnsi="Times New Roman" w:eastAsia="宋体" w:cs="Times New Roman"/>
                <w:sz w:val="15"/>
                <w:szCs w:val="15"/>
              </w:rPr>
            </w:pPr>
            <w:r>
              <w:rPr>
                <w:rFonts w:ascii="Times New Roman" w:hAnsi="Times New Roman" w:eastAsia="宋体" w:cs="Times New Roman"/>
                <w:sz w:val="15"/>
                <w:szCs w:val="15"/>
              </w:rPr>
              <w:t>与项目有关的其他特征污染物</w:t>
            </w:r>
          </w:p>
        </w:tc>
        <w:tc>
          <w:tcPr>
            <w:tcW w:w="1013" w:type="dxa"/>
            <w:tcMar>
              <w:left w:w="6" w:type="dxa"/>
              <w:right w:w="6" w:type="dxa"/>
            </w:tcMar>
            <w:vAlign w:val="center"/>
          </w:tcPr>
          <w:p>
            <w:pPr>
              <w:jc w:val="center"/>
              <w:rPr>
                <w:rFonts w:ascii="Times New Roman" w:hAnsi="Times New Roman" w:eastAsia="宋体" w:cs="Times New Roman"/>
                <w:bCs/>
                <w:spacing w:val="-20"/>
                <w:sz w:val="15"/>
                <w:szCs w:val="15"/>
              </w:rPr>
            </w:pPr>
            <w:r>
              <w:rPr>
                <w:rFonts w:hint="eastAsia" w:ascii="Times New Roman" w:hAnsi="Times New Roman" w:eastAsia="宋体" w:cs="Times New Roman"/>
                <w:bCs/>
                <w:sz w:val="15"/>
                <w:szCs w:val="15"/>
              </w:rPr>
              <w:t>非甲烷总烃</w:t>
            </w:r>
          </w:p>
        </w:tc>
        <w:tc>
          <w:tcPr>
            <w:tcW w:w="923"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992" w:type="dxa"/>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1134" w:type="dxa"/>
            <w:gridSpan w:val="2"/>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1220" w:type="dxa"/>
            <w:tcMar>
              <w:left w:w="6" w:type="dxa"/>
              <w:right w:w="6" w:type="dxa"/>
            </w:tcMar>
            <w:vAlign w:val="center"/>
          </w:tcPr>
          <w:p>
            <w:pPr>
              <w:spacing w:line="260" w:lineRule="exact"/>
              <w:jc w:val="center"/>
              <w:rPr>
                <w:rFonts w:ascii="Times New Roman" w:hAnsi="Times New Roman" w:eastAsia="宋体" w:cs="Times New Roman"/>
                <w:color w:val="FF0000"/>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758"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013" w:type="dxa"/>
            <w:tcMar>
              <w:left w:w="6" w:type="dxa"/>
              <w:right w:w="6" w:type="dxa"/>
            </w:tcMar>
            <w:vAlign w:val="center"/>
          </w:tcPr>
          <w:p>
            <w:pPr>
              <w:spacing w:line="280" w:lineRule="atLeast"/>
              <w:jc w:val="distribute"/>
              <w:rPr>
                <w:rFonts w:ascii="Times New Roman" w:hAnsi="Times New Roman" w:eastAsia="宋体" w:cs="Times New Roman"/>
                <w:bCs/>
                <w:spacing w:val="-20"/>
                <w:sz w:val="15"/>
                <w:szCs w:val="15"/>
              </w:rPr>
            </w:pPr>
            <w:r>
              <w:rPr>
                <w:rFonts w:hint="eastAsia" w:ascii="Times New Roman" w:hAnsi="Times New Roman" w:eastAsia="宋体" w:cs="Times New Roman"/>
                <w:bCs/>
                <w:sz w:val="15"/>
                <w:szCs w:val="15"/>
              </w:rPr>
              <w:t>苯</w:t>
            </w:r>
          </w:p>
        </w:tc>
        <w:tc>
          <w:tcPr>
            <w:tcW w:w="923" w:type="dxa"/>
            <w:gridSpan w:val="2"/>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tcMar>
              <w:left w:w="6" w:type="dxa"/>
              <w:right w:w="6" w:type="dxa"/>
            </w:tcMar>
          </w:tcPr>
          <w:p>
            <w:pPr>
              <w:spacing w:line="260" w:lineRule="exact"/>
              <w:jc w:val="center"/>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p>
        </w:tc>
        <w:tc>
          <w:tcPr>
            <w:tcW w:w="992" w:type="dxa"/>
            <w:tcMar>
              <w:left w:w="6" w:type="dxa"/>
              <w:right w:w="6" w:type="dxa"/>
            </w:tcMar>
          </w:tcPr>
          <w:p>
            <w:pPr>
              <w:spacing w:line="260" w:lineRule="exact"/>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p>
        </w:tc>
        <w:tc>
          <w:tcPr>
            <w:tcW w:w="1220" w:type="dxa"/>
            <w:tcMar>
              <w:left w:w="6" w:type="dxa"/>
              <w:right w:w="6" w:type="dxa"/>
            </w:tcMar>
          </w:tcPr>
          <w:p>
            <w:pPr>
              <w:spacing w:line="260" w:lineRule="exact"/>
              <w:jc w:val="left"/>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62" w:type="dxa"/>
            <w:gridSpan w:val="2"/>
            <w:vMerge w:val="continue"/>
            <w:tcMar>
              <w:left w:w="6" w:type="dxa"/>
              <w:right w:w="6" w:type="dxa"/>
            </w:tcMar>
          </w:tcPr>
          <w:p>
            <w:pPr>
              <w:spacing w:line="260" w:lineRule="exact"/>
              <w:rPr>
                <w:rFonts w:ascii="Times New Roman" w:hAnsi="Times New Roman" w:eastAsia="宋体" w:cs="Times New Roman"/>
                <w:sz w:val="15"/>
                <w:szCs w:val="15"/>
              </w:rPr>
            </w:pPr>
          </w:p>
        </w:tc>
        <w:tc>
          <w:tcPr>
            <w:tcW w:w="758" w:type="dxa"/>
            <w:vMerge w:val="continue"/>
            <w:tcMar>
              <w:left w:w="6" w:type="dxa"/>
              <w:right w:w="6" w:type="dxa"/>
            </w:tcMar>
          </w:tcPr>
          <w:p>
            <w:pPr>
              <w:spacing w:line="260" w:lineRule="exact"/>
              <w:rPr>
                <w:rFonts w:ascii="Times New Roman" w:hAnsi="Times New Roman" w:eastAsia="宋体" w:cs="Times New Roman"/>
                <w:sz w:val="15"/>
                <w:szCs w:val="15"/>
              </w:rPr>
            </w:pPr>
          </w:p>
        </w:tc>
        <w:tc>
          <w:tcPr>
            <w:tcW w:w="1013" w:type="dxa"/>
            <w:tcMar>
              <w:left w:w="6" w:type="dxa"/>
              <w:right w:w="6" w:type="dxa"/>
            </w:tcMar>
          </w:tcPr>
          <w:p>
            <w:pPr>
              <w:spacing w:line="260" w:lineRule="exact"/>
              <w:rPr>
                <w:rFonts w:ascii="Times New Roman" w:hAnsi="Times New Roman" w:eastAsia="宋体" w:cs="Times New Roman"/>
                <w:sz w:val="15"/>
                <w:szCs w:val="15"/>
              </w:rPr>
            </w:pPr>
          </w:p>
        </w:tc>
        <w:tc>
          <w:tcPr>
            <w:tcW w:w="923" w:type="dxa"/>
            <w:gridSpan w:val="2"/>
            <w:tcMar>
              <w:left w:w="6" w:type="dxa"/>
              <w:right w:w="6" w:type="dxa"/>
            </w:tcMar>
          </w:tcPr>
          <w:p>
            <w:pPr>
              <w:spacing w:line="260" w:lineRule="exact"/>
              <w:rPr>
                <w:rFonts w:ascii="Times New Roman" w:hAnsi="Times New Roman" w:eastAsia="宋体" w:cs="Times New Roman"/>
                <w:sz w:val="15"/>
                <w:szCs w:val="15"/>
              </w:rPr>
            </w:pPr>
          </w:p>
        </w:tc>
        <w:tc>
          <w:tcPr>
            <w:tcW w:w="1134" w:type="dxa"/>
            <w:tcMar>
              <w:left w:w="6" w:type="dxa"/>
              <w:right w:w="6" w:type="dxa"/>
            </w:tcMar>
          </w:tcPr>
          <w:p>
            <w:pPr>
              <w:spacing w:line="260" w:lineRule="exact"/>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p>
        </w:tc>
        <w:tc>
          <w:tcPr>
            <w:tcW w:w="992" w:type="dxa"/>
            <w:tcMar>
              <w:left w:w="6" w:type="dxa"/>
              <w:right w:w="6" w:type="dxa"/>
            </w:tcMar>
          </w:tcPr>
          <w:p>
            <w:pPr>
              <w:spacing w:line="260" w:lineRule="exact"/>
              <w:rPr>
                <w:rFonts w:ascii="Times New Roman" w:hAnsi="Times New Roman" w:eastAsia="宋体" w:cs="Times New Roman"/>
                <w:sz w:val="15"/>
                <w:szCs w:val="15"/>
              </w:rPr>
            </w:pPr>
          </w:p>
        </w:tc>
        <w:tc>
          <w:tcPr>
            <w:tcW w:w="1134" w:type="dxa"/>
            <w:gridSpan w:val="2"/>
            <w:tcMar>
              <w:left w:w="6" w:type="dxa"/>
              <w:right w:w="6" w:type="dxa"/>
            </w:tcMar>
          </w:tcPr>
          <w:p>
            <w:pPr>
              <w:spacing w:line="260" w:lineRule="exact"/>
              <w:rPr>
                <w:rFonts w:ascii="Times New Roman" w:hAnsi="Times New Roman" w:eastAsia="宋体" w:cs="Times New Roman"/>
                <w:sz w:val="15"/>
                <w:szCs w:val="15"/>
              </w:rPr>
            </w:pPr>
          </w:p>
        </w:tc>
        <w:tc>
          <w:tcPr>
            <w:tcW w:w="1220" w:type="dxa"/>
            <w:tcMar>
              <w:left w:w="6" w:type="dxa"/>
              <w:right w:w="6" w:type="dxa"/>
            </w:tcMar>
          </w:tcPr>
          <w:p>
            <w:pPr>
              <w:spacing w:line="260" w:lineRule="exact"/>
              <w:rPr>
                <w:rFonts w:ascii="Times New Roman" w:hAnsi="Times New Roman" w:eastAsia="宋体" w:cs="Times New Roman"/>
                <w:sz w:val="15"/>
                <w:szCs w:val="15"/>
              </w:rPr>
            </w:pPr>
          </w:p>
        </w:tc>
        <w:tc>
          <w:tcPr>
            <w:tcW w:w="1005" w:type="dxa"/>
            <w:tcMar>
              <w:left w:w="6" w:type="dxa"/>
              <w:right w:w="6" w:type="dxa"/>
            </w:tcMar>
          </w:tcPr>
          <w:p>
            <w:pPr>
              <w:spacing w:line="260" w:lineRule="exact"/>
              <w:rPr>
                <w:rFonts w:ascii="Times New Roman" w:hAnsi="Times New Roman" w:eastAsia="宋体" w:cs="Times New Roman"/>
                <w:sz w:val="15"/>
                <w:szCs w:val="15"/>
              </w:rPr>
            </w:pPr>
          </w:p>
        </w:tc>
        <w:tc>
          <w:tcPr>
            <w:tcW w:w="1662" w:type="dxa"/>
            <w:gridSpan w:val="2"/>
            <w:tcMar>
              <w:left w:w="6" w:type="dxa"/>
              <w:right w:w="6" w:type="dxa"/>
            </w:tcMar>
          </w:tcPr>
          <w:p>
            <w:pPr>
              <w:spacing w:line="260" w:lineRule="exact"/>
              <w:rPr>
                <w:rFonts w:ascii="Times New Roman" w:hAnsi="Times New Roman" w:eastAsia="宋体" w:cs="Times New Roman"/>
                <w:sz w:val="15"/>
                <w:szCs w:val="15"/>
              </w:rPr>
            </w:pPr>
          </w:p>
        </w:tc>
        <w:tc>
          <w:tcPr>
            <w:tcW w:w="1026" w:type="dxa"/>
            <w:gridSpan w:val="2"/>
            <w:tcMar>
              <w:left w:w="6" w:type="dxa"/>
              <w:right w:w="6" w:type="dxa"/>
            </w:tcMar>
          </w:tcPr>
          <w:p>
            <w:pPr>
              <w:spacing w:line="260" w:lineRule="exact"/>
              <w:rPr>
                <w:rFonts w:ascii="Times New Roman" w:hAnsi="Times New Roman" w:eastAsia="宋体" w:cs="Times New Roman"/>
                <w:sz w:val="15"/>
                <w:szCs w:val="15"/>
              </w:rPr>
            </w:pPr>
          </w:p>
        </w:tc>
        <w:tc>
          <w:tcPr>
            <w:tcW w:w="993" w:type="dxa"/>
            <w:gridSpan w:val="2"/>
            <w:tcMar>
              <w:left w:w="6" w:type="dxa"/>
              <w:right w:w="6" w:type="dxa"/>
            </w:tcMar>
          </w:tcPr>
          <w:p>
            <w:pPr>
              <w:spacing w:line="260" w:lineRule="exact"/>
              <w:rPr>
                <w:rFonts w:ascii="Times New Roman" w:hAnsi="Times New Roman" w:eastAsia="宋体" w:cs="Times New Roman"/>
                <w:sz w:val="15"/>
                <w:szCs w:val="15"/>
              </w:rPr>
            </w:pPr>
          </w:p>
        </w:tc>
        <w:tc>
          <w:tcPr>
            <w:tcW w:w="1189" w:type="dxa"/>
            <w:gridSpan w:val="2"/>
            <w:tcMar>
              <w:left w:w="6" w:type="dxa"/>
              <w:right w:w="6" w:type="dxa"/>
            </w:tcMar>
          </w:tcPr>
          <w:p>
            <w:pPr>
              <w:spacing w:line="260" w:lineRule="exact"/>
              <w:rPr>
                <w:rFonts w:ascii="Times New Roman" w:hAnsi="Times New Roman" w:eastAsia="宋体" w:cs="Times New Roman"/>
                <w:sz w:val="15"/>
                <w:szCs w:val="15"/>
              </w:rPr>
            </w:pPr>
          </w:p>
        </w:tc>
        <w:tc>
          <w:tcPr>
            <w:tcW w:w="1107" w:type="dxa"/>
            <w:gridSpan w:val="2"/>
            <w:tcMar>
              <w:left w:w="6" w:type="dxa"/>
              <w:right w:w="6" w:type="dxa"/>
            </w:tcMar>
          </w:tcPr>
          <w:p>
            <w:pPr>
              <w:spacing w:line="260" w:lineRule="exact"/>
              <w:rPr>
                <w:rFonts w:ascii="Times New Roman" w:hAnsi="Times New Roman" w:eastAsia="宋体" w:cs="Times New Roman"/>
                <w:sz w:val="15"/>
                <w:szCs w:val="15"/>
              </w:rPr>
            </w:pPr>
          </w:p>
        </w:tc>
      </w:tr>
    </w:tbl>
    <w:p>
      <w:pPr>
        <w:ind w:firstLine="750" w:firstLineChars="500"/>
        <w:rPr>
          <w:rFonts w:ascii="Times New Roman" w:hAnsi="Times New Roman" w:eastAsia="宋体" w:cs="Times New Roman"/>
        </w:rPr>
      </w:pPr>
      <w:r>
        <w:rPr>
          <w:rFonts w:ascii="Times New Roman" w:hAnsi="Times New Roman" w:eastAsia="宋体" w:cs="Times New Roman"/>
          <w:sz w:val="15"/>
        </w:rPr>
        <w:t>注：1、排放增减量：(+)表示增加，(-)表示减少。2、(12)=(6)-(8)-(11)，(9)=(4)-(5)-(8)-(11)+(1)。3、计量单位：废水排放量——万吨/年；废气排放量——万标立方米/年；工业固体废物排放量——万吨/年；水污染物排放浓度——毫克/升</w:t>
      </w:r>
    </w:p>
    <w:p>
      <w:pPr>
        <w:ind w:firstLine="750" w:firstLineChars="500"/>
        <w:rPr>
          <w:rFonts w:hint="default" w:ascii="Times New Roman" w:hAnsi="Times New Roman" w:eastAsia="黑体" w:cs="Times New Roman"/>
          <w:color w:val="auto"/>
          <w:sz w:val="15"/>
        </w:rPr>
      </w:pPr>
    </w:p>
    <w:sectPr>
      <w:pgSz w:w="16838" w:h="11906" w:orient="landscape"/>
      <w:pgMar w:top="1230" w:right="306" w:bottom="1230" w:left="30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ˎ̥">
    <w:altName w:val="Times New Roman"/>
    <w:panose1 w:val="00000000000000000000"/>
    <w:charset w:val="00"/>
    <w:family w:val="roman"/>
    <w:pitch w:val="default"/>
    <w:sig w:usb0="00000000" w:usb1="00000000" w:usb2="00000000" w:usb3="00000000" w:csb0="00000000" w:csb1="00000000"/>
  </w:font>
  <w:font w:name="仿宋_GB2312">
    <w:altName w:val="仿宋"/>
    <w:panose1 w:val="00000000000000000000"/>
    <w:charset w:val="86"/>
    <w:family w:val="modern"/>
    <w:pitch w:val="default"/>
    <w:sig w:usb0="00000000" w:usb1="0000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Aa1OYW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CzoDPZop7Ojy9cvl24/L988EdyCotX6BuJ1FZOhemw6LHu89LuPc&#10;XeVU/GIiAj+wzld6RRcIj0nz2Xyew8XhG3+Anz2lW+fDG2EUiUZBHfaXaGWnrQ996BgSq2mzaaRM&#10;O5SatAW9efkqTwlXD8ClRo04RN9stEK374bJ9qY8YzBnem14yzcNim+ZD4/MQQxoGAIPDzgqaVDE&#10;DBYltXGf/nYf47EjeClpIa6CaqifEvlWY3cADKPhRmM/Gvqo7gzUOsXDsTyZSHBBjmbljPoI1a9j&#10;DbiY5qhU0DCad6EXOF4NF+t1Cjpa1xzqPgHKsyxs9c7yWCYS6e36GEBm4jgS1LMy8AbtpS0N7ySK&#10;+9f/FPX0mlc/A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NJWO7QAAAABQEAAA8AAAAAAAAAAQAg&#10;AAAAIgAAAGRycy9kb3ducmV2LnhtbFBLAQIUABQAAAAIAIdO4kDwGtTmFgIAABUEAAAOAAAAAAAA&#10;AAEAIAAAAB8BAABkcnMvZTJvRG9jLnhtbFBLBQYAAAAABgAGAFkBAACnBQAAAAA=&#10;">
              <v:fill on="f" focussize="0,0"/>
              <v:stroke on="f" weight="0.5pt"/>
              <v:imagedata o:title=""/>
              <o:lock v:ext="edit" aspectratio="f"/>
              <v:textbox inset="0mm,0mm,0mm,0mm" style="mso-fit-shape-to-text:t;">
                <w:txbxContent>
                  <w:p>
                    <w:pPr>
                      <w:pStyle w:val="20"/>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0CF061E"/>
    <w:multiLevelType w:val="singleLevel"/>
    <w:tmpl w:val="A0CF061E"/>
    <w:lvl w:ilvl="0" w:tentative="0">
      <w:start w:val="1"/>
      <w:numFmt w:val="decimal"/>
      <w:lvlText w:val="%1."/>
      <w:lvlJc w:val="left"/>
      <w:pPr>
        <w:tabs>
          <w:tab w:val="left" w:pos="312"/>
        </w:tabs>
      </w:pPr>
    </w:lvl>
  </w:abstractNum>
  <w:abstractNum w:abstractNumId="1">
    <w:nsid w:val="C4B705F8"/>
    <w:multiLevelType w:val="singleLevel"/>
    <w:tmpl w:val="C4B705F8"/>
    <w:lvl w:ilvl="0" w:tentative="0">
      <w:start w:val="1"/>
      <w:numFmt w:val="decimal"/>
      <w:suff w:val="nothing"/>
      <w:lvlText w:val="（%1）"/>
      <w:lvlJc w:val="left"/>
    </w:lvl>
  </w:abstractNum>
  <w:abstractNum w:abstractNumId="2">
    <w:nsid w:val="C91F8B29"/>
    <w:multiLevelType w:val="singleLevel"/>
    <w:tmpl w:val="C91F8B29"/>
    <w:lvl w:ilvl="0" w:tentative="0">
      <w:start w:val="1"/>
      <w:numFmt w:val="decimal"/>
      <w:suff w:val="nothing"/>
      <w:lvlText w:val="（%1）"/>
      <w:lvlJc w:val="left"/>
    </w:lvl>
  </w:abstractNum>
  <w:abstractNum w:abstractNumId="3">
    <w:nsid w:val="23605C4C"/>
    <w:multiLevelType w:val="singleLevel"/>
    <w:tmpl w:val="23605C4C"/>
    <w:lvl w:ilvl="0" w:tentative="0">
      <w:start w:val="1"/>
      <w:numFmt w:val="decimal"/>
      <w:suff w:val="nothing"/>
      <w:lvlText w:val="%1、"/>
      <w:lvlJc w:val="left"/>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3"/>
  <w:bordersDoNotSurroundHeader w:val="0"/>
  <w:bordersDoNotSurroundFooter w:val="0"/>
  <w:hideSpellingErrors/>
  <w:hideGrammaticalErrors/>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7CBA"/>
    <w:rsid w:val="000148AA"/>
    <w:rsid w:val="0002043A"/>
    <w:rsid w:val="00021D28"/>
    <w:rsid w:val="00031ADD"/>
    <w:rsid w:val="000462A7"/>
    <w:rsid w:val="000579EA"/>
    <w:rsid w:val="000625A7"/>
    <w:rsid w:val="000641C8"/>
    <w:rsid w:val="000737A4"/>
    <w:rsid w:val="00076D01"/>
    <w:rsid w:val="0008542C"/>
    <w:rsid w:val="0008776D"/>
    <w:rsid w:val="00097CD8"/>
    <w:rsid w:val="000A384F"/>
    <w:rsid w:val="000A412E"/>
    <w:rsid w:val="000A7A75"/>
    <w:rsid w:val="000B37AF"/>
    <w:rsid w:val="000D7387"/>
    <w:rsid w:val="000E4225"/>
    <w:rsid w:val="0013008A"/>
    <w:rsid w:val="0013039A"/>
    <w:rsid w:val="001354F6"/>
    <w:rsid w:val="001506F1"/>
    <w:rsid w:val="00166B19"/>
    <w:rsid w:val="001A0F34"/>
    <w:rsid w:val="001D25E3"/>
    <w:rsid w:val="001D2E6B"/>
    <w:rsid w:val="001D5A11"/>
    <w:rsid w:val="001F6F33"/>
    <w:rsid w:val="00206CE1"/>
    <w:rsid w:val="00207100"/>
    <w:rsid w:val="002143BF"/>
    <w:rsid w:val="00214AF7"/>
    <w:rsid w:val="00216D0D"/>
    <w:rsid w:val="0023096D"/>
    <w:rsid w:val="00232C1C"/>
    <w:rsid w:val="00233E01"/>
    <w:rsid w:val="002458DD"/>
    <w:rsid w:val="00252BF1"/>
    <w:rsid w:val="0026051A"/>
    <w:rsid w:val="00265779"/>
    <w:rsid w:val="00276FC6"/>
    <w:rsid w:val="00286B5F"/>
    <w:rsid w:val="00293216"/>
    <w:rsid w:val="002A6545"/>
    <w:rsid w:val="002B02D0"/>
    <w:rsid w:val="002D3E26"/>
    <w:rsid w:val="002F4153"/>
    <w:rsid w:val="00312B61"/>
    <w:rsid w:val="0031678D"/>
    <w:rsid w:val="003222C4"/>
    <w:rsid w:val="00322403"/>
    <w:rsid w:val="003312A4"/>
    <w:rsid w:val="00333A79"/>
    <w:rsid w:val="00335B67"/>
    <w:rsid w:val="00341475"/>
    <w:rsid w:val="003430BD"/>
    <w:rsid w:val="00370E10"/>
    <w:rsid w:val="00373A5E"/>
    <w:rsid w:val="0037435A"/>
    <w:rsid w:val="00375427"/>
    <w:rsid w:val="003B0D53"/>
    <w:rsid w:val="003B4A79"/>
    <w:rsid w:val="003E6C8F"/>
    <w:rsid w:val="003F26D3"/>
    <w:rsid w:val="003F3249"/>
    <w:rsid w:val="0040457E"/>
    <w:rsid w:val="00422D48"/>
    <w:rsid w:val="00477552"/>
    <w:rsid w:val="004867D3"/>
    <w:rsid w:val="004A1EC7"/>
    <w:rsid w:val="004A58BE"/>
    <w:rsid w:val="004A644D"/>
    <w:rsid w:val="004A7E3F"/>
    <w:rsid w:val="004B7F2A"/>
    <w:rsid w:val="004C0F09"/>
    <w:rsid w:val="004C65E9"/>
    <w:rsid w:val="004C6B43"/>
    <w:rsid w:val="004D162A"/>
    <w:rsid w:val="004E6B64"/>
    <w:rsid w:val="00506F89"/>
    <w:rsid w:val="00534AB2"/>
    <w:rsid w:val="00542DA3"/>
    <w:rsid w:val="005547FF"/>
    <w:rsid w:val="0055688F"/>
    <w:rsid w:val="00571B8D"/>
    <w:rsid w:val="005749C9"/>
    <w:rsid w:val="005833F1"/>
    <w:rsid w:val="0058433A"/>
    <w:rsid w:val="00592DA8"/>
    <w:rsid w:val="005A5BFE"/>
    <w:rsid w:val="005C53AD"/>
    <w:rsid w:val="005F77DE"/>
    <w:rsid w:val="00604C96"/>
    <w:rsid w:val="00606798"/>
    <w:rsid w:val="0060769E"/>
    <w:rsid w:val="006137D5"/>
    <w:rsid w:val="00617761"/>
    <w:rsid w:val="00620CCD"/>
    <w:rsid w:val="0063711A"/>
    <w:rsid w:val="006402AF"/>
    <w:rsid w:val="00642562"/>
    <w:rsid w:val="0066434C"/>
    <w:rsid w:val="00685CA5"/>
    <w:rsid w:val="006864EF"/>
    <w:rsid w:val="006928A5"/>
    <w:rsid w:val="006A2027"/>
    <w:rsid w:val="006A45DD"/>
    <w:rsid w:val="006A602E"/>
    <w:rsid w:val="006D2EF9"/>
    <w:rsid w:val="006E44C6"/>
    <w:rsid w:val="006F04C7"/>
    <w:rsid w:val="006F6370"/>
    <w:rsid w:val="00704799"/>
    <w:rsid w:val="00712510"/>
    <w:rsid w:val="00712B85"/>
    <w:rsid w:val="007136D8"/>
    <w:rsid w:val="00720B0E"/>
    <w:rsid w:val="007409A5"/>
    <w:rsid w:val="00740AE3"/>
    <w:rsid w:val="0076059D"/>
    <w:rsid w:val="0077633B"/>
    <w:rsid w:val="007919ED"/>
    <w:rsid w:val="007A481D"/>
    <w:rsid w:val="007A54AA"/>
    <w:rsid w:val="007A60E4"/>
    <w:rsid w:val="007A7654"/>
    <w:rsid w:val="007B51E6"/>
    <w:rsid w:val="007C53C1"/>
    <w:rsid w:val="007D3F04"/>
    <w:rsid w:val="007F0153"/>
    <w:rsid w:val="0080503D"/>
    <w:rsid w:val="00805837"/>
    <w:rsid w:val="008124EB"/>
    <w:rsid w:val="0082216D"/>
    <w:rsid w:val="0083295C"/>
    <w:rsid w:val="00844819"/>
    <w:rsid w:val="00864D90"/>
    <w:rsid w:val="008913F5"/>
    <w:rsid w:val="008A03D7"/>
    <w:rsid w:val="008D3A73"/>
    <w:rsid w:val="008D7424"/>
    <w:rsid w:val="008F134C"/>
    <w:rsid w:val="008F4CAB"/>
    <w:rsid w:val="009125F4"/>
    <w:rsid w:val="00922EB9"/>
    <w:rsid w:val="009278D4"/>
    <w:rsid w:val="00955A17"/>
    <w:rsid w:val="00962D6E"/>
    <w:rsid w:val="00971676"/>
    <w:rsid w:val="00993F85"/>
    <w:rsid w:val="009A0A58"/>
    <w:rsid w:val="009A1369"/>
    <w:rsid w:val="009B17F7"/>
    <w:rsid w:val="009B563E"/>
    <w:rsid w:val="009B7543"/>
    <w:rsid w:val="009D05F1"/>
    <w:rsid w:val="009D32E5"/>
    <w:rsid w:val="009F1D24"/>
    <w:rsid w:val="00A03289"/>
    <w:rsid w:val="00A06A45"/>
    <w:rsid w:val="00A207F7"/>
    <w:rsid w:val="00A22624"/>
    <w:rsid w:val="00A27105"/>
    <w:rsid w:val="00A36AF7"/>
    <w:rsid w:val="00A458B7"/>
    <w:rsid w:val="00A46F99"/>
    <w:rsid w:val="00A55223"/>
    <w:rsid w:val="00A66560"/>
    <w:rsid w:val="00A84A61"/>
    <w:rsid w:val="00AB703A"/>
    <w:rsid w:val="00AB7FA0"/>
    <w:rsid w:val="00AC1379"/>
    <w:rsid w:val="00AD006E"/>
    <w:rsid w:val="00AF31C9"/>
    <w:rsid w:val="00B03BB7"/>
    <w:rsid w:val="00B05CEC"/>
    <w:rsid w:val="00B132AB"/>
    <w:rsid w:val="00B13996"/>
    <w:rsid w:val="00B16337"/>
    <w:rsid w:val="00B2352C"/>
    <w:rsid w:val="00B30567"/>
    <w:rsid w:val="00B332BD"/>
    <w:rsid w:val="00B41AED"/>
    <w:rsid w:val="00B4702D"/>
    <w:rsid w:val="00B52F37"/>
    <w:rsid w:val="00B81768"/>
    <w:rsid w:val="00B822C7"/>
    <w:rsid w:val="00B856B0"/>
    <w:rsid w:val="00B865D8"/>
    <w:rsid w:val="00B94353"/>
    <w:rsid w:val="00B94D0E"/>
    <w:rsid w:val="00BB30E6"/>
    <w:rsid w:val="00BD586B"/>
    <w:rsid w:val="00BF4278"/>
    <w:rsid w:val="00BF5883"/>
    <w:rsid w:val="00BF5943"/>
    <w:rsid w:val="00C20820"/>
    <w:rsid w:val="00C252AB"/>
    <w:rsid w:val="00C26CC8"/>
    <w:rsid w:val="00C2749C"/>
    <w:rsid w:val="00C31192"/>
    <w:rsid w:val="00C41528"/>
    <w:rsid w:val="00C5013B"/>
    <w:rsid w:val="00C61134"/>
    <w:rsid w:val="00C61992"/>
    <w:rsid w:val="00C66634"/>
    <w:rsid w:val="00C7007C"/>
    <w:rsid w:val="00C74380"/>
    <w:rsid w:val="00CA0C7B"/>
    <w:rsid w:val="00CC06EE"/>
    <w:rsid w:val="00CC20DB"/>
    <w:rsid w:val="00CC34BE"/>
    <w:rsid w:val="00CD1104"/>
    <w:rsid w:val="00CD1CA9"/>
    <w:rsid w:val="00CF05BE"/>
    <w:rsid w:val="00D0402B"/>
    <w:rsid w:val="00D85BD0"/>
    <w:rsid w:val="00D90FF4"/>
    <w:rsid w:val="00DB0CF1"/>
    <w:rsid w:val="00DC30D0"/>
    <w:rsid w:val="00DD1A7C"/>
    <w:rsid w:val="00DE331C"/>
    <w:rsid w:val="00DF4290"/>
    <w:rsid w:val="00DF44D5"/>
    <w:rsid w:val="00E12861"/>
    <w:rsid w:val="00E14BE4"/>
    <w:rsid w:val="00E15FB7"/>
    <w:rsid w:val="00E3736B"/>
    <w:rsid w:val="00E44527"/>
    <w:rsid w:val="00E52D93"/>
    <w:rsid w:val="00E73206"/>
    <w:rsid w:val="00E85010"/>
    <w:rsid w:val="00EB4848"/>
    <w:rsid w:val="00EE182A"/>
    <w:rsid w:val="00EE62CE"/>
    <w:rsid w:val="00EF4407"/>
    <w:rsid w:val="00F12081"/>
    <w:rsid w:val="00F30AE2"/>
    <w:rsid w:val="00F3101A"/>
    <w:rsid w:val="00F5290C"/>
    <w:rsid w:val="00F52B26"/>
    <w:rsid w:val="00F53386"/>
    <w:rsid w:val="00F657CC"/>
    <w:rsid w:val="00F657CF"/>
    <w:rsid w:val="00F66E87"/>
    <w:rsid w:val="00F76D6A"/>
    <w:rsid w:val="00F77F42"/>
    <w:rsid w:val="00F90551"/>
    <w:rsid w:val="00F90A8F"/>
    <w:rsid w:val="00F950DB"/>
    <w:rsid w:val="00F9533F"/>
    <w:rsid w:val="00FA3E2C"/>
    <w:rsid w:val="00FA67CA"/>
    <w:rsid w:val="00FB3ACA"/>
    <w:rsid w:val="00FB45EF"/>
    <w:rsid w:val="00FB7C93"/>
    <w:rsid w:val="00FC5EF0"/>
    <w:rsid w:val="00FD5285"/>
    <w:rsid w:val="00FD5A36"/>
    <w:rsid w:val="00FD62F2"/>
    <w:rsid w:val="00FE07C4"/>
    <w:rsid w:val="00FE69AD"/>
    <w:rsid w:val="0176178A"/>
    <w:rsid w:val="02225005"/>
    <w:rsid w:val="02227D7B"/>
    <w:rsid w:val="02245D8B"/>
    <w:rsid w:val="02417EBD"/>
    <w:rsid w:val="02990317"/>
    <w:rsid w:val="03C6039A"/>
    <w:rsid w:val="045917CC"/>
    <w:rsid w:val="05787825"/>
    <w:rsid w:val="068F6625"/>
    <w:rsid w:val="071542C8"/>
    <w:rsid w:val="0812338A"/>
    <w:rsid w:val="086A4B8B"/>
    <w:rsid w:val="0BDF5BAD"/>
    <w:rsid w:val="10A1044C"/>
    <w:rsid w:val="10A22FF2"/>
    <w:rsid w:val="11781F9A"/>
    <w:rsid w:val="11C162A1"/>
    <w:rsid w:val="122B7BD7"/>
    <w:rsid w:val="12D66B31"/>
    <w:rsid w:val="168C2087"/>
    <w:rsid w:val="170871EA"/>
    <w:rsid w:val="17781D46"/>
    <w:rsid w:val="1AB53B22"/>
    <w:rsid w:val="1B1E5750"/>
    <w:rsid w:val="1BEC2091"/>
    <w:rsid w:val="1BF94AF1"/>
    <w:rsid w:val="1C424E6C"/>
    <w:rsid w:val="1D9F3BE6"/>
    <w:rsid w:val="1DCB7E43"/>
    <w:rsid w:val="1EEB3CB2"/>
    <w:rsid w:val="1F346BD7"/>
    <w:rsid w:val="20F66D9A"/>
    <w:rsid w:val="218B283E"/>
    <w:rsid w:val="219802ED"/>
    <w:rsid w:val="21AD0BA5"/>
    <w:rsid w:val="222849EC"/>
    <w:rsid w:val="22372EB0"/>
    <w:rsid w:val="23BB28D9"/>
    <w:rsid w:val="23CF0545"/>
    <w:rsid w:val="25334080"/>
    <w:rsid w:val="26C864F9"/>
    <w:rsid w:val="26D139D2"/>
    <w:rsid w:val="271E4739"/>
    <w:rsid w:val="286C6264"/>
    <w:rsid w:val="28EF2401"/>
    <w:rsid w:val="292A2BC3"/>
    <w:rsid w:val="2932516F"/>
    <w:rsid w:val="295740AA"/>
    <w:rsid w:val="2B3C28C0"/>
    <w:rsid w:val="2D4D63D9"/>
    <w:rsid w:val="2E5436E9"/>
    <w:rsid w:val="2E7F2DEA"/>
    <w:rsid w:val="2FEB79DF"/>
    <w:rsid w:val="311D38BB"/>
    <w:rsid w:val="315D22BB"/>
    <w:rsid w:val="3270689A"/>
    <w:rsid w:val="34AE18C3"/>
    <w:rsid w:val="34F50AA6"/>
    <w:rsid w:val="378B0E21"/>
    <w:rsid w:val="3AC90716"/>
    <w:rsid w:val="3C6671C9"/>
    <w:rsid w:val="3C9D5B50"/>
    <w:rsid w:val="3E833BDE"/>
    <w:rsid w:val="3EC772F5"/>
    <w:rsid w:val="401A24AF"/>
    <w:rsid w:val="40F94582"/>
    <w:rsid w:val="41B66807"/>
    <w:rsid w:val="42F9552B"/>
    <w:rsid w:val="43FE0FD7"/>
    <w:rsid w:val="448E4D11"/>
    <w:rsid w:val="45724BF2"/>
    <w:rsid w:val="467C6058"/>
    <w:rsid w:val="47722ED5"/>
    <w:rsid w:val="478447D2"/>
    <w:rsid w:val="47DF4500"/>
    <w:rsid w:val="48C50451"/>
    <w:rsid w:val="4BA22E81"/>
    <w:rsid w:val="4C0B7FDB"/>
    <w:rsid w:val="4CD43019"/>
    <w:rsid w:val="4D48015C"/>
    <w:rsid w:val="4DB1272A"/>
    <w:rsid w:val="4E2060C5"/>
    <w:rsid w:val="4F62667A"/>
    <w:rsid w:val="4FBB610B"/>
    <w:rsid w:val="521E6390"/>
    <w:rsid w:val="56197EFD"/>
    <w:rsid w:val="56AD5517"/>
    <w:rsid w:val="59FF6670"/>
    <w:rsid w:val="5A051FF1"/>
    <w:rsid w:val="5ACA324A"/>
    <w:rsid w:val="5AF86EE0"/>
    <w:rsid w:val="5B425753"/>
    <w:rsid w:val="5B941018"/>
    <w:rsid w:val="5C1A2984"/>
    <w:rsid w:val="5E1F6CC7"/>
    <w:rsid w:val="5FB92C21"/>
    <w:rsid w:val="60B129FF"/>
    <w:rsid w:val="60ED5324"/>
    <w:rsid w:val="60F74E72"/>
    <w:rsid w:val="62042B96"/>
    <w:rsid w:val="63D229EC"/>
    <w:rsid w:val="64CD7EA0"/>
    <w:rsid w:val="651E6ADD"/>
    <w:rsid w:val="65A45558"/>
    <w:rsid w:val="65DE00E7"/>
    <w:rsid w:val="665E71AB"/>
    <w:rsid w:val="67C67B51"/>
    <w:rsid w:val="68BB55F5"/>
    <w:rsid w:val="69182B79"/>
    <w:rsid w:val="6C675CDE"/>
    <w:rsid w:val="6F6C7092"/>
    <w:rsid w:val="703C32C1"/>
    <w:rsid w:val="70BE5BE1"/>
    <w:rsid w:val="717C50E7"/>
    <w:rsid w:val="729B1E50"/>
    <w:rsid w:val="737104D5"/>
    <w:rsid w:val="73B81A12"/>
    <w:rsid w:val="747172FD"/>
    <w:rsid w:val="74ED5121"/>
    <w:rsid w:val="74EF7C81"/>
    <w:rsid w:val="74F850B5"/>
    <w:rsid w:val="751B6AA6"/>
    <w:rsid w:val="75B27F91"/>
    <w:rsid w:val="78C82DFF"/>
    <w:rsid w:val="7AEC302E"/>
    <w:rsid w:val="7DAD4D73"/>
    <w:rsid w:val="7E9A0E56"/>
    <w:rsid w:val="7EE30C32"/>
    <w:rsid w:val="7F0C6EB0"/>
    <w:rsid w:val="7F6640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qFormat="1" w:unhideWhenUsed="0" w:uiPriority="0"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qFormat="1" w:uiPriority="39" w:name="toc 7"/>
    <w:lsdException w:uiPriority="39" w:name="toc 8"/>
    <w:lsdException w:uiPriority="39" w:name="toc 9"/>
    <w:lsdException w:qFormat="1" w:unhideWhenUsed="0" w:uiPriority="0" w:semiHidden="0" w:name="Normal Indent"/>
    <w:lsdException w:uiPriority="99" w:name="footnote text"/>
    <w:lsdException w:qFormat="1" w:unhideWhenUsed="0" w:uiPriority="0" w:semiHidden="0" w:name="annotation text"/>
    <w:lsdException w:qFormat="1" w:uiPriority="0" w:semiHidden="0" w:name="header"/>
    <w:lsdException w:qFormat="1" w:uiPriority="99" w:semiHidden="0" w:name="footer"/>
    <w:lsdException w:uiPriority="99" w:name="index heading"/>
    <w:lsdException w:qFormat="1" w:unhideWhenUsed="0" w:uiPriority="0"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0" w:semiHidden="0" w:name="Date"/>
    <w:lsdException w:uiPriority="99" w:name="Body Text First Indent"/>
    <w:lsdException w:uiPriority="99"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uiPriority="99"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1"/>
    <w:basedOn w:val="1"/>
    <w:next w:val="1"/>
    <w:link w:val="40"/>
    <w:qFormat/>
    <w:uiPriority w:val="0"/>
    <w:pPr>
      <w:spacing w:line="480" w:lineRule="atLeast"/>
      <w:outlineLvl w:val="0"/>
    </w:pPr>
    <w:rPr>
      <w:rFonts w:ascii="宋体" w:hAnsi="宋体" w:eastAsia="宋体"/>
      <w:b/>
      <w:sz w:val="30"/>
      <w:szCs w:val="30"/>
    </w:rPr>
  </w:style>
  <w:style w:type="paragraph" w:styleId="5">
    <w:name w:val="heading 2"/>
    <w:basedOn w:val="4"/>
    <w:next w:val="1"/>
    <w:link w:val="41"/>
    <w:qFormat/>
    <w:uiPriority w:val="0"/>
    <w:pPr>
      <w:outlineLvl w:val="1"/>
    </w:pPr>
    <w:rPr>
      <w:sz w:val="28"/>
    </w:rPr>
  </w:style>
  <w:style w:type="paragraph" w:styleId="6">
    <w:name w:val="heading 3"/>
    <w:basedOn w:val="1"/>
    <w:next w:val="1"/>
    <w:link w:val="42"/>
    <w:qFormat/>
    <w:uiPriority w:val="0"/>
    <w:pPr>
      <w:spacing w:line="480" w:lineRule="atLeast"/>
      <w:outlineLvl w:val="2"/>
    </w:pPr>
    <w:rPr>
      <w:rFonts w:ascii="宋体" w:hAnsi="宋体" w:eastAsia="宋体"/>
      <w:sz w:val="24"/>
      <w:szCs w:val="24"/>
    </w:rPr>
  </w:style>
  <w:style w:type="paragraph" w:styleId="3">
    <w:name w:val="heading 4"/>
    <w:basedOn w:val="1"/>
    <w:next w:val="1"/>
    <w:link w:val="43"/>
    <w:qFormat/>
    <w:uiPriority w:val="0"/>
    <w:pPr>
      <w:keepNext/>
      <w:keepLines/>
      <w:spacing w:before="280" w:after="290" w:line="376" w:lineRule="auto"/>
      <w:outlineLvl w:val="3"/>
    </w:pPr>
    <w:rPr>
      <w:rFonts w:ascii="Arial" w:hAnsi="Arial" w:eastAsia="黑体" w:cs="Times New Roman"/>
      <w:b/>
      <w:bCs/>
      <w:sz w:val="28"/>
      <w:szCs w:val="28"/>
    </w:rPr>
  </w:style>
  <w:style w:type="character" w:default="1" w:styleId="32">
    <w:name w:val="Default Paragraph Font"/>
    <w:unhideWhenUsed/>
    <w:qFormat/>
    <w:uiPriority w:val="1"/>
  </w:style>
  <w:style w:type="table" w:default="1" w:styleId="30">
    <w:name w:val="Normal Table"/>
    <w:unhideWhenUsed/>
    <w:qFormat/>
    <w:uiPriority w:val="99"/>
    <w:tblPr>
      <w:tblCellMar>
        <w:top w:w="0" w:type="dxa"/>
        <w:left w:w="108" w:type="dxa"/>
        <w:bottom w:w="0" w:type="dxa"/>
        <w:right w:w="108" w:type="dxa"/>
      </w:tblCellMar>
    </w:tblPr>
  </w:style>
  <w:style w:type="paragraph" w:styleId="2">
    <w:name w:val="Normal Indent"/>
    <w:basedOn w:val="1"/>
    <w:next w:val="3"/>
    <w:link w:val="69"/>
    <w:qFormat/>
    <w:uiPriority w:val="0"/>
    <w:pPr>
      <w:ind w:firstLine="420" w:firstLineChars="200"/>
    </w:pPr>
    <w:rPr>
      <w:rFonts w:eastAsia="宋体"/>
      <w:szCs w:val="24"/>
    </w:rPr>
  </w:style>
  <w:style w:type="paragraph" w:styleId="7">
    <w:name w:val="toc 7"/>
    <w:basedOn w:val="1"/>
    <w:next w:val="1"/>
    <w:semiHidden/>
    <w:unhideWhenUsed/>
    <w:qFormat/>
    <w:uiPriority w:val="39"/>
    <w:pPr>
      <w:ind w:left="2520" w:leftChars="1200"/>
    </w:pPr>
  </w:style>
  <w:style w:type="paragraph" w:styleId="8">
    <w:name w:val="caption"/>
    <w:basedOn w:val="1"/>
    <w:next w:val="1"/>
    <w:link w:val="70"/>
    <w:qFormat/>
    <w:uiPriority w:val="0"/>
    <w:pPr>
      <w:jc w:val="center"/>
    </w:pPr>
    <w:rPr>
      <w:rFonts w:ascii="宋体" w:hAnsi="Arial" w:eastAsia="宋体" w:cs="Arial"/>
    </w:rPr>
  </w:style>
  <w:style w:type="paragraph" w:styleId="9">
    <w:name w:val="Document Map"/>
    <w:basedOn w:val="1"/>
    <w:link w:val="75"/>
    <w:semiHidden/>
    <w:qFormat/>
    <w:uiPriority w:val="0"/>
    <w:pPr>
      <w:shd w:val="clear" w:color="auto" w:fill="000080"/>
    </w:pPr>
    <w:rPr>
      <w:rFonts w:ascii="Times New Roman" w:hAnsi="Times New Roman" w:eastAsia="宋体" w:cs="Times New Roman"/>
      <w:szCs w:val="24"/>
    </w:rPr>
  </w:style>
  <w:style w:type="paragraph" w:styleId="10">
    <w:name w:val="annotation text"/>
    <w:basedOn w:val="1"/>
    <w:link w:val="52"/>
    <w:qFormat/>
    <w:uiPriority w:val="0"/>
    <w:pPr>
      <w:jc w:val="left"/>
    </w:pPr>
    <w:rPr>
      <w:szCs w:val="24"/>
    </w:rPr>
  </w:style>
  <w:style w:type="paragraph" w:styleId="11">
    <w:name w:val="Body Text 3"/>
    <w:basedOn w:val="1"/>
    <w:link w:val="74"/>
    <w:qFormat/>
    <w:uiPriority w:val="0"/>
    <w:pPr>
      <w:spacing w:after="120"/>
    </w:pPr>
    <w:rPr>
      <w:rFonts w:ascii="Times New Roman" w:hAnsi="Times New Roman" w:eastAsia="宋体" w:cs="Times New Roman"/>
      <w:sz w:val="16"/>
      <w:szCs w:val="16"/>
    </w:rPr>
  </w:style>
  <w:style w:type="paragraph" w:styleId="12">
    <w:name w:val="Body Text"/>
    <w:basedOn w:val="1"/>
    <w:link w:val="78"/>
    <w:qFormat/>
    <w:uiPriority w:val="0"/>
    <w:rPr>
      <w:rFonts w:ascii="Times New Roman" w:hAnsi="Times New Roman" w:eastAsia="宋体" w:cs="Times New Roman"/>
      <w:sz w:val="32"/>
      <w:szCs w:val="20"/>
    </w:rPr>
  </w:style>
  <w:style w:type="paragraph" w:styleId="13">
    <w:name w:val="Body Text Indent"/>
    <w:basedOn w:val="1"/>
    <w:link w:val="79"/>
    <w:qFormat/>
    <w:uiPriority w:val="0"/>
    <w:pPr>
      <w:spacing w:line="300" w:lineRule="exact"/>
      <w:ind w:firstLine="538"/>
    </w:pPr>
    <w:rPr>
      <w:rFonts w:ascii="宋体" w:hAnsi="Times New Roman" w:eastAsia="宋体" w:cs="Times New Roman"/>
      <w:sz w:val="24"/>
      <w:szCs w:val="24"/>
    </w:rPr>
  </w:style>
  <w:style w:type="paragraph" w:styleId="14">
    <w:name w:val="Block Text"/>
    <w:basedOn w:val="1"/>
    <w:qFormat/>
    <w:uiPriority w:val="0"/>
    <w:pPr>
      <w:adjustRightInd w:val="0"/>
      <w:snapToGrid w:val="0"/>
      <w:spacing w:line="440" w:lineRule="exact"/>
      <w:ind w:left="402" w:right="108" w:firstLine="450"/>
    </w:pPr>
    <w:rPr>
      <w:rFonts w:ascii="宋体" w:hAnsi="宋体" w:eastAsia="宋体" w:cs="Times New Roman"/>
      <w:sz w:val="24"/>
      <w:szCs w:val="20"/>
    </w:rPr>
  </w:style>
  <w:style w:type="paragraph" w:styleId="15">
    <w:name w:val="toc 3"/>
    <w:basedOn w:val="1"/>
    <w:next w:val="1"/>
    <w:unhideWhenUsed/>
    <w:qFormat/>
    <w:uiPriority w:val="39"/>
    <w:pPr>
      <w:widowControl/>
      <w:spacing w:after="100" w:line="259" w:lineRule="auto"/>
      <w:ind w:left="440"/>
      <w:jc w:val="left"/>
    </w:pPr>
    <w:rPr>
      <w:rFonts w:cs="Times New Roman"/>
      <w:kern w:val="0"/>
      <w:sz w:val="22"/>
    </w:rPr>
  </w:style>
  <w:style w:type="paragraph" w:styleId="16">
    <w:name w:val="Plain Text"/>
    <w:basedOn w:val="1"/>
    <w:link w:val="72"/>
    <w:qFormat/>
    <w:uiPriority w:val="0"/>
    <w:rPr>
      <w:rFonts w:ascii="宋体" w:hAnsi="Courier New" w:eastAsia="宋体"/>
    </w:rPr>
  </w:style>
  <w:style w:type="paragraph" w:styleId="17">
    <w:name w:val="Date"/>
    <w:basedOn w:val="1"/>
    <w:next w:val="1"/>
    <w:link w:val="45"/>
    <w:unhideWhenUsed/>
    <w:qFormat/>
    <w:uiPriority w:val="0"/>
    <w:pPr>
      <w:ind w:left="100" w:leftChars="2500"/>
    </w:pPr>
  </w:style>
  <w:style w:type="paragraph" w:styleId="18">
    <w:name w:val="Body Text Indent 2"/>
    <w:basedOn w:val="1"/>
    <w:link w:val="82"/>
    <w:qFormat/>
    <w:uiPriority w:val="0"/>
    <w:pPr>
      <w:ind w:left="-140" w:firstLine="560"/>
      <w:jc w:val="left"/>
      <w:outlineLvl w:val="0"/>
    </w:pPr>
    <w:rPr>
      <w:rFonts w:ascii="Times New Roman" w:hAnsi="Times New Roman" w:eastAsia="宋体" w:cs="Times New Roman"/>
      <w:sz w:val="28"/>
      <w:szCs w:val="20"/>
    </w:rPr>
  </w:style>
  <w:style w:type="paragraph" w:styleId="19">
    <w:name w:val="Balloon Text"/>
    <w:basedOn w:val="1"/>
    <w:link w:val="44"/>
    <w:unhideWhenUsed/>
    <w:qFormat/>
    <w:uiPriority w:val="0"/>
    <w:rPr>
      <w:sz w:val="18"/>
      <w:szCs w:val="18"/>
    </w:rPr>
  </w:style>
  <w:style w:type="paragraph" w:styleId="20">
    <w:name w:val="footer"/>
    <w:basedOn w:val="1"/>
    <w:link w:val="47"/>
    <w:unhideWhenUsed/>
    <w:qFormat/>
    <w:uiPriority w:val="99"/>
    <w:pPr>
      <w:tabs>
        <w:tab w:val="center" w:pos="4153"/>
        <w:tab w:val="right" w:pos="8306"/>
      </w:tabs>
      <w:snapToGrid w:val="0"/>
      <w:jc w:val="left"/>
    </w:pPr>
    <w:rPr>
      <w:sz w:val="18"/>
      <w:szCs w:val="18"/>
    </w:rPr>
  </w:style>
  <w:style w:type="paragraph" w:styleId="21">
    <w:name w:val="header"/>
    <w:basedOn w:val="1"/>
    <w:link w:val="46"/>
    <w:unhideWhenUsed/>
    <w:qFormat/>
    <w:uiPriority w:val="0"/>
    <w:pPr>
      <w:pBdr>
        <w:bottom w:val="single" w:color="auto" w:sz="6" w:space="1"/>
      </w:pBdr>
      <w:tabs>
        <w:tab w:val="center" w:pos="4153"/>
        <w:tab w:val="right" w:pos="8306"/>
      </w:tabs>
      <w:snapToGrid w:val="0"/>
      <w:jc w:val="center"/>
    </w:pPr>
    <w:rPr>
      <w:sz w:val="18"/>
      <w:szCs w:val="18"/>
    </w:rPr>
  </w:style>
  <w:style w:type="paragraph" w:styleId="22">
    <w:name w:val="toc 1"/>
    <w:basedOn w:val="1"/>
    <w:next w:val="1"/>
    <w:qFormat/>
    <w:uiPriority w:val="39"/>
    <w:pPr>
      <w:adjustRightInd w:val="0"/>
      <w:snapToGrid w:val="0"/>
      <w:spacing w:line="280" w:lineRule="exact"/>
      <w:jc w:val="center"/>
    </w:pPr>
    <w:rPr>
      <w:rFonts w:ascii="Times New Roman" w:hAnsi="Times New Roman" w:eastAsia="宋体" w:cs="Times New Roman"/>
      <w:sz w:val="24"/>
      <w:szCs w:val="20"/>
    </w:rPr>
  </w:style>
  <w:style w:type="paragraph" w:styleId="23">
    <w:name w:val="List"/>
    <w:basedOn w:val="1"/>
    <w:qFormat/>
    <w:uiPriority w:val="0"/>
    <w:pPr>
      <w:spacing w:line="360" w:lineRule="exact"/>
      <w:ind w:firstLine="38" w:firstLineChars="18"/>
      <w:jc w:val="left"/>
    </w:pPr>
    <w:rPr>
      <w:rFonts w:ascii="宋体" w:hAnsi="Times New Roman" w:eastAsia="宋体" w:cs="Times New Roman"/>
      <w:szCs w:val="21"/>
    </w:rPr>
  </w:style>
  <w:style w:type="paragraph" w:styleId="24">
    <w:name w:val="Body Text Indent 3"/>
    <w:basedOn w:val="1"/>
    <w:link w:val="81"/>
    <w:qFormat/>
    <w:uiPriority w:val="0"/>
    <w:pPr>
      <w:ind w:firstLine="540"/>
    </w:pPr>
    <w:rPr>
      <w:rFonts w:hint="eastAsia" w:ascii="宋体" w:hAnsi="Times New Roman" w:eastAsia="宋体" w:cs="Times New Roman"/>
      <w:sz w:val="28"/>
      <w:szCs w:val="20"/>
    </w:rPr>
  </w:style>
  <w:style w:type="paragraph" w:styleId="25">
    <w:name w:val="toc 2"/>
    <w:basedOn w:val="1"/>
    <w:next w:val="1"/>
    <w:unhideWhenUsed/>
    <w:qFormat/>
    <w:uiPriority w:val="39"/>
    <w:pPr>
      <w:ind w:left="420" w:leftChars="200"/>
    </w:pPr>
  </w:style>
  <w:style w:type="paragraph" w:styleId="26">
    <w:name w:val="Body Text 2"/>
    <w:basedOn w:val="1"/>
    <w:link w:val="83"/>
    <w:qFormat/>
    <w:uiPriority w:val="0"/>
    <w:rPr>
      <w:rFonts w:ascii="Times New Roman" w:hAnsi="Times New Roman" w:eastAsia="宋体" w:cs="Times New Roman"/>
      <w:szCs w:val="20"/>
    </w:rPr>
  </w:style>
  <w:style w:type="paragraph" w:styleId="27">
    <w:name w:val="Normal (Web)"/>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styleId="28">
    <w:name w:val="index 1"/>
    <w:basedOn w:val="1"/>
    <w:next w:val="1"/>
    <w:qFormat/>
    <w:uiPriority w:val="0"/>
    <w:pPr>
      <w:spacing w:line="192" w:lineRule="auto"/>
      <w:jc w:val="center"/>
    </w:pPr>
    <w:rPr>
      <w:rFonts w:ascii="宋体" w:hAnsi="宋体" w:eastAsia="宋体" w:cs="Times New Roman"/>
      <w:szCs w:val="20"/>
    </w:rPr>
  </w:style>
  <w:style w:type="paragraph" w:styleId="29">
    <w:name w:val="annotation subject"/>
    <w:basedOn w:val="10"/>
    <w:next w:val="10"/>
    <w:link w:val="73"/>
    <w:qFormat/>
    <w:uiPriority w:val="0"/>
    <w:rPr>
      <w:b/>
      <w:bCs/>
    </w:rPr>
  </w:style>
  <w:style w:type="table" w:styleId="31">
    <w:name w:val="Table Grid"/>
    <w:basedOn w:val="3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basedOn w:val="32"/>
    <w:qFormat/>
    <w:uiPriority w:val="0"/>
    <w:rPr>
      <w:b/>
      <w:bCs/>
    </w:rPr>
  </w:style>
  <w:style w:type="character" w:styleId="34">
    <w:name w:val="page number"/>
    <w:basedOn w:val="32"/>
    <w:qFormat/>
    <w:uiPriority w:val="0"/>
  </w:style>
  <w:style w:type="character" w:styleId="35">
    <w:name w:val="Emphasis"/>
    <w:basedOn w:val="32"/>
    <w:qFormat/>
    <w:uiPriority w:val="0"/>
    <w:rPr>
      <w:i/>
      <w:iCs/>
    </w:rPr>
  </w:style>
  <w:style w:type="character" w:styleId="36">
    <w:name w:val="Hyperlink"/>
    <w:basedOn w:val="32"/>
    <w:qFormat/>
    <w:uiPriority w:val="99"/>
    <w:rPr>
      <w:color w:val="000000"/>
      <w:u w:val="single"/>
    </w:rPr>
  </w:style>
  <w:style w:type="character" w:styleId="37">
    <w:name w:val="annotation reference"/>
    <w:basedOn w:val="32"/>
    <w:qFormat/>
    <w:uiPriority w:val="0"/>
    <w:rPr>
      <w:sz w:val="21"/>
      <w:szCs w:val="21"/>
    </w:rPr>
  </w:style>
  <w:style w:type="paragraph" w:customStyle="1" w:styleId="38">
    <w:name w:val="样式 正文文本 + 首行缩进:  2 字符"/>
    <w:basedOn w:val="12"/>
    <w:qFormat/>
    <w:uiPriority w:val="0"/>
    <w:pPr>
      <w:spacing w:line="480" w:lineRule="exact"/>
      <w:ind w:firstLine="480" w:firstLineChars="200"/>
    </w:pPr>
    <w:rPr>
      <w:rFonts w:ascii="宋体" w:hAnsi="宋体" w:cs="宋体"/>
      <w:sz w:val="24"/>
    </w:rPr>
  </w:style>
  <w:style w:type="paragraph" w:customStyle="1" w:styleId="39">
    <w:name w:val="Default"/>
    <w:qFormat/>
    <w:uiPriority w:val="0"/>
    <w:pPr>
      <w:widowControl w:val="0"/>
      <w:autoSpaceDE w:val="0"/>
      <w:autoSpaceDN w:val="0"/>
      <w:adjustRightInd w:val="0"/>
    </w:pPr>
    <w:rPr>
      <w:rFonts w:ascii="宋体" w:hAnsi="宋体" w:eastAsia="宋体" w:cs="宋体"/>
      <w:color w:val="000000"/>
      <w:kern w:val="0"/>
      <w:sz w:val="24"/>
      <w:szCs w:val="24"/>
      <w:lang w:val="en-US" w:eastAsia="zh-CN" w:bidi="ar-SA"/>
    </w:rPr>
  </w:style>
  <w:style w:type="character" w:customStyle="1" w:styleId="40">
    <w:name w:val="标题 1 Char"/>
    <w:basedOn w:val="32"/>
    <w:link w:val="4"/>
    <w:qFormat/>
    <w:uiPriority w:val="0"/>
    <w:rPr>
      <w:rFonts w:ascii="宋体" w:hAnsi="宋体" w:eastAsia="宋体"/>
      <w:b/>
      <w:sz w:val="30"/>
      <w:szCs w:val="30"/>
    </w:rPr>
  </w:style>
  <w:style w:type="character" w:customStyle="1" w:styleId="41">
    <w:name w:val="标题 2 Char"/>
    <w:basedOn w:val="32"/>
    <w:link w:val="5"/>
    <w:qFormat/>
    <w:uiPriority w:val="0"/>
    <w:rPr>
      <w:rFonts w:ascii="宋体" w:hAnsi="宋体" w:eastAsia="宋体"/>
      <w:b/>
      <w:sz w:val="28"/>
      <w:szCs w:val="30"/>
    </w:rPr>
  </w:style>
  <w:style w:type="character" w:customStyle="1" w:styleId="42">
    <w:name w:val="标题 3 Char"/>
    <w:basedOn w:val="32"/>
    <w:link w:val="6"/>
    <w:qFormat/>
    <w:uiPriority w:val="0"/>
    <w:rPr>
      <w:rFonts w:ascii="宋体" w:hAnsi="宋体" w:eastAsia="宋体"/>
      <w:sz w:val="24"/>
      <w:szCs w:val="24"/>
    </w:rPr>
  </w:style>
  <w:style w:type="character" w:customStyle="1" w:styleId="43">
    <w:name w:val="标题 4 Char"/>
    <w:basedOn w:val="32"/>
    <w:link w:val="3"/>
    <w:qFormat/>
    <w:uiPriority w:val="0"/>
    <w:rPr>
      <w:rFonts w:ascii="Arial" w:hAnsi="Arial" w:eastAsia="黑体" w:cs="Times New Roman"/>
      <w:b/>
      <w:bCs/>
      <w:sz w:val="28"/>
      <w:szCs w:val="28"/>
    </w:rPr>
  </w:style>
  <w:style w:type="character" w:customStyle="1" w:styleId="44">
    <w:name w:val="批注框文本 Char"/>
    <w:basedOn w:val="32"/>
    <w:link w:val="19"/>
    <w:qFormat/>
    <w:uiPriority w:val="0"/>
    <w:rPr>
      <w:sz w:val="18"/>
      <w:szCs w:val="18"/>
    </w:rPr>
  </w:style>
  <w:style w:type="character" w:customStyle="1" w:styleId="45">
    <w:name w:val="日期 Char"/>
    <w:basedOn w:val="32"/>
    <w:link w:val="17"/>
    <w:qFormat/>
    <w:uiPriority w:val="0"/>
  </w:style>
  <w:style w:type="character" w:customStyle="1" w:styleId="46">
    <w:name w:val="页眉 Char"/>
    <w:basedOn w:val="32"/>
    <w:link w:val="21"/>
    <w:qFormat/>
    <w:uiPriority w:val="0"/>
    <w:rPr>
      <w:sz w:val="18"/>
      <w:szCs w:val="18"/>
    </w:rPr>
  </w:style>
  <w:style w:type="character" w:customStyle="1" w:styleId="47">
    <w:name w:val="页脚 Char"/>
    <w:basedOn w:val="32"/>
    <w:link w:val="20"/>
    <w:qFormat/>
    <w:uiPriority w:val="99"/>
    <w:rPr>
      <w:sz w:val="18"/>
      <w:szCs w:val="18"/>
    </w:rPr>
  </w:style>
  <w:style w:type="character" w:customStyle="1" w:styleId="48">
    <w:name w:val="apple-converted-space"/>
    <w:basedOn w:val="32"/>
    <w:qFormat/>
    <w:uiPriority w:val="0"/>
  </w:style>
  <w:style w:type="character" w:customStyle="1" w:styleId="49">
    <w:name w:val="表内容@ Char"/>
    <w:basedOn w:val="32"/>
    <w:link w:val="50"/>
    <w:qFormat/>
    <w:uiPriority w:val="0"/>
    <w:rPr>
      <w:rFonts w:ascii="宋体" w:hAnsi="宋体" w:eastAsia="宋体" w:cs="Arial"/>
      <w:szCs w:val="21"/>
    </w:rPr>
  </w:style>
  <w:style w:type="paragraph" w:customStyle="1" w:styleId="50">
    <w:name w:val="表内容@"/>
    <w:basedOn w:val="1"/>
    <w:link w:val="49"/>
    <w:qFormat/>
    <w:uiPriority w:val="0"/>
    <w:pPr>
      <w:adjustRightInd w:val="0"/>
      <w:jc w:val="center"/>
    </w:pPr>
    <w:rPr>
      <w:rFonts w:ascii="宋体" w:hAnsi="宋体" w:eastAsia="宋体" w:cs="Arial"/>
      <w:szCs w:val="21"/>
    </w:rPr>
  </w:style>
  <w:style w:type="character" w:customStyle="1" w:styleId="51">
    <w:name w:val="t1"/>
    <w:qFormat/>
    <w:uiPriority w:val="0"/>
    <w:rPr>
      <w:sz w:val="28"/>
      <w:szCs w:val="28"/>
    </w:rPr>
  </w:style>
  <w:style w:type="character" w:customStyle="1" w:styleId="52">
    <w:name w:val="批注文字 Char"/>
    <w:basedOn w:val="32"/>
    <w:link w:val="10"/>
    <w:qFormat/>
    <w:uiPriority w:val="0"/>
    <w:rPr>
      <w:szCs w:val="24"/>
    </w:rPr>
  </w:style>
  <w:style w:type="character" w:customStyle="1" w:styleId="53">
    <w:name w:val="样式 正文@ + 首行缩进:  2 字符2 Char"/>
    <w:basedOn w:val="32"/>
    <w:link w:val="54"/>
    <w:qFormat/>
    <w:uiPriority w:val="0"/>
    <w:rPr>
      <w:rFonts w:ascii="宋体" w:hAnsi="宋体" w:eastAsia="宋体" w:cs="宋体"/>
      <w:sz w:val="24"/>
    </w:rPr>
  </w:style>
  <w:style w:type="paragraph" w:customStyle="1" w:styleId="54">
    <w:name w:val="样式 正文@ + 首行缩进:  2 字符2"/>
    <w:basedOn w:val="1"/>
    <w:link w:val="53"/>
    <w:qFormat/>
    <w:uiPriority w:val="0"/>
    <w:pPr>
      <w:spacing w:line="360" w:lineRule="auto"/>
      <w:ind w:firstLine="480" w:firstLineChars="200"/>
    </w:pPr>
    <w:rPr>
      <w:rFonts w:ascii="宋体" w:hAnsi="宋体" w:eastAsia="宋体" w:cs="宋体"/>
      <w:sz w:val="24"/>
    </w:rPr>
  </w:style>
  <w:style w:type="character" w:customStyle="1" w:styleId="55">
    <w:name w:val="样式 样式 正文@ + 首行缩进:  2 字符 字距调整小四 紧缩量  0.2 磅 + 首行缩进:  2 字符 Char"/>
    <w:basedOn w:val="32"/>
    <w:link w:val="56"/>
    <w:qFormat/>
    <w:uiPriority w:val="0"/>
    <w:rPr>
      <w:rFonts w:ascii="宋体" w:hAnsi="宋体" w:eastAsia="宋体" w:cs="宋体"/>
      <w:kern w:val="24"/>
      <w:sz w:val="24"/>
      <w:szCs w:val="24"/>
    </w:rPr>
  </w:style>
  <w:style w:type="paragraph" w:customStyle="1" w:styleId="56">
    <w:name w:val="样式 样式 正文@ + 首行缩进:  2 字符 字距调整小四 紧缩量  0.2 磅 + 首行缩进:  2 字符"/>
    <w:basedOn w:val="1"/>
    <w:link w:val="55"/>
    <w:qFormat/>
    <w:uiPriority w:val="0"/>
    <w:pPr>
      <w:spacing w:line="360" w:lineRule="auto"/>
      <w:ind w:firstLine="480" w:firstLineChars="200"/>
    </w:pPr>
    <w:rPr>
      <w:rFonts w:ascii="宋体" w:hAnsi="宋体" w:eastAsia="宋体" w:cs="宋体"/>
      <w:kern w:val="24"/>
      <w:sz w:val="24"/>
      <w:szCs w:val="24"/>
    </w:rPr>
  </w:style>
  <w:style w:type="character" w:customStyle="1" w:styleId="57">
    <w:name w:val="d1"/>
    <w:basedOn w:val="32"/>
    <w:qFormat/>
    <w:uiPriority w:val="0"/>
    <w:rPr>
      <w:rFonts w:hint="default" w:ascii="ˎ̥" w:hAnsi="ˎ̥"/>
      <w:color w:val="5C5C5C"/>
      <w:sz w:val="23"/>
      <w:szCs w:val="23"/>
      <w:u w:val="none"/>
    </w:rPr>
  </w:style>
  <w:style w:type="character" w:customStyle="1" w:styleId="58">
    <w:name w:val="正文2 Char Char"/>
    <w:basedOn w:val="32"/>
    <w:link w:val="59"/>
    <w:qFormat/>
    <w:uiPriority w:val="0"/>
    <w:rPr>
      <w:spacing w:val="18"/>
      <w:sz w:val="32"/>
    </w:rPr>
  </w:style>
  <w:style w:type="paragraph" w:customStyle="1" w:styleId="59">
    <w:name w:val="正文2"/>
    <w:link w:val="58"/>
    <w:qFormat/>
    <w:uiPriority w:val="0"/>
    <w:pPr>
      <w:widowControl w:val="0"/>
      <w:suppressAutoHyphens/>
      <w:spacing w:line="520" w:lineRule="atLeast"/>
      <w:ind w:firstLine="680"/>
      <w:jc w:val="both"/>
    </w:pPr>
    <w:rPr>
      <w:rFonts w:asciiTheme="minorHAnsi" w:hAnsiTheme="minorHAnsi" w:eastAsiaTheme="minorEastAsia" w:cstheme="minorBidi"/>
      <w:spacing w:val="18"/>
      <w:kern w:val="2"/>
      <w:sz w:val="32"/>
      <w:szCs w:val="22"/>
      <w:lang w:val="en-US" w:eastAsia="zh-CN" w:bidi="ar-SA"/>
    </w:rPr>
  </w:style>
  <w:style w:type="character" w:customStyle="1" w:styleId="60">
    <w:name w:val="表头 Char"/>
    <w:basedOn w:val="32"/>
    <w:link w:val="61"/>
    <w:qFormat/>
    <w:uiPriority w:val="0"/>
    <w:rPr>
      <w:rFonts w:ascii="黑体" w:eastAsia="黑体"/>
      <w:sz w:val="24"/>
    </w:rPr>
  </w:style>
  <w:style w:type="paragraph" w:customStyle="1" w:styleId="61">
    <w:name w:val="表头"/>
    <w:basedOn w:val="1"/>
    <w:link w:val="60"/>
    <w:qFormat/>
    <w:uiPriority w:val="0"/>
    <w:pPr>
      <w:spacing w:line="360" w:lineRule="auto"/>
      <w:jc w:val="center"/>
    </w:pPr>
    <w:rPr>
      <w:rFonts w:ascii="黑体" w:eastAsia="黑体"/>
      <w:sz w:val="24"/>
    </w:rPr>
  </w:style>
  <w:style w:type="character" w:customStyle="1" w:styleId="62">
    <w:name w:val="样式 表图头@ + 段前: 0.5 行 Char"/>
    <w:basedOn w:val="32"/>
    <w:link w:val="63"/>
    <w:qFormat/>
    <w:uiPriority w:val="0"/>
    <w:rPr>
      <w:rFonts w:ascii="宋体" w:hAnsi="宋体" w:eastAsia="宋体" w:cs="宋体"/>
    </w:rPr>
  </w:style>
  <w:style w:type="paragraph" w:customStyle="1" w:styleId="63">
    <w:name w:val="样式 表图头@ + 段前: 0.5 行"/>
    <w:basedOn w:val="1"/>
    <w:link w:val="62"/>
    <w:qFormat/>
    <w:uiPriority w:val="0"/>
    <w:pPr>
      <w:adjustRightInd w:val="0"/>
      <w:jc w:val="center"/>
    </w:pPr>
    <w:rPr>
      <w:rFonts w:ascii="宋体" w:hAnsi="宋体" w:eastAsia="宋体" w:cs="宋体"/>
    </w:rPr>
  </w:style>
  <w:style w:type="character" w:customStyle="1" w:styleId="64">
    <w:name w:val="style5"/>
    <w:basedOn w:val="32"/>
    <w:qFormat/>
    <w:uiPriority w:val="0"/>
  </w:style>
  <w:style w:type="character" w:customStyle="1" w:styleId="65">
    <w:name w:val="正文1 Char"/>
    <w:basedOn w:val="32"/>
    <w:link w:val="66"/>
    <w:qFormat/>
    <w:uiPriority w:val="0"/>
    <w:rPr>
      <w:rFonts w:eastAsia="宋体"/>
    </w:rPr>
  </w:style>
  <w:style w:type="paragraph" w:customStyle="1" w:styleId="66">
    <w:name w:val="正文1"/>
    <w:basedOn w:val="1"/>
    <w:link w:val="65"/>
    <w:qFormat/>
    <w:uiPriority w:val="0"/>
    <w:pPr>
      <w:adjustRightInd w:val="0"/>
      <w:snapToGrid w:val="0"/>
      <w:spacing w:line="500" w:lineRule="atLeast"/>
      <w:ind w:firstLine="567"/>
    </w:pPr>
    <w:rPr>
      <w:rFonts w:eastAsia="宋体"/>
    </w:rPr>
  </w:style>
  <w:style w:type="character" w:customStyle="1" w:styleId="67">
    <w:name w:val="样式2 Char Char"/>
    <w:basedOn w:val="32"/>
    <w:link w:val="68"/>
    <w:qFormat/>
    <w:uiPriority w:val="0"/>
    <w:rPr>
      <w:rFonts w:ascii="黑体" w:hAnsi="宋体" w:eastAsia="黑体"/>
      <w:bCs/>
      <w:sz w:val="24"/>
      <w:szCs w:val="24"/>
    </w:rPr>
  </w:style>
  <w:style w:type="paragraph" w:customStyle="1" w:styleId="68">
    <w:name w:val="样式2"/>
    <w:basedOn w:val="1"/>
    <w:link w:val="67"/>
    <w:qFormat/>
    <w:uiPriority w:val="0"/>
    <w:pPr>
      <w:spacing w:line="360" w:lineRule="auto"/>
      <w:ind w:firstLine="840" w:firstLineChars="350"/>
    </w:pPr>
    <w:rPr>
      <w:rFonts w:ascii="黑体" w:hAnsi="宋体" w:eastAsia="黑体"/>
      <w:bCs/>
      <w:sz w:val="24"/>
      <w:szCs w:val="24"/>
    </w:rPr>
  </w:style>
  <w:style w:type="character" w:customStyle="1" w:styleId="69">
    <w:name w:val="正文缩进 Char"/>
    <w:basedOn w:val="32"/>
    <w:link w:val="2"/>
    <w:qFormat/>
    <w:uiPriority w:val="0"/>
    <w:rPr>
      <w:rFonts w:eastAsia="宋体"/>
      <w:szCs w:val="24"/>
    </w:rPr>
  </w:style>
  <w:style w:type="character" w:customStyle="1" w:styleId="70">
    <w:name w:val="题注 Char"/>
    <w:basedOn w:val="32"/>
    <w:link w:val="8"/>
    <w:qFormat/>
    <w:uiPriority w:val="0"/>
    <w:rPr>
      <w:rFonts w:ascii="宋体" w:hAnsi="Arial" w:eastAsia="宋体" w:cs="Arial"/>
    </w:rPr>
  </w:style>
  <w:style w:type="character" w:customStyle="1" w:styleId="71">
    <w:name w:val="纯文本 Char"/>
    <w:qFormat/>
    <w:uiPriority w:val="0"/>
    <w:rPr>
      <w:rFonts w:ascii="宋体" w:hAnsi="Courier New" w:eastAsia="宋体"/>
      <w:kern w:val="2"/>
      <w:sz w:val="21"/>
      <w:lang w:val="en-US" w:eastAsia="zh-CN" w:bidi="ar-SA"/>
    </w:rPr>
  </w:style>
  <w:style w:type="character" w:customStyle="1" w:styleId="72">
    <w:name w:val="纯文本 Char1"/>
    <w:link w:val="16"/>
    <w:qFormat/>
    <w:uiPriority w:val="0"/>
    <w:rPr>
      <w:rFonts w:ascii="宋体" w:hAnsi="Courier New" w:eastAsia="宋体"/>
    </w:rPr>
  </w:style>
  <w:style w:type="character" w:customStyle="1" w:styleId="73">
    <w:name w:val="批注主题 Char"/>
    <w:basedOn w:val="52"/>
    <w:link w:val="29"/>
    <w:qFormat/>
    <w:uiPriority w:val="0"/>
    <w:rPr>
      <w:b/>
      <w:bCs/>
      <w:szCs w:val="24"/>
    </w:rPr>
  </w:style>
  <w:style w:type="character" w:customStyle="1" w:styleId="74">
    <w:name w:val="正文文本 3 Char"/>
    <w:basedOn w:val="32"/>
    <w:link w:val="11"/>
    <w:qFormat/>
    <w:uiPriority w:val="0"/>
    <w:rPr>
      <w:rFonts w:ascii="Times New Roman" w:hAnsi="Times New Roman" w:eastAsia="宋体" w:cs="Times New Roman"/>
      <w:sz w:val="16"/>
      <w:szCs w:val="16"/>
    </w:rPr>
  </w:style>
  <w:style w:type="character" w:customStyle="1" w:styleId="75">
    <w:name w:val="文档结构图 Char"/>
    <w:basedOn w:val="32"/>
    <w:link w:val="9"/>
    <w:semiHidden/>
    <w:qFormat/>
    <w:uiPriority w:val="0"/>
    <w:rPr>
      <w:rFonts w:ascii="Times New Roman" w:hAnsi="Times New Roman" w:eastAsia="宋体" w:cs="Times New Roman"/>
      <w:szCs w:val="24"/>
      <w:shd w:val="clear" w:color="auto" w:fill="000080"/>
    </w:rPr>
  </w:style>
  <w:style w:type="character" w:customStyle="1" w:styleId="76">
    <w:name w:val="批注文字 字符1"/>
    <w:basedOn w:val="32"/>
    <w:semiHidden/>
    <w:qFormat/>
    <w:uiPriority w:val="99"/>
  </w:style>
  <w:style w:type="character" w:customStyle="1" w:styleId="77">
    <w:name w:val="批注主题 字符1"/>
    <w:basedOn w:val="76"/>
    <w:semiHidden/>
    <w:qFormat/>
    <w:uiPriority w:val="99"/>
    <w:rPr>
      <w:b/>
      <w:bCs/>
    </w:rPr>
  </w:style>
  <w:style w:type="character" w:customStyle="1" w:styleId="78">
    <w:name w:val="正文文本 Char"/>
    <w:basedOn w:val="32"/>
    <w:link w:val="12"/>
    <w:qFormat/>
    <w:uiPriority w:val="0"/>
    <w:rPr>
      <w:rFonts w:ascii="Times New Roman" w:hAnsi="Times New Roman" w:eastAsia="宋体" w:cs="Times New Roman"/>
      <w:sz w:val="32"/>
      <w:szCs w:val="20"/>
    </w:rPr>
  </w:style>
  <w:style w:type="character" w:customStyle="1" w:styleId="79">
    <w:name w:val="正文文本缩进 Char"/>
    <w:basedOn w:val="32"/>
    <w:link w:val="13"/>
    <w:qFormat/>
    <w:uiPriority w:val="0"/>
    <w:rPr>
      <w:rFonts w:ascii="宋体" w:hAnsi="Times New Roman" w:eastAsia="宋体" w:cs="Times New Roman"/>
      <w:sz w:val="24"/>
      <w:szCs w:val="24"/>
    </w:rPr>
  </w:style>
  <w:style w:type="character" w:customStyle="1" w:styleId="80">
    <w:name w:val="纯文本 字符1"/>
    <w:basedOn w:val="32"/>
    <w:semiHidden/>
    <w:qFormat/>
    <w:uiPriority w:val="99"/>
    <w:rPr>
      <w:rFonts w:hAnsi="Courier New" w:cs="Courier New" w:asciiTheme="minorEastAsia"/>
    </w:rPr>
  </w:style>
  <w:style w:type="character" w:customStyle="1" w:styleId="81">
    <w:name w:val="正文文本缩进 3 Char"/>
    <w:basedOn w:val="32"/>
    <w:link w:val="24"/>
    <w:qFormat/>
    <w:uiPriority w:val="0"/>
    <w:rPr>
      <w:rFonts w:ascii="宋体" w:hAnsi="Times New Roman" w:eastAsia="宋体" w:cs="Times New Roman"/>
      <w:sz w:val="28"/>
      <w:szCs w:val="20"/>
    </w:rPr>
  </w:style>
  <w:style w:type="character" w:customStyle="1" w:styleId="82">
    <w:name w:val="正文文本缩进 2 Char"/>
    <w:basedOn w:val="32"/>
    <w:link w:val="18"/>
    <w:qFormat/>
    <w:uiPriority w:val="0"/>
    <w:rPr>
      <w:rFonts w:ascii="Times New Roman" w:hAnsi="Times New Roman" w:eastAsia="宋体" w:cs="Times New Roman"/>
      <w:sz w:val="28"/>
      <w:szCs w:val="20"/>
    </w:rPr>
  </w:style>
  <w:style w:type="character" w:customStyle="1" w:styleId="83">
    <w:name w:val="正文文本 2 Char"/>
    <w:basedOn w:val="32"/>
    <w:link w:val="26"/>
    <w:qFormat/>
    <w:uiPriority w:val="0"/>
    <w:rPr>
      <w:rFonts w:ascii="Times New Roman" w:hAnsi="Times New Roman" w:eastAsia="宋体" w:cs="Times New Roman"/>
      <w:szCs w:val="20"/>
    </w:rPr>
  </w:style>
  <w:style w:type="paragraph" w:customStyle="1" w:styleId="84">
    <w:name w:val="文"/>
    <w:basedOn w:val="1"/>
    <w:qFormat/>
    <w:uiPriority w:val="0"/>
    <w:pPr>
      <w:spacing w:line="360" w:lineRule="auto"/>
      <w:ind w:firstLine="480" w:firstLineChars="200"/>
    </w:pPr>
    <w:rPr>
      <w:rFonts w:ascii="Times New Roman" w:hAnsi="Times New Roman" w:eastAsia="宋体" w:cs="Times New Roman"/>
      <w:sz w:val="24"/>
      <w:szCs w:val="20"/>
    </w:rPr>
  </w:style>
  <w:style w:type="paragraph" w:customStyle="1" w:styleId="85">
    <w:name w:val="CM6"/>
    <w:basedOn w:val="39"/>
    <w:next w:val="39"/>
    <w:qFormat/>
    <w:uiPriority w:val="0"/>
    <w:pPr>
      <w:spacing w:line="626" w:lineRule="atLeast"/>
    </w:pPr>
    <w:rPr>
      <w:rFonts w:hAnsi="Times New Roman" w:cs="Times New Roman"/>
      <w:color w:val="auto"/>
    </w:rPr>
  </w:style>
  <w:style w:type="paragraph" w:customStyle="1" w:styleId="86">
    <w:name w:val="xl28"/>
    <w:basedOn w:val="1"/>
    <w:qFormat/>
    <w:uiPriority w:val="0"/>
    <w:pPr>
      <w:widowControl/>
      <w:pBdr>
        <w:bottom w:val="single" w:color="auto" w:sz="4" w:space="0"/>
        <w:right w:val="single" w:color="auto" w:sz="4" w:space="0"/>
      </w:pBdr>
      <w:spacing w:before="100" w:beforeAutospacing="1" w:after="100" w:afterAutospacing="1"/>
      <w:jc w:val="center"/>
      <w:textAlignment w:val="top"/>
    </w:pPr>
    <w:rPr>
      <w:rFonts w:ascii="Times New Roman" w:hAnsi="Times New Roman" w:eastAsia="宋体" w:cs="Times New Roman"/>
      <w:kern w:val="0"/>
      <w:szCs w:val="20"/>
    </w:rPr>
  </w:style>
  <w:style w:type="paragraph" w:customStyle="1" w:styleId="87">
    <w:name w:val="样式3"/>
    <w:basedOn w:val="1"/>
    <w:qFormat/>
    <w:uiPriority w:val="0"/>
    <w:pPr>
      <w:spacing w:line="360" w:lineRule="auto"/>
      <w:ind w:firstLine="436" w:firstLineChars="200"/>
    </w:pPr>
    <w:rPr>
      <w:rFonts w:ascii="宋体" w:hAnsi="宋体" w:eastAsia="宋体" w:cs="宋体"/>
      <w:kern w:val="24"/>
      <w:sz w:val="24"/>
      <w:szCs w:val="24"/>
    </w:rPr>
  </w:style>
  <w:style w:type="paragraph" w:customStyle="1" w:styleId="88">
    <w:name w:val="p0"/>
    <w:basedOn w:val="1"/>
    <w:qFormat/>
    <w:uiPriority w:val="0"/>
    <w:pPr>
      <w:widowControl/>
    </w:pPr>
    <w:rPr>
      <w:rFonts w:hint="eastAsia" w:ascii="Times New Roman" w:hAnsi="Times New Roman" w:eastAsia="宋体" w:cs="Times New Roman"/>
      <w:sz w:val="24"/>
      <w:szCs w:val="24"/>
    </w:rPr>
  </w:style>
  <w:style w:type="paragraph" w:customStyle="1" w:styleId="89">
    <w:name w:val="法规"/>
    <w:basedOn w:val="1"/>
    <w:qFormat/>
    <w:uiPriority w:val="0"/>
    <w:pPr>
      <w:tabs>
        <w:tab w:val="left" w:pos="400"/>
      </w:tabs>
      <w:spacing w:line="440" w:lineRule="exact"/>
      <w:ind w:firstLine="400"/>
    </w:pPr>
    <w:rPr>
      <w:rFonts w:ascii="Times New Roman" w:hAnsi="Times New Roman" w:eastAsia="宋体" w:cs="Times New Roman"/>
      <w:sz w:val="25"/>
      <w:szCs w:val="20"/>
    </w:rPr>
  </w:style>
  <w:style w:type="paragraph" w:customStyle="1" w:styleId="90">
    <w:name w:val="CM3"/>
    <w:basedOn w:val="39"/>
    <w:next w:val="39"/>
    <w:qFormat/>
    <w:uiPriority w:val="0"/>
    <w:pPr>
      <w:spacing w:line="468" w:lineRule="atLeast"/>
    </w:pPr>
    <w:rPr>
      <w:rFonts w:hAnsi="Times New Roman" w:cs="Times New Roman"/>
      <w:color w:val="auto"/>
    </w:rPr>
  </w:style>
  <w:style w:type="paragraph" w:customStyle="1" w:styleId="91">
    <w:name w:val="CM7"/>
    <w:basedOn w:val="39"/>
    <w:next w:val="39"/>
    <w:qFormat/>
    <w:uiPriority w:val="0"/>
    <w:pPr>
      <w:spacing w:line="471" w:lineRule="atLeast"/>
    </w:pPr>
    <w:rPr>
      <w:rFonts w:hAnsi="Times New Roman" w:cs="Times New Roman"/>
      <w:color w:val="auto"/>
    </w:rPr>
  </w:style>
  <w:style w:type="paragraph" w:customStyle="1" w:styleId="92">
    <w:name w:val="样式1"/>
    <w:basedOn w:val="1"/>
    <w:qFormat/>
    <w:uiPriority w:val="0"/>
    <w:pPr>
      <w:spacing w:line="360" w:lineRule="exact"/>
      <w:ind w:firstLine="420" w:firstLineChars="200"/>
    </w:pPr>
    <w:rPr>
      <w:rFonts w:ascii="Times New Roman" w:hAnsi="Times New Roman" w:eastAsia="宋体" w:cs="Times New Roman"/>
      <w:szCs w:val="24"/>
    </w:rPr>
  </w:style>
  <w:style w:type="paragraph" w:customStyle="1" w:styleId="93">
    <w:name w:val="CM8"/>
    <w:basedOn w:val="39"/>
    <w:next w:val="39"/>
    <w:qFormat/>
    <w:uiPriority w:val="0"/>
    <w:pPr>
      <w:spacing w:line="436" w:lineRule="atLeast"/>
    </w:pPr>
    <w:rPr>
      <w:rFonts w:ascii="仿宋_GB2312" w:hAnsi="Times New Roman" w:eastAsia="仿宋_GB2312" w:cs="Times New Roman"/>
      <w:color w:val="auto"/>
    </w:rPr>
  </w:style>
  <w:style w:type="paragraph" w:customStyle="1" w:styleId="94">
    <w:name w:val="Char1"/>
    <w:basedOn w:val="1"/>
    <w:qFormat/>
    <w:uiPriority w:val="0"/>
    <w:rPr>
      <w:rFonts w:ascii="Times New Roman" w:hAnsi="Times New Roman" w:eastAsia="宋体" w:cs="Times New Roman"/>
      <w:szCs w:val="24"/>
    </w:rPr>
  </w:style>
  <w:style w:type="paragraph" w:customStyle="1" w:styleId="95">
    <w:name w:val="2.1.1"/>
    <w:basedOn w:val="1"/>
    <w:qFormat/>
    <w:uiPriority w:val="0"/>
    <w:rPr>
      <w:rFonts w:ascii="Times New Roman" w:hAnsi="Times New Roman" w:eastAsia="宋体" w:cs="Times New Roman"/>
      <w:sz w:val="24"/>
      <w:szCs w:val="24"/>
    </w:rPr>
  </w:style>
  <w:style w:type="paragraph" w:customStyle="1" w:styleId="96">
    <w:name w:val="Char Char Char Char Char Char Char"/>
    <w:basedOn w:val="1"/>
    <w:qFormat/>
    <w:uiPriority w:val="0"/>
    <w:rPr>
      <w:rFonts w:ascii="Times New Roman" w:hAnsi="Times New Roman" w:eastAsia="宋体" w:cs="Times New Roman"/>
      <w:szCs w:val="24"/>
    </w:rPr>
  </w:style>
  <w:style w:type="paragraph" w:customStyle="1" w:styleId="97">
    <w:name w:val="表格文字"/>
    <w:basedOn w:val="1"/>
    <w:qFormat/>
    <w:uiPriority w:val="0"/>
    <w:pPr>
      <w:overflowPunct w:val="0"/>
      <w:topLinePunct/>
      <w:autoSpaceDE w:val="0"/>
      <w:autoSpaceDN w:val="0"/>
      <w:adjustRightInd w:val="0"/>
      <w:snapToGrid w:val="0"/>
      <w:spacing w:line="360" w:lineRule="exact"/>
      <w:jc w:val="center"/>
      <w:textAlignment w:val="baseline"/>
    </w:pPr>
    <w:rPr>
      <w:rFonts w:ascii="Times New Roman" w:hAnsi="Times New Roman" w:eastAsia="宋体" w:cs="Times New Roman"/>
      <w:spacing w:val="6"/>
      <w:kern w:val="0"/>
      <w:szCs w:val="20"/>
    </w:rPr>
  </w:style>
  <w:style w:type="paragraph" w:customStyle="1" w:styleId="98">
    <w:name w:val="CM112"/>
    <w:basedOn w:val="39"/>
    <w:next w:val="39"/>
    <w:qFormat/>
    <w:uiPriority w:val="0"/>
    <w:rPr>
      <w:rFonts w:ascii="仿宋_GB2312" w:hAnsi="Times New Roman" w:eastAsia="仿宋_GB2312" w:cs="Times New Roman"/>
      <w:color w:val="auto"/>
    </w:rPr>
  </w:style>
  <w:style w:type="paragraph" w:customStyle="1" w:styleId="99">
    <w:name w:val="正文内容"/>
    <w:basedOn w:val="1"/>
    <w:qFormat/>
    <w:uiPriority w:val="0"/>
    <w:pPr>
      <w:spacing w:line="360" w:lineRule="auto"/>
      <w:ind w:firstLine="624"/>
    </w:pPr>
    <w:rPr>
      <w:rFonts w:ascii="宋体" w:hAnsi="Times New Roman" w:eastAsia="宋体" w:cs="Times New Roman"/>
      <w:sz w:val="24"/>
      <w:szCs w:val="24"/>
    </w:rPr>
  </w:style>
  <w:style w:type="paragraph" w:customStyle="1" w:styleId="100">
    <w:name w:val="Char"/>
    <w:basedOn w:val="1"/>
    <w:qFormat/>
    <w:uiPriority w:val="0"/>
    <w:pPr>
      <w:widowControl/>
      <w:spacing w:after="160" w:line="240" w:lineRule="exact"/>
      <w:ind w:left="100" w:leftChars="-100" w:hanging="200" w:hangingChars="200"/>
      <w:jc w:val="left"/>
    </w:pPr>
    <w:rPr>
      <w:rFonts w:ascii="Times New Roman" w:hAnsi="Times New Roman" w:eastAsia="宋体" w:cs="Times New Roman"/>
      <w:szCs w:val="20"/>
    </w:rPr>
  </w:style>
  <w:style w:type="paragraph" w:customStyle="1" w:styleId="101">
    <w:name w:val="表格标题"/>
    <w:basedOn w:val="1"/>
    <w:qFormat/>
    <w:uiPriority w:val="0"/>
    <w:pPr>
      <w:spacing w:before="120"/>
      <w:jc w:val="center"/>
    </w:pPr>
    <w:rPr>
      <w:rFonts w:ascii="Times New Roman" w:hAnsi="Times New Roman" w:eastAsia="宋体" w:cs="Times New Roman"/>
      <w:sz w:val="24"/>
      <w:szCs w:val="20"/>
    </w:rPr>
  </w:style>
  <w:style w:type="paragraph" w:customStyle="1" w:styleId="102">
    <w:name w:val="大田正文"/>
    <w:basedOn w:val="13"/>
    <w:qFormat/>
    <w:uiPriority w:val="0"/>
    <w:pPr>
      <w:spacing w:line="500" w:lineRule="exact"/>
      <w:ind w:firstLine="567"/>
    </w:pPr>
    <w:rPr>
      <w:sz w:val="28"/>
      <w:szCs w:val="20"/>
    </w:rPr>
  </w:style>
  <w:style w:type="paragraph" w:customStyle="1" w:styleId="103">
    <w:name w:val="CM51"/>
    <w:basedOn w:val="39"/>
    <w:next w:val="39"/>
    <w:qFormat/>
    <w:uiPriority w:val="0"/>
    <w:rPr>
      <w:rFonts w:hAnsi="Times New Roman" w:cs="Times New Roman"/>
      <w:color w:val="auto"/>
    </w:rPr>
  </w:style>
  <w:style w:type="paragraph" w:styleId="104">
    <w:name w:val="List Paragraph"/>
    <w:basedOn w:val="1"/>
    <w:qFormat/>
    <w:uiPriority w:val="34"/>
    <w:pPr>
      <w:adjustRightInd w:val="0"/>
      <w:spacing w:line="360" w:lineRule="atLeast"/>
      <w:ind w:firstLine="420" w:firstLineChars="200"/>
      <w:jc w:val="left"/>
      <w:textAlignment w:val="baseline"/>
    </w:pPr>
    <w:rPr>
      <w:rFonts w:ascii="Times New Roman" w:hAnsi="Times New Roman" w:eastAsia="宋体" w:cs="Times New Roman"/>
      <w:kern w:val="0"/>
      <w:sz w:val="24"/>
      <w:szCs w:val="20"/>
    </w:rPr>
  </w:style>
  <w:style w:type="paragraph" w:customStyle="1" w:styleId="105">
    <w:name w:val="Char2 Char Char Char"/>
    <w:basedOn w:val="1"/>
    <w:qFormat/>
    <w:uiPriority w:val="0"/>
    <w:pPr>
      <w:autoSpaceDE w:val="0"/>
      <w:autoSpaceDN w:val="0"/>
      <w:adjustRightInd w:val="0"/>
      <w:snapToGrid w:val="0"/>
      <w:spacing w:before="50" w:after="50" w:line="360" w:lineRule="auto"/>
      <w:ind w:firstLine="560" w:firstLineChars="200"/>
    </w:pPr>
    <w:rPr>
      <w:rFonts w:ascii="宋体" w:hAnsi="宋体" w:eastAsia="仿宋_GB2312" w:cs="Times New Roman"/>
      <w:color w:val="000000"/>
      <w:sz w:val="24"/>
      <w:szCs w:val="24"/>
    </w:rPr>
  </w:style>
  <w:style w:type="paragraph" w:customStyle="1" w:styleId="106">
    <w:name w:val="4"/>
    <w:basedOn w:val="1"/>
    <w:next w:val="16"/>
    <w:qFormat/>
    <w:uiPriority w:val="0"/>
    <w:rPr>
      <w:rFonts w:ascii="宋体" w:hAnsi="Courier New" w:eastAsia="宋体" w:cs="Courier New"/>
      <w:szCs w:val="21"/>
    </w:rPr>
  </w:style>
  <w:style w:type="paragraph" w:customStyle="1" w:styleId="107">
    <w:name w:val="CM5"/>
    <w:basedOn w:val="39"/>
    <w:next w:val="39"/>
    <w:qFormat/>
    <w:uiPriority w:val="0"/>
    <w:pPr>
      <w:spacing w:line="436" w:lineRule="atLeast"/>
    </w:pPr>
    <w:rPr>
      <w:rFonts w:ascii="仿宋_GB2312" w:hAnsi="Times New Roman" w:eastAsia="仿宋_GB2312" w:cs="Times New Roman"/>
      <w:color w:val="auto"/>
    </w:rPr>
  </w:style>
  <w:style w:type="paragraph" w:customStyle="1" w:styleId="108">
    <w:name w:val="样式 小四 行距: 1.5 倍行距 首行缩进:  2 字符"/>
    <w:basedOn w:val="1"/>
    <w:qFormat/>
    <w:uiPriority w:val="0"/>
    <w:pPr>
      <w:spacing w:line="500" w:lineRule="exact"/>
      <w:ind w:firstLine="480" w:firstLineChars="200"/>
    </w:pPr>
    <w:rPr>
      <w:rFonts w:ascii="Times New Roman" w:hAnsi="宋体" w:eastAsia="宋体" w:cs="Times New Roman"/>
      <w:sz w:val="24"/>
      <w:szCs w:val="20"/>
    </w:rPr>
  </w:style>
  <w:style w:type="paragraph" w:customStyle="1" w:styleId="109">
    <w:name w:val="报告表格"/>
    <w:basedOn w:val="1"/>
    <w:qFormat/>
    <w:uiPriority w:val="0"/>
    <w:pPr>
      <w:autoSpaceDE w:val="0"/>
      <w:autoSpaceDN w:val="0"/>
      <w:adjustRightInd w:val="0"/>
      <w:spacing w:before="40" w:after="40"/>
      <w:jc w:val="center"/>
      <w:textAlignment w:val="baseline"/>
    </w:pPr>
    <w:rPr>
      <w:rFonts w:ascii="Times New Roman" w:hAnsi="Times New Roman" w:eastAsia="宋体" w:cs="Times New Roman"/>
      <w:kern w:val="0"/>
      <w:szCs w:val="20"/>
    </w:rPr>
  </w:style>
  <w:style w:type="paragraph" w:customStyle="1" w:styleId="110">
    <w:name w:val="三级标题"/>
    <w:basedOn w:val="1"/>
    <w:qFormat/>
    <w:uiPriority w:val="0"/>
    <w:pPr>
      <w:spacing w:line="360" w:lineRule="auto"/>
    </w:pPr>
    <w:rPr>
      <w:rFonts w:ascii="宋体" w:hAnsi="宋体" w:eastAsia="宋体" w:cs="Times New Roman"/>
      <w:bCs/>
      <w:sz w:val="24"/>
      <w:szCs w:val="24"/>
    </w:rPr>
  </w:style>
  <w:style w:type="paragraph" w:customStyle="1" w:styleId="111">
    <w:name w:val="xl27"/>
    <w:basedOn w:val="1"/>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Cs w:val="21"/>
    </w:rPr>
  </w:style>
  <w:style w:type="paragraph" w:customStyle="1" w:styleId="112">
    <w:name w:val="默认段落字体 Para Char Char Char Char"/>
    <w:basedOn w:val="1"/>
    <w:qFormat/>
    <w:uiPriority w:val="0"/>
    <w:rPr>
      <w:rFonts w:ascii="Times New Roman" w:hAnsi="Times New Roman" w:eastAsia="宋体" w:cs="Times New Roman"/>
      <w:szCs w:val="21"/>
    </w:rPr>
  </w:style>
  <w:style w:type="paragraph" w:customStyle="1" w:styleId="113">
    <w:name w:val="CM40"/>
    <w:basedOn w:val="39"/>
    <w:next w:val="39"/>
    <w:qFormat/>
    <w:uiPriority w:val="0"/>
    <w:rPr>
      <w:rFonts w:hAnsi="Times New Roman" w:cs="Times New Roman"/>
      <w:color w:val="auto"/>
    </w:rPr>
  </w:style>
  <w:style w:type="paragraph" w:customStyle="1" w:styleId="114">
    <w:name w:val="CM109"/>
    <w:basedOn w:val="39"/>
    <w:next w:val="39"/>
    <w:qFormat/>
    <w:uiPriority w:val="0"/>
    <w:rPr>
      <w:rFonts w:ascii="仿宋_GB2312" w:hAnsi="Times New Roman" w:eastAsia="仿宋_GB2312" w:cs="Times New Roman"/>
      <w:color w:val="auto"/>
    </w:rPr>
  </w:style>
  <w:style w:type="paragraph" w:customStyle="1" w:styleId="115">
    <w:name w:val="默认段落字体 Para Char Char Char Char Char Char Char Char Char Char Char Char1 Char Char"/>
    <w:basedOn w:val="1"/>
    <w:qFormat/>
    <w:uiPriority w:val="0"/>
    <w:pPr>
      <w:spacing w:line="360" w:lineRule="auto"/>
      <w:ind w:firstLine="200" w:firstLineChars="200"/>
    </w:pPr>
    <w:rPr>
      <w:rFonts w:ascii="Times New Roman" w:hAnsi="Times New Roman" w:eastAsia="宋体" w:cs="Times New Roman"/>
      <w:szCs w:val="24"/>
    </w:rPr>
  </w:style>
  <w:style w:type="paragraph" w:customStyle="1" w:styleId="116">
    <w:name w:val="TOC Heading"/>
    <w:basedOn w:val="4"/>
    <w:next w:val="1"/>
    <w:unhideWhenUsed/>
    <w:qFormat/>
    <w:uiPriority w:val="39"/>
    <w:pPr>
      <w:keepNext/>
      <w:keepLines/>
      <w:widowControl/>
      <w:spacing w:before="240" w:line="259" w:lineRule="auto"/>
      <w:jc w:val="left"/>
      <w:outlineLvl w:val="9"/>
    </w:pPr>
    <w:rPr>
      <w:rFonts w:asciiTheme="majorHAnsi" w:hAnsiTheme="majorHAnsi" w:eastAsiaTheme="majorEastAsia" w:cstheme="majorBidi"/>
      <w:b w:val="0"/>
      <w:color w:val="2F5597" w:themeColor="accent1" w:themeShade="BF"/>
      <w:kern w:val="0"/>
      <w:sz w:val="32"/>
      <w:szCs w:val="32"/>
    </w:rPr>
  </w:style>
  <w:style w:type="paragraph" w:customStyle="1" w:styleId="117">
    <w:name w:val="List Paragraph1"/>
    <w:basedOn w:val="1"/>
    <w:qFormat/>
    <w:uiPriority w:val="99"/>
    <w:pPr>
      <w:ind w:firstLine="420" w:firstLineChars="200"/>
    </w:pPr>
    <w:rPr>
      <w:rFonts w:ascii="Calibri" w:hAnsi="Calibri" w:eastAsia="宋体" w:cs="Times New Roman"/>
    </w:rPr>
  </w:style>
  <w:style w:type="table" w:customStyle="1" w:styleId="118">
    <w:name w:val="网格型1"/>
    <w:basedOn w:val="30"/>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paragraph" w:customStyle="1" w:styleId="119">
    <w:name w:val="列出段落1"/>
    <w:basedOn w:val="1"/>
    <w:qFormat/>
    <w:uiPriority w:val="34"/>
    <w:pPr>
      <w:ind w:firstLine="420" w:firstLineChars="200"/>
    </w:pPr>
  </w:style>
  <w:style w:type="paragraph" w:customStyle="1" w:styleId="120">
    <w:name w:val="1"/>
    <w:basedOn w:val="1"/>
    <w:next w:val="16"/>
    <w:qFormat/>
    <w:uiPriority w:val="0"/>
    <w:rPr>
      <w:rFonts w:ascii="宋体" w:hAnsi="Courier New"/>
      <w:color w:val="000000"/>
      <w:kern w:val="44"/>
      <w:sz w:val="24"/>
      <w:szCs w:val="20"/>
    </w:rPr>
  </w:style>
  <w:style w:type="paragraph" w:customStyle="1" w:styleId="121">
    <w:name w:val="表格内容"/>
    <w:basedOn w:val="1"/>
    <w:qFormat/>
    <w:uiPriority w:val="0"/>
    <w:pPr>
      <w:snapToGrid w:val="0"/>
      <w:spacing w:line="240" w:lineRule="exact"/>
      <w:ind w:firstLine="0" w:firstLineChars="0"/>
      <w:jc w:val="center"/>
    </w:pPr>
    <w:rPr>
      <w:kern w:val="0"/>
      <w:sz w:val="21"/>
      <w:szCs w:val="20"/>
    </w:rPr>
  </w:style>
  <w:style w:type="paragraph" w:customStyle="1" w:styleId="122">
    <w:name w:val="表格样式"/>
    <w:basedOn w:val="1"/>
    <w:qFormat/>
    <w:uiPriority w:val="0"/>
    <w:pPr>
      <w:spacing w:line="240" w:lineRule="auto"/>
      <w:ind w:firstLine="0" w:firstLineChars="0"/>
      <w:jc w:val="center"/>
    </w:pPr>
    <w:rPr>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2.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A0C5BAE-0C12-4A6D-9E89-E07FD523454D}">
  <ds:schemaRefs/>
</ds:datastoreItem>
</file>

<file path=docProps/app.xml><?xml version="1.0" encoding="utf-8"?>
<Properties xmlns="http://schemas.openxmlformats.org/officeDocument/2006/extended-properties" xmlns:vt="http://schemas.openxmlformats.org/officeDocument/2006/docPropsVTypes">
  <Template>Normal</Template>
  <Pages>33</Pages>
  <Words>12846</Words>
  <Characters>15249</Characters>
  <Lines>252</Lines>
  <Paragraphs>71</Paragraphs>
  <TotalTime>25</TotalTime>
  <ScaleCrop>false</ScaleCrop>
  <LinksUpToDate>false</LinksUpToDate>
  <CharactersWithSpaces>16352</CharactersWithSpaces>
  <Application>WPS Office_11.3.0.9228_F1E327BC-269C-435d-A152-05C5408002CA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2017-10-26T06:16:00Z</dcterms:created>
  <dc:creator>牛旭浩</dc:creator>
  <cp:lastModifiedBy>只爱你</cp:lastModifiedBy>
  <cp:lastPrinted>2020-06-01T02:05:00Z</cp:lastPrinted>
  <dcterms:modified xsi:type="dcterms:W3CDTF">2020-10-15T07:40:37Z</dcterms:modified>
  <cp:revision>227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2052-11.3.0.9228</vt:lpwstr>
  </property>
</Properties>
</file>