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实际建设情况</w:t>
      </w:r>
    </w:p>
    <w:p>
      <w:pPr>
        <w:numPr>
          <w:numId w:val="0"/>
        </w:numPr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表1   环境保护“三同时”落</w:t>
      </w:r>
      <w:bookmarkStart w:id="0" w:name="_GoBack"/>
      <w:bookmarkEnd w:id="0"/>
      <w:r>
        <w:rPr>
          <w:rFonts w:hint="default" w:ascii="Times New Roman" w:hAnsi="Times New Roman" w:eastAsia="宋体" w:cs="Times New Roman"/>
          <w:lang w:val="en-US" w:eastAsia="zh-CN"/>
        </w:rPr>
        <w:t>实情况表</w:t>
      </w:r>
    </w:p>
    <w:tbl>
      <w:tblPr>
        <w:tblStyle w:val="4"/>
        <w:tblpPr w:leftFromText="180" w:rightFromText="180" w:vertAnchor="page" w:horzAnchor="page" w:tblpX="1665" w:tblpY="2231"/>
        <w:tblOverlap w:val="never"/>
        <w:tblW w:w="8803" w:type="dxa"/>
        <w:tblInd w:w="0" w:type="dxa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single" w:color="000000" w:sz="6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4"/>
        <w:gridCol w:w="1019"/>
        <w:gridCol w:w="10"/>
        <w:gridCol w:w="1029"/>
        <w:gridCol w:w="1390"/>
        <w:gridCol w:w="1656"/>
        <w:gridCol w:w="1674"/>
        <w:gridCol w:w="1441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6" w:space="0"/>
            <w:insideV w:val="single" w:color="000000" w:sz="4" w:space="0"/>
          </w:tblBorders>
        </w:tblPrEx>
        <w:trPr>
          <w:trHeight w:val="338" w:hRule="atLeast"/>
        </w:trPr>
        <w:tc>
          <w:tcPr>
            <w:tcW w:w="584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</w:t>
            </w:r>
          </w:p>
        </w:tc>
        <w:tc>
          <w:tcPr>
            <w:tcW w:w="10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污染源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污染物</w:t>
            </w:r>
          </w:p>
        </w:tc>
        <w:tc>
          <w:tcPr>
            <w:tcW w:w="13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环保设施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名称</w:t>
            </w:r>
          </w:p>
        </w:tc>
        <w:tc>
          <w:tcPr>
            <w:tcW w:w="165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验收指标</w:t>
            </w:r>
          </w:p>
        </w:tc>
        <w:tc>
          <w:tcPr>
            <w:tcW w:w="167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验收标准</w:t>
            </w:r>
          </w:p>
        </w:tc>
        <w:tc>
          <w:tcPr>
            <w:tcW w:w="1441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落实情况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2" w:hRule="atLeast"/>
        </w:trPr>
        <w:tc>
          <w:tcPr>
            <w:tcW w:w="58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废气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下料、焊接、打磨工序</w:t>
            </w:r>
          </w:p>
        </w:tc>
        <w:tc>
          <w:tcPr>
            <w:tcW w:w="103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颗粒物</w:t>
            </w:r>
          </w:p>
        </w:tc>
        <w:tc>
          <w:tcPr>
            <w:tcW w:w="13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移动式焊烟净化器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周界外颗粒物最高允许浓度：1.0mg/m3</w:t>
            </w:r>
          </w:p>
        </w:tc>
        <w:tc>
          <w:tcPr>
            <w:tcW w:w="16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《大气污染物综合排放标准》(GB16297-1996)表2中无组织排放监控浓度限值</w:t>
            </w:r>
          </w:p>
        </w:tc>
        <w:tc>
          <w:tcPr>
            <w:tcW w:w="14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落实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8" w:hRule="atLeast"/>
        </w:trPr>
        <w:tc>
          <w:tcPr>
            <w:tcW w:w="58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废水</w:t>
            </w:r>
          </w:p>
        </w:tc>
        <w:tc>
          <w:tcPr>
            <w:tcW w:w="10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/</w:t>
            </w:r>
          </w:p>
        </w:tc>
        <w:tc>
          <w:tcPr>
            <w:tcW w:w="103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/</w:t>
            </w:r>
          </w:p>
        </w:tc>
        <w:tc>
          <w:tcPr>
            <w:tcW w:w="13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/</w:t>
            </w:r>
          </w:p>
        </w:tc>
        <w:tc>
          <w:tcPr>
            <w:tcW w:w="165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/</w:t>
            </w:r>
          </w:p>
        </w:tc>
        <w:tc>
          <w:tcPr>
            <w:tcW w:w="16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/</w:t>
            </w:r>
          </w:p>
        </w:tc>
        <w:tc>
          <w:tcPr>
            <w:tcW w:w="14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4" w:hRule="atLeast"/>
        </w:trPr>
        <w:tc>
          <w:tcPr>
            <w:tcW w:w="58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噪声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生产设备运行噪声</w:t>
            </w:r>
          </w:p>
        </w:tc>
        <w:tc>
          <w:tcPr>
            <w:tcW w:w="13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选用低噪声设备，厂房内合理布设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昼间：60dB（A）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夜间：50dB（A）</w:t>
            </w:r>
          </w:p>
        </w:tc>
        <w:tc>
          <w:tcPr>
            <w:tcW w:w="16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《工业企业厂界环境噪声排放标准》（GB12348-2008）2类</w:t>
            </w:r>
          </w:p>
        </w:tc>
        <w:tc>
          <w:tcPr>
            <w:tcW w:w="14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落实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</w:trPr>
        <w:tc>
          <w:tcPr>
            <w:tcW w:w="584" w:type="dxa"/>
            <w:vMerge w:val="restart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固废</w:t>
            </w:r>
          </w:p>
        </w:tc>
        <w:tc>
          <w:tcPr>
            <w:tcW w:w="102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下料工序</w:t>
            </w:r>
          </w:p>
        </w:tc>
        <w:tc>
          <w:tcPr>
            <w:tcW w:w="10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下脚料</w:t>
            </w:r>
          </w:p>
        </w:tc>
        <w:tc>
          <w:tcPr>
            <w:tcW w:w="1390" w:type="dxa"/>
            <w:vMerge w:val="restar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收集后外售</w:t>
            </w:r>
          </w:p>
        </w:tc>
        <w:tc>
          <w:tcPr>
            <w:tcW w:w="1656" w:type="dxa"/>
            <w:vMerge w:val="restar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不外排</w:t>
            </w:r>
          </w:p>
        </w:tc>
        <w:tc>
          <w:tcPr>
            <w:tcW w:w="1674" w:type="dxa"/>
            <w:vMerge w:val="restart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《一般工业固体废物贮存、处置物污染控制标准》（GB18599-2001）及2013年修改单</w:t>
            </w:r>
          </w:p>
        </w:tc>
        <w:tc>
          <w:tcPr>
            <w:tcW w:w="1441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落实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打磨工序</w:t>
            </w:r>
          </w:p>
        </w:tc>
        <w:tc>
          <w:tcPr>
            <w:tcW w:w="102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废铁屑</w:t>
            </w:r>
          </w:p>
        </w:tc>
        <w:tc>
          <w:tcPr>
            <w:tcW w:w="1390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656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674" w:type="dxa"/>
            <w:vMerge w:val="continue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441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落实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</w:trPr>
        <w:tc>
          <w:tcPr>
            <w:tcW w:w="58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02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检验工序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不合格品</w:t>
            </w:r>
          </w:p>
        </w:tc>
        <w:tc>
          <w:tcPr>
            <w:tcW w:w="13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6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4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落实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2" w:hRule="atLeast"/>
        </w:trPr>
        <w:tc>
          <w:tcPr>
            <w:tcW w:w="58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02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焊烟净化器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除尘灰</w:t>
            </w:r>
          </w:p>
        </w:tc>
        <w:tc>
          <w:tcPr>
            <w:tcW w:w="13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6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67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4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落实</w:t>
            </w:r>
          </w:p>
        </w:tc>
      </w:tr>
    </w:tbl>
    <w:p>
      <w:pPr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验收监测结论</w:t>
      </w:r>
    </w:p>
    <w:p>
      <w:pPr>
        <w:pStyle w:val="2"/>
        <w:numPr>
          <w:numId w:val="0"/>
        </w:numPr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（1）生产工况</w:t>
      </w:r>
    </w:p>
    <w:p>
      <w:pPr>
        <w:pStyle w:val="2"/>
        <w:numPr>
          <w:numId w:val="0"/>
        </w:numPr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监测期间，该企业生产正常，设施运行稳定，生产负荷（100%），达到75%以上，满足验收监测技术规范要求。</w:t>
      </w:r>
    </w:p>
    <w:p>
      <w:pPr>
        <w:pStyle w:val="2"/>
        <w:numPr>
          <w:ilvl w:val="0"/>
          <w:numId w:val="2"/>
        </w:numPr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废气</w:t>
      </w:r>
    </w:p>
    <w:p>
      <w:pPr>
        <w:pStyle w:val="2"/>
        <w:numPr>
          <w:numId w:val="0"/>
        </w:numPr>
        <w:ind w:firstLine="56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经监测，该项目下料、焊接、打磨工序废气，经移动式焊烟净化器处理后车间内无组织排放，满足《大气污染物综合排放标准》(GB16297-1996)表2中无组织排放监控浓度限值。</w:t>
      </w:r>
    </w:p>
    <w:p>
      <w:pPr>
        <w:pStyle w:val="2"/>
        <w:numPr>
          <w:numId w:val="0"/>
        </w:numPr>
        <w:ind w:firstLine="56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（3）噪声</w:t>
      </w:r>
    </w:p>
    <w:p>
      <w:pPr>
        <w:pStyle w:val="2"/>
        <w:numPr>
          <w:numId w:val="0"/>
        </w:num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经检测，该企业四周厂界昼间检测结果均符合《工业企业厂界环境噪声排放标准》(GB12348-2008) 中2类标准限值要求。</w:t>
      </w:r>
    </w:p>
    <w:p>
      <w:pPr>
        <w:pStyle w:val="2"/>
        <w:numPr>
          <w:numId w:val="0"/>
        </w:num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（4）废水</w:t>
      </w:r>
    </w:p>
    <w:p>
      <w:pPr>
        <w:pStyle w:val="2"/>
        <w:numPr>
          <w:numId w:val="0"/>
        </w:num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本项目无生产废水产生，不新增劳动定员，无新增生活废水产生。</w:t>
      </w:r>
    </w:p>
    <w:p>
      <w:pPr>
        <w:pStyle w:val="2"/>
        <w:numPr>
          <w:numId w:val="0"/>
        </w:num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（5）固体废弃物</w:t>
      </w:r>
    </w:p>
    <w:p>
      <w:pPr>
        <w:pStyle w:val="2"/>
        <w:numPr>
          <w:numId w:val="0"/>
        </w:numPr>
        <w:ind w:firstLine="48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本项目下料工序产生的下脚料，打磨工序产生的废铁屑，检验工序产生的不合格品和焊烟净化器产生的除尘灰收集后外售。</w:t>
      </w:r>
    </w:p>
    <w:p>
      <w:pPr>
        <w:pStyle w:val="2"/>
        <w:numPr>
          <w:numId w:val="0"/>
        </w:numPr>
        <w:rPr>
          <w:rFonts w:hint="default" w:ascii="Times New Roman" w:hAnsi="Times New Roman" w:eastAsia="宋体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8450EC"/>
    <w:multiLevelType w:val="singleLevel"/>
    <w:tmpl w:val="8E8450EC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C5555F9"/>
    <w:multiLevelType w:val="singleLevel"/>
    <w:tmpl w:val="7C5555F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406F8"/>
    <w:rsid w:val="7FC4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line="480" w:lineRule="atLeast"/>
      <w:outlineLvl w:val="2"/>
    </w:pPr>
    <w:rPr>
      <w:rFonts w:ascii="宋体" w:hAnsi="宋体"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line="360" w:lineRule="auto"/>
      <w:textAlignment w:val="auto"/>
    </w:pPr>
    <w:rPr>
      <w:sz w:val="28"/>
      <w:szCs w:val="20"/>
    </w:rPr>
  </w:style>
  <w:style w:type="paragraph" w:customStyle="1" w:styleId="6">
    <w:name w:val="A-表格文字"/>
    <w:basedOn w:val="1"/>
    <w:next w:val="1"/>
    <w:qFormat/>
    <w:uiPriority w:val="0"/>
    <w:pPr>
      <w:autoSpaceDE w:val="0"/>
      <w:autoSpaceDN w:val="0"/>
      <w:adjustRightInd w:val="0"/>
      <w:jc w:val="center"/>
    </w:pPr>
    <w:rPr>
      <w:kern w:val="0"/>
      <w:szCs w:val="21"/>
    </w:rPr>
  </w:style>
  <w:style w:type="paragraph" w:customStyle="1" w:styleId="7">
    <w:name w:val="中文报告书样式"/>
    <w:basedOn w:val="1"/>
    <w:qFormat/>
    <w:uiPriority w:val="0"/>
    <w:pPr>
      <w:widowControl w:val="0"/>
      <w:adjustRightInd w:val="0"/>
      <w:spacing w:line="480" w:lineRule="atLeast"/>
      <w:ind w:firstLine="482"/>
      <w:textAlignment w:val="auto"/>
    </w:pPr>
    <w:rPr>
      <w:kern w:val="24"/>
      <w:sz w:val="24"/>
      <w:szCs w:val="20"/>
      <w:u w:val="none"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2020-11-20T05:29:00Z</dcterms:created>
  <dc:creator>李娥</dc:creator>
  <cp:lastModifiedBy>李娥</cp:lastModifiedBy>
  <dcterms:modified xsi:type="dcterms:W3CDTF">2020-11-20T05:55:36Z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