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河北好睡眠床垫有限公司</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eastAsia="zh-CN"/>
        </w:rPr>
        <w:t>年产80000套床垫项目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河北好睡眠床垫有限公司</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河北好睡眠床垫有限公司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2021</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9</w:t>
      </w:r>
      <w:r>
        <w:rPr>
          <w:rFonts w:hint="default" w:ascii="Times New Roman" w:hAnsi="Times New Roman" w:eastAsia="宋体" w:cs="Times New Roman"/>
          <w:sz w:val="32"/>
          <w:szCs w:val="32"/>
        </w:rPr>
        <w:t>月</w:t>
      </w:r>
    </w:p>
    <w:p>
      <w:pPr>
        <w:pStyle w:val="25"/>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18</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20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20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21</w:t>
      </w:r>
      <w:r>
        <w:rPr>
          <w:rFonts w:hint="default"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28</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29</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30</w:t>
      </w:r>
      <w:r>
        <w:rPr>
          <w:rFonts w:ascii="Times New Roman" w:hAnsi="Times New Roman" w:eastAsia="宋体"/>
        </w:rPr>
        <w:fldChar w:fldCharType="end"/>
      </w:r>
      <w:r>
        <w:rPr>
          <w:rFonts w:hint="default" w:ascii="Times New Roman" w:hAnsi="Times New Roman" w:eastAsia="宋体"/>
        </w:rPr>
        <w:fldChar w:fldCharType="end"/>
      </w:r>
    </w:p>
    <w:p>
      <w:pPr>
        <w:pStyle w:val="13"/>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31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32</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18"/>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13375"/>
      <w:bookmarkStart w:id="3" w:name="_Toc9675"/>
      <w:bookmarkStart w:id="4" w:name="_Toc20373"/>
      <w:bookmarkStart w:id="5" w:name="_Toc10004"/>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河北好睡眠床垫有限公司位于河北省沧州市沧县仵龙堂乡后唐庄村西，企业投资1000万元建设河北好睡眠床垫有限公司年产80000套床垫项目，河北好睡眠床垫有限公司于2021年1月委托河北华睿风翰环保科技有限公司编制完成了《河北好睡眠床垫有限公司年产80000套床垫项目环境影响报告表》，于2021年3月31日取得了沧县行政审批局的批复，审批文号为沧县行审（环）字【2021】113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9月，河北好睡眠床垫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河北好睡眠床垫有限公司委托河北中寰检测服务有限公司于</w:t>
      </w:r>
      <w:bookmarkStart w:id="6" w:name="_Hlk496985984"/>
      <w:r>
        <w:rPr>
          <w:rFonts w:hint="eastAsia" w:ascii="Times New Roman" w:hAnsi="Times New Roman" w:cs="Times New Roman"/>
          <w:sz w:val="24"/>
          <w:szCs w:val="24"/>
          <w:highlight w:val="none"/>
          <w:lang w:val="en-US" w:eastAsia="zh-CN"/>
        </w:rPr>
        <w:t>2020年8月03日至8月04日</w:t>
      </w:r>
      <w:bookmarkEnd w:id="6"/>
      <w:r>
        <w:rPr>
          <w:rFonts w:hint="eastAsia" w:ascii="Times New Roman" w:hAnsi="Times New Roman" w:cs="Times New Roman"/>
          <w:sz w:val="24"/>
          <w:szCs w:val="24"/>
          <w:highlight w:val="none"/>
          <w:lang w:val="en-US" w:eastAsia="zh-CN"/>
        </w:rPr>
        <w:t>进行了竣工验收检测并出具检测报告，报告编号为：HBZH-Y-20210175</w:t>
      </w:r>
      <w:r>
        <w:rPr>
          <w:rFonts w:hint="eastAsia" w:ascii="Times New Roman" w:hAnsi="Times New Roman" w:cs="Times New Roman"/>
          <w:sz w:val="24"/>
          <w:szCs w:val="24"/>
          <w:lang w:val="en-US" w:eastAsia="zh-CN"/>
        </w:rPr>
        <w:t>。河北好睡眠床垫有限公司根据现场调查情况和检测报告按照《建设项目竣工环境保护验收技术指南污染影响类》编制完成竣工环境保护验收报告，为竣工验收提供科学依据。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25774"/>
      <w:bookmarkStart w:id="8" w:name="_Toc23777"/>
      <w:bookmarkStart w:id="9" w:name="_Toc17755"/>
      <w:bookmarkStart w:id="10" w:name="_Toc14085"/>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32325"/>
      <w:bookmarkStart w:id="12" w:name="_Toc5229"/>
      <w:bookmarkStart w:id="13" w:name="_Toc12399"/>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7067"/>
      <w:bookmarkStart w:id="16" w:name="_Toc19837"/>
      <w:bookmarkStart w:id="17" w:name="_Toc11240"/>
      <w:bookmarkStart w:id="18" w:name="_Toc19988"/>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《恶臭污染物排放标准》（GB14554-1993）</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10</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《工业企业挥发性有机物排放控制标准》（DB13/2322-2016）</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11</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eastAsia="zh-CN"/>
        </w:rPr>
        <w:t>《挥发性有机物无组织排放控制标准》（GB37822-2019）</w:t>
      </w:r>
      <w:r>
        <w:rPr>
          <w:rFonts w:hint="eastAsia" w:ascii="Times New Roman" w:hAnsi="Times New Roman"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15</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16</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5756"/>
      <w:bookmarkStart w:id="20" w:name="_Toc25083"/>
      <w:bookmarkStart w:id="21" w:name="_Toc26393"/>
      <w:bookmarkStart w:id="22" w:name="_Toc31818"/>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olor w:val="auto"/>
          <w:sz w:val="24"/>
          <w:lang w:val="en-US" w:eastAsia="zh-CN"/>
        </w:rPr>
        <w:t>河北华睿风翰环保科技有限公司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河北好睡眠床垫有限公司年产 80000 套床垫项目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color w:val="auto"/>
          <w:sz w:val="24"/>
          <w:szCs w:val="24"/>
          <w:lang w:val="en-US" w:eastAsia="zh-CN"/>
        </w:rPr>
        <w:t>2021</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沧县行政审批局的批复</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沧县行审（环）字【2021】113号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河北好睡眠床垫有限公司年产 80000 套床垫项目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2021</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31</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河北好睡眠床垫有限公司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HBZH-Y-20210175</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河北好睡眠床垫有限公司</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5367"/>
      <w:bookmarkStart w:id="24" w:name="_Toc20655"/>
      <w:bookmarkStart w:id="25" w:name="_Toc26991"/>
      <w:bookmarkStart w:id="26" w:name="_Toc13007"/>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22753"/>
      <w:bookmarkStart w:id="28" w:name="_Toc29334"/>
      <w:bookmarkStart w:id="29" w:name="_Toc4417"/>
      <w:bookmarkStart w:id="30" w:name="_Toc11367"/>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20380"/>
      <w:bookmarkStart w:id="32" w:name="_Toc19257"/>
      <w:bookmarkStart w:id="33" w:name="_Toc1249"/>
      <w:bookmarkStart w:id="34" w:name="_Toc1800"/>
      <w:bookmarkStart w:id="35" w:name="_Toc497001436"/>
      <w:bookmarkStart w:id="36" w:name="_Toc49697900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19"/>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年产 80000 套床垫项目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河北好睡眠床垫有限公司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刘玉园</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刘玉园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eastAsia="宋体" w:cs="Times New Roman"/>
                <w:spacing w:val="0"/>
                <w:kern w:val="0"/>
                <w:sz w:val="24"/>
                <w:szCs w:val="24"/>
                <w:lang w:val="en-US" w:eastAsia="zh-CN"/>
              </w:rPr>
              <w:t>河北省沧州市沧县仵龙堂乡后唐庄村西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13503174366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C2190其他家具制造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1000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50</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spacing w:val="0"/>
                <w:kern w:val="0"/>
                <w:sz w:val="24"/>
                <w:szCs w:val="24"/>
                <w:lang w:val="en-US" w:eastAsia="zh-CN"/>
              </w:rPr>
              <w:t>河北省沧州市沧县仵龙堂乡后唐庄村西</w:t>
            </w:r>
          </w:p>
        </w:tc>
      </w:tr>
    </w:tbl>
    <w:p>
      <w:pPr>
        <w:pStyle w:val="7"/>
        <w:rPr>
          <w:rFonts w:hint="default" w:ascii="Times New Roman" w:hAnsi="Times New Roman" w:eastAsia="宋体" w:cs="Times New Roman"/>
        </w:rPr>
      </w:pPr>
      <w:bookmarkStart w:id="38" w:name="_Toc497001437"/>
      <w:bookmarkStart w:id="39" w:name="_Toc27686"/>
      <w:bookmarkStart w:id="40" w:name="_Toc20144"/>
      <w:bookmarkStart w:id="41" w:name="_Toc5505"/>
      <w:bookmarkStart w:id="42" w:name="_Toc496979001"/>
      <w:bookmarkStart w:id="43" w:name="_Toc17116"/>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项目位于沧县仵龙堂乡后唐村西，项目厂址中心地理坐标为东经116°59'45.13"，北纬38°11'10.46"。项目北侧隔乡村路为闲置厂房、东侧为废弃厂房、南侧为空地、西侧隔李寨路为石油三厂注水站。项目周围环境敏感点为东侧55m处的后唐庄村。</w:t>
      </w:r>
      <w:r>
        <w:rPr>
          <w:rFonts w:hint="default" w:ascii="Times New Roman" w:hAnsi="Times New Roman" w:eastAsia="宋体" w:cs="Times New Roman"/>
          <w:sz w:val="24"/>
          <w:szCs w:val="24"/>
        </w:rPr>
        <w:t>项目地理位置示意图见附图1，项目周边关系示意图见附图2。</w:t>
      </w:r>
    </w:p>
    <w:p>
      <w:pPr>
        <w:pStyle w:val="7"/>
        <w:rPr>
          <w:rFonts w:hint="default" w:ascii="Times New Roman" w:hAnsi="Times New Roman" w:eastAsia="宋体" w:cs="Times New Roman"/>
        </w:rPr>
      </w:pPr>
      <w:bookmarkStart w:id="44" w:name="_Toc497001438"/>
      <w:bookmarkStart w:id="45" w:name="_Toc20079"/>
      <w:bookmarkStart w:id="46" w:name="_Toc8614"/>
      <w:bookmarkStart w:id="47" w:name="_Toc29219"/>
      <w:bookmarkStart w:id="48" w:name="_Toc496979002"/>
      <w:bookmarkStart w:id="49" w:name="_Toc32226"/>
      <w:r>
        <w:rPr>
          <w:rFonts w:hint="default" w:ascii="Times New Roman" w:hAnsi="Times New Roman" w:eastAsia="宋体" w:cs="Times New Roman"/>
        </w:rPr>
        <w:t>2.1.3厂区平面布置</w:t>
      </w:r>
      <w:bookmarkEnd w:id="44"/>
      <w:bookmarkEnd w:id="45"/>
      <w:bookmarkEnd w:id="46"/>
      <w:bookmarkEnd w:id="47"/>
      <w:bookmarkEnd w:id="48"/>
      <w:bookmarkEnd w:id="49"/>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sz w:val="24"/>
          <w:szCs w:val="24"/>
        </w:rPr>
      </w:pPr>
      <w:r>
        <w:rPr>
          <w:rFonts w:hint="eastAsia" w:ascii="宋体" w:hAnsi="宋体" w:eastAsia="宋体" w:cs="宋体"/>
          <w:color w:val="000000"/>
          <w:kern w:val="0"/>
          <w:sz w:val="24"/>
          <w:szCs w:val="24"/>
          <w:lang w:val="en-US" w:eastAsia="zh-CN" w:bidi="ar"/>
        </w:rPr>
        <w:t>厂区大门位于厂区西侧，大门北侧依次为办公楼、拉筋布制作车间（一车间），胶料压片及充气检验车间（四车间）位于一车间东侧，大门南侧为床垫组装及硫化定型车间（二车间）、仓库、炼胶及压延车间（三车间），锅炉房位于二车间东侧。项目废气处理措施分别位于一车间南侧（</w:t>
      </w:r>
      <w:r>
        <w:rPr>
          <w:rFonts w:hint="default" w:ascii="Times New Roman" w:hAnsi="Times New Roman" w:eastAsia="宋体" w:cs="Times New Roman"/>
          <w:color w:val="000000"/>
          <w:kern w:val="0"/>
          <w:sz w:val="24"/>
          <w:szCs w:val="24"/>
          <w:lang w:val="en-US" w:eastAsia="zh-CN" w:bidi="ar"/>
        </w:rPr>
        <w:t xml:space="preserve">P1 </w:t>
      </w:r>
      <w:r>
        <w:rPr>
          <w:rFonts w:hint="eastAsia" w:ascii="宋体" w:hAnsi="宋体" w:eastAsia="宋体" w:cs="宋体"/>
          <w:color w:val="000000"/>
          <w:kern w:val="0"/>
          <w:sz w:val="24"/>
          <w:szCs w:val="24"/>
          <w:lang w:val="en-US" w:eastAsia="zh-CN" w:bidi="ar"/>
        </w:rPr>
        <w:t>排气筒）、仓库东侧（</w:t>
      </w:r>
      <w:r>
        <w:rPr>
          <w:rFonts w:hint="default" w:ascii="Times New Roman" w:hAnsi="Times New Roman" w:eastAsia="宋体" w:cs="Times New Roman"/>
          <w:color w:val="000000"/>
          <w:kern w:val="0"/>
          <w:sz w:val="24"/>
          <w:szCs w:val="24"/>
          <w:lang w:val="en-US" w:eastAsia="zh-CN" w:bidi="ar"/>
        </w:rPr>
        <w:t xml:space="preserve">P2 </w:t>
      </w:r>
      <w:r>
        <w:rPr>
          <w:rFonts w:hint="eastAsia" w:ascii="宋体" w:hAnsi="宋体" w:eastAsia="宋体" w:cs="宋体"/>
          <w:color w:val="000000"/>
          <w:kern w:val="0"/>
          <w:sz w:val="24"/>
          <w:szCs w:val="24"/>
          <w:lang w:val="en-US" w:eastAsia="zh-CN" w:bidi="ar"/>
        </w:rPr>
        <w:t>排气筒），危废库位于仓库内。</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208"/>
      <w:bookmarkStart w:id="51" w:name="_Toc27136"/>
      <w:bookmarkStart w:id="52" w:name="_Toc32048"/>
      <w:bookmarkStart w:id="53" w:name="_Toc23037"/>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26634"/>
      <w:bookmarkStart w:id="55" w:name="_Toc496979004"/>
      <w:bookmarkStart w:id="56" w:name="_Toc30677"/>
      <w:bookmarkStart w:id="57" w:name="_Toc27539"/>
      <w:bookmarkStart w:id="58" w:name="_Toc497001440"/>
      <w:bookmarkStart w:id="59" w:name="_Toc10787"/>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beforeLines="50" w:line="360" w:lineRule="auto"/>
        <w:ind w:firstLine="480" w:firstLineChars="200"/>
        <w:rPr>
          <w:rFonts w:hint="default" w:ascii="Times New Roman" w:hAnsi="Times New Roman" w:eastAsia="宋体" w:cs="Times New Roman"/>
        </w:rPr>
      </w:pPr>
      <w:bookmarkStart w:id="60" w:name="_Toc26138"/>
      <w:bookmarkStart w:id="61" w:name="_Toc25732"/>
      <w:bookmarkStart w:id="62" w:name="_Toc26546"/>
      <w:bookmarkStart w:id="63" w:name="_Toc9009"/>
      <w:bookmarkStart w:id="64" w:name="_Toc30045"/>
      <w:bookmarkStart w:id="65" w:name="_Toc497001441"/>
      <w:bookmarkStart w:id="66" w:name="_Toc496979005"/>
      <w:r>
        <w:rPr>
          <w:rFonts w:hint="default" w:ascii="Times New Roman" w:hAnsi="Times New Roman" w:eastAsia="宋体" w:cs="Times New Roman"/>
          <w:lang w:val="en-US" w:eastAsia="zh-CN"/>
        </w:rPr>
        <w:t>年产床垫80000套</w:t>
      </w:r>
      <w:r>
        <w:rPr>
          <w:rFonts w:hint="eastAsia" w:ascii="Times New Roman" w:hAnsi="Times New Roman" w:cs="Times New Roman"/>
          <w:lang w:val="en-US" w:eastAsia="zh-CN"/>
        </w:rPr>
        <w:t>。</w:t>
      </w:r>
      <w:bookmarkEnd w:id="60"/>
      <w:bookmarkEnd w:id="61"/>
      <w:bookmarkEnd w:id="62"/>
      <w:bookmarkEnd w:id="63"/>
      <w:bookmarkEnd w:id="64"/>
    </w:p>
    <w:p>
      <w:pPr>
        <w:pStyle w:val="7"/>
        <w:spacing w:line="440" w:lineRule="atLeast"/>
        <w:rPr>
          <w:rFonts w:hint="eastAsia" w:ascii="Times New Roman" w:hAnsi="Times New Roman" w:eastAsia="宋体" w:cs="Times New Roman"/>
          <w:sz w:val="24"/>
          <w:szCs w:val="24"/>
          <w:lang w:eastAsia="zh-CN"/>
        </w:rPr>
      </w:pPr>
      <w:bookmarkStart w:id="67" w:name="_Toc20908"/>
      <w:bookmarkStart w:id="68" w:name="_Toc23799"/>
      <w:bookmarkStart w:id="69" w:name="_Toc21731"/>
      <w:bookmarkStart w:id="70" w:name="_Toc13472"/>
      <w:r>
        <w:rPr>
          <w:rFonts w:hint="default" w:ascii="Times New Roman" w:hAnsi="Times New Roman" w:eastAsia="宋体" w:cs="Times New Roman"/>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1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1" w:name="_Toc26045"/>
            <w:bookmarkStart w:id="72" w:name="_Toc4853"/>
            <w:bookmarkStart w:id="73" w:name="_Toc497001442"/>
            <w:bookmarkStart w:id="74" w:name="_Toc496979006"/>
            <w:bookmarkStart w:id="75" w:name="_Toc2160"/>
            <w:bookmarkStart w:id="76" w:name="_Toc5968"/>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棉绿布</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180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棉绿布</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漂白布</w:t>
            </w:r>
          </w:p>
        </w:tc>
        <w:tc>
          <w:tcPr>
            <w:tcW w:w="1238" w:type="dxa"/>
            <w:tcBorders>
              <w:tl2br w:val="nil"/>
              <w:tr2bl w:val="nil"/>
            </w:tcBorders>
            <w:vAlign w:val="center"/>
          </w:tcPr>
          <w:p>
            <w:pPr>
              <w:spacing w:line="240" w:lineRule="auto"/>
              <w:jc w:val="center"/>
              <w:rPr>
                <w:rFonts w:hint="default" w:ascii="Times New Roman" w:hAnsi="Times New Roman" w:eastAsia="宋体" w:cs="Times New Roman"/>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4</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漂白布</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5</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拉筋布（浸胶涤棉布）</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450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6</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钢丝塑料管</w:t>
            </w:r>
          </w:p>
        </w:tc>
        <w:tc>
          <w:tcPr>
            <w:tcW w:w="1238" w:type="dxa"/>
            <w:tcBorders>
              <w:tl2br w:val="nil"/>
              <w:tr2bl w:val="nil"/>
            </w:tcBorders>
            <w:vAlign w:val="center"/>
          </w:tcPr>
          <w:p>
            <w:pPr>
              <w:spacing w:line="240" w:lineRule="auto"/>
              <w:jc w:val="center"/>
              <w:rPr>
                <w:rFonts w:hint="eastAsia" w:ascii="Times New Roman" w:hAnsi="Times New Roman" w:cs="Times New Roman"/>
                <w:b w:val="0"/>
                <w:bCs w:val="0"/>
                <w:color w:val="auto"/>
                <w:kern w:val="0"/>
                <w:sz w:val="21"/>
                <w:szCs w:val="21"/>
                <w:lang w:eastAsia="zh-CN"/>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7</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木质包装箱</w:t>
            </w:r>
          </w:p>
        </w:tc>
        <w:tc>
          <w:tcPr>
            <w:tcW w:w="1238" w:type="dxa"/>
            <w:tcBorders>
              <w:tl2br w:val="nil"/>
              <w:tr2bl w:val="nil"/>
            </w:tcBorders>
            <w:vAlign w:val="center"/>
          </w:tcPr>
          <w:p>
            <w:pPr>
              <w:spacing w:line="240" w:lineRule="auto"/>
              <w:jc w:val="center"/>
              <w:rPr>
                <w:color w:val="000000"/>
                <w:szCs w:val="21"/>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0.24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8</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清洁溶剂</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9</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天然胶</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jc w:val="center"/>
              <w:rPr>
                <w:rFonts w:hint="default" w:ascii="Times New Roman" w:hAnsi="Times New Roman" w:eastAsia="宋体" w:cs="Times New Roman"/>
                <w:i w:val="0"/>
                <w:iCs w:val="0"/>
                <w:color w:val="000000"/>
                <w:sz w:val="22"/>
                <w:szCs w:val="22"/>
                <w:u w:val="none"/>
              </w:rPr>
            </w:pP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10</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丁苯胶</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11</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纳米钙、钙粉</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12</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硬脂酸</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13</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氧化锌</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14</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抗氧剂</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15</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促进剂</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16</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医用凡士林</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17</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钛白粉</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18</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除味剂</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0.1</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color w:val="000000"/>
                <w:szCs w:val="21"/>
                <w:lang w:val="en-US" w:eastAsia="zh-CN"/>
              </w:rPr>
            </w:pPr>
            <w:r>
              <w:rPr>
                <w:rFonts w:hint="eastAsia"/>
                <w:color w:val="000000"/>
                <w:szCs w:val="21"/>
                <w:lang w:val="en-US" w:eastAsia="zh-CN"/>
              </w:rPr>
              <w:t>19</w:t>
            </w:r>
          </w:p>
        </w:tc>
        <w:tc>
          <w:tcPr>
            <w:tcW w:w="244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隔离剂</w:t>
            </w:r>
          </w:p>
        </w:tc>
        <w:tc>
          <w:tcPr>
            <w:tcW w:w="1238" w:type="dxa"/>
            <w:tcBorders>
              <w:tl2br w:val="nil"/>
              <w:tr2bl w:val="nil"/>
            </w:tcBorders>
            <w:vAlign w:val="center"/>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1881"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0.5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20</w:t>
            </w:r>
          </w:p>
        </w:tc>
        <w:tc>
          <w:tcPr>
            <w:tcW w:w="0" w:type="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机油</w:t>
            </w:r>
          </w:p>
        </w:tc>
        <w:tc>
          <w:tcPr>
            <w:tcW w:w="0" w:type="auto"/>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0" w:type="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21</w:t>
            </w:r>
          </w:p>
        </w:tc>
        <w:tc>
          <w:tcPr>
            <w:tcW w:w="0" w:type="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石油树脂</w:t>
            </w:r>
          </w:p>
        </w:tc>
        <w:tc>
          <w:tcPr>
            <w:tcW w:w="0" w:type="auto"/>
          </w:tcPr>
          <w:p>
            <w:pPr>
              <w:spacing w:line="240" w:lineRule="auto"/>
              <w:jc w:val="center"/>
              <w:rPr>
                <w:color w:val="auto"/>
              </w:rPr>
            </w:pPr>
            <w:r>
              <w:rPr>
                <w:rFonts w:hint="eastAsia" w:ascii="Times New Roman" w:hAnsi="Times New Roman" w:cs="Times New Roman"/>
                <w:color w:val="auto"/>
                <w:kern w:val="0"/>
                <w:sz w:val="21"/>
                <w:szCs w:val="21"/>
                <w:lang w:val="en-US" w:eastAsia="zh-CN"/>
              </w:rPr>
              <w:t>t/a</w:t>
            </w:r>
          </w:p>
        </w:tc>
        <w:tc>
          <w:tcPr>
            <w:tcW w:w="0" w:type="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2"/>
                <w:szCs w:val="22"/>
                <w:u w:val="none"/>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22</w:t>
            </w:r>
          </w:p>
        </w:tc>
        <w:tc>
          <w:tcPr>
            <w:tcW w:w="0" w:type="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w:t>
            </w:r>
          </w:p>
        </w:tc>
        <w:tc>
          <w:tcPr>
            <w:tcW w:w="0" w:type="auto"/>
            <w:vAlign w:val="center"/>
          </w:tcPr>
          <w:p>
            <w:pPr>
              <w:spacing w:line="240" w:lineRule="auto"/>
              <w:jc w:val="center"/>
              <w:rPr>
                <w:color w:val="auto"/>
              </w:rPr>
            </w:pPr>
            <w:r>
              <w:rPr>
                <w:rFonts w:hint="default"/>
                <w:color w:val="auto"/>
                <w:lang w:val="en-US" w:eastAsia="zh-CN"/>
              </w:rPr>
              <w:t>m</w:t>
            </w:r>
            <w:r>
              <w:rPr>
                <w:rFonts w:hint="default"/>
                <w:color w:val="auto"/>
                <w:vertAlign w:val="superscript"/>
                <w:lang w:val="en-US" w:eastAsia="zh-CN"/>
              </w:rPr>
              <w:t>3</w:t>
            </w:r>
            <w:r>
              <w:rPr>
                <w:rFonts w:hint="default"/>
                <w:color w:val="auto"/>
                <w:lang w:val="en-US" w:eastAsia="zh-CN"/>
              </w:rPr>
              <w:t xml:space="preserve"> /a</w:t>
            </w:r>
          </w:p>
        </w:tc>
        <w:tc>
          <w:tcPr>
            <w:tcW w:w="0" w:type="auto"/>
            <w:vAlign w:val="center"/>
          </w:tcPr>
          <w:p>
            <w:pPr>
              <w:spacing w:line="240" w:lineRule="auto"/>
              <w:jc w:val="center"/>
              <w:rPr>
                <w:rFonts w:hint="default" w:eastAsia="宋体"/>
                <w:color w:val="auto"/>
                <w:szCs w:val="21"/>
                <w:lang w:val="en-US" w:eastAsia="zh-CN"/>
              </w:rPr>
            </w:pPr>
            <w:r>
              <w:rPr>
                <w:rFonts w:hint="eastAsia"/>
                <w:color w:val="auto"/>
                <w:szCs w:val="21"/>
                <w:lang w:val="en-US" w:eastAsia="zh-CN"/>
              </w:rPr>
              <w:t>150</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23</w:t>
            </w:r>
          </w:p>
        </w:tc>
        <w:tc>
          <w:tcPr>
            <w:tcW w:w="0" w:type="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w:t>
            </w:r>
          </w:p>
        </w:tc>
        <w:tc>
          <w:tcPr>
            <w:tcW w:w="0" w:type="auto"/>
            <w:vAlign w:val="center"/>
          </w:tcPr>
          <w:p>
            <w:pPr>
              <w:spacing w:line="240" w:lineRule="auto"/>
              <w:jc w:val="center"/>
              <w:rPr>
                <w:color w:val="auto"/>
              </w:rPr>
            </w:pPr>
            <w:r>
              <w:rPr>
                <w:rFonts w:hint="eastAsia"/>
                <w:color w:val="auto"/>
                <w:lang w:val="en-US" w:eastAsia="zh-CN"/>
              </w:rPr>
              <w:t xml:space="preserve">万 </w:t>
            </w:r>
            <w:r>
              <w:rPr>
                <w:rFonts w:hint="default"/>
                <w:color w:val="auto"/>
                <w:lang w:val="en-US" w:eastAsia="zh-CN"/>
              </w:rPr>
              <w:t>kwh</w:t>
            </w:r>
          </w:p>
        </w:tc>
        <w:tc>
          <w:tcPr>
            <w:tcW w:w="0" w:type="auto"/>
            <w:vAlign w:val="center"/>
          </w:tcPr>
          <w:p>
            <w:pPr>
              <w:spacing w:line="240" w:lineRule="auto"/>
              <w:jc w:val="center"/>
              <w:rPr>
                <w:rFonts w:hint="default" w:eastAsia="宋体"/>
                <w:color w:val="auto"/>
                <w:szCs w:val="21"/>
                <w:lang w:val="en-US" w:eastAsia="zh-CN"/>
              </w:rPr>
            </w:pPr>
            <w:r>
              <w:rPr>
                <w:rFonts w:hint="eastAsia"/>
                <w:color w:val="auto"/>
                <w:szCs w:val="21"/>
                <w:lang w:val="en-US" w:eastAsia="zh-CN"/>
              </w:rPr>
              <w:t>50</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tcPr>
          <w:p>
            <w:pPr>
              <w:spacing w:line="360" w:lineRule="exact"/>
              <w:jc w:val="center"/>
              <w:rPr>
                <w:rFonts w:hint="default"/>
                <w:color w:val="000000"/>
                <w:szCs w:val="21"/>
                <w:lang w:val="en-US" w:eastAsia="zh-CN"/>
              </w:rPr>
            </w:pPr>
            <w:r>
              <w:rPr>
                <w:rFonts w:hint="eastAsia"/>
                <w:color w:val="000000"/>
                <w:szCs w:val="21"/>
                <w:lang w:val="en-US" w:eastAsia="zh-CN"/>
              </w:rPr>
              <w:t>24</w:t>
            </w:r>
          </w:p>
        </w:tc>
        <w:tc>
          <w:tcPr>
            <w:tcW w:w="0" w:type="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液化石油气</w:t>
            </w:r>
          </w:p>
        </w:tc>
        <w:tc>
          <w:tcPr>
            <w:tcW w:w="0" w:type="auto"/>
            <w:vAlign w:val="center"/>
          </w:tcPr>
          <w:p>
            <w:pPr>
              <w:spacing w:line="240" w:lineRule="auto"/>
              <w:jc w:val="center"/>
              <w:rPr>
                <w:color w:val="auto"/>
              </w:rPr>
            </w:pPr>
            <w:r>
              <w:rPr>
                <w:rFonts w:hint="eastAsia"/>
                <w:color w:val="auto"/>
                <w:lang w:val="en-US" w:eastAsia="zh-CN"/>
              </w:rPr>
              <w:t>万</w:t>
            </w:r>
            <w:r>
              <w:rPr>
                <w:rFonts w:hint="default"/>
                <w:color w:val="auto"/>
                <w:lang w:val="en-US" w:eastAsia="zh-CN"/>
              </w:rPr>
              <w:t>m</w:t>
            </w:r>
            <w:r>
              <w:rPr>
                <w:rFonts w:hint="default"/>
                <w:color w:val="auto"/>
                <w:vertAlign w:val="superscript"/>
                <w:lang w:val="en-US" w:eastAsia="zh-CN"/>
              </w:rPr>
              <w:t>3</w:t>
            </w:r>
            <w:r>
              <w:rPr>
                <w:rFonts w:hint="default"/>
                <w:color w:val="auto"/>
                <w:lang w:val="en-US" w:eastAsia="zh-CN"/>
              </w:rPr>
              <w:t xml:space="preserve"> /a</w:t>
            </w:r>
          </w:p>
        </w:tc>
        <w:tc>
          <w:tcPr>
            <w:tcW w:w="0" w:type="auto"/>
            <w:vAlign w:val="center"/>
          </w:tcPr>
          <w:p>
            <w:pPr>
              <w:spacing w:line="240" w:lineRule="auto"/>
              <w:jc w:val="center"/>
              <w:rPr>
                <w:rFonts w:hint="default" w:eastAsia="宋体"/>
                <w:color w:val="auto"/>
                <w:szCs w:val="21"/>
                <w:lang w:val="en-US" w:eastAsia="zh-CN"/>
              </w:rPr>
            </w:pPr>
            <w:r>
              <w:rPr>
                <w:rFonts w:hint="eastAsia"/>
                <w:color w:val="auto"/>
                <w:szCs w:val="21"/>
                <w:lang w:val="en-US" w:eastAsia="zh-CN"/>
              </w:rPr>
              <w:t>8.4</w:t>
            </w:r>
          </w:p>
        </w:tc>
        <w:tc>
          <w:tcPr>
            <w:tcW w:w="0" w:type="auto"/>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项目主体工程为年产 80000 套床垫生产线及相应生产车间；辅助工程为仓库、办公楼、锅炉房；公用工程为供电、供水、排水、供热等设施；环保工程为废气处理、废水处理、降噪、固废措施等</w:t>
      </w:r>
      <w:r>
        <w:rPr>
          <w:rFonts w:hint="default" w:ascii="Times New Roman" w:hAnsi="Times New Roman" w:eastAsia="宋体" w:cs="Times New Roman"/>
          <w:sz w:val="24"/>
          <w:szCs w:val="24"/>
        </w:rPr>
        <w:t>。</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辅助工程、环保工程和公用工程组成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1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color w:val="auto"/>
                <w:sz w:val="21"/>
                <w:szCs w:val="21"/>
                <w:lang w:val="en-US" w:eastAsia="zh-CN"/>
              </w:rPr>
              <w:t>生产线</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 xml:space="preserve">年产80000套床垫生产线 </w:t>
            </w:r>
          </w:p>
        </w:tc>
        <w:tc>
          <w:tcPr>
            <w:tcW w:w="1359"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一车间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占地面积480m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，建筑面积480m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，高度4m，主要用于拉筋布制作</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9"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二车间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占地面积480m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，建筑面积480m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，高度4m，主要用于床垫组装及硫化定型</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三车间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占地面积720m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，建筑面积720m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，高度6m，主要用于炼胶及压延</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四车间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占地面积520m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，建筑面积520m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，高度6m，主要用于胶料压片及充气检验</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辅助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办公楼</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1座，2层，占地面积216m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，建筑面积432m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w:t>
            </w:r>
          </w:p>
        </w:tc>
        <w:tc>
          <w:tcPr>
            <w:tcW w:w="1359"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仓库</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1座，1层，占地面55m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，建筑面积55m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，高度4m</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锅炉房</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1座，1层，占地面96m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，建筑面积96m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，高度4m。</w:t>
            </w:r>
          </w:p>
        </w:tc>
        <w:tc>
          <w:tcPr>
            <w:tcW w:w="1359"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供电</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color w:val="auto"/>
                <w:szCs w:val="21"/>
                <w:lang w:val="en-US" w:eastAsia="zh-CN"/>
              </w:rPr>
              <w:t>由当地供电系统提供，厂区设</w:t>
            </w:r>
            <w:r>
              <w:rPr>
                <w:rFonts w:hint="default"/>
                <w:color w:val="auto"/>
                <w:szCs w:val="21"/>
                <w:lang w:val="en-US" w:eastAsia="zh-CN"/>
              </w:rPr>
              <w:t>1</w:t>
            </w:r>
            <w:r>
              <w:rPr>
                <w:rFonts w:hint="eastAsia"/>
                <w:color w:val="auto"/>
                <w:szCs w:val="21"/>
                <w:lang w:val="en-US" w:eastAsia="zh-CN"/>
              </w:rPr>
              <w:t>台</w:t>
            </w:r>
            <w:r>
              <w:rPr>
                <w:rFonts w:hint="default"/>
                <w:color w:val="auto"/>
                <w:szCs w:val="21"/>
                <w:lang w:val="en-US" w:eastAsia="zh-CN"/>
              </w:rPr>
              <w:t>315KVA</w:t>
            </w:r>
            <w:r>
              <w:rPr>
                <w:rFonts w:hint="eastAsia"/>
                <w:color w:val="auto"/>
                <w:szCs w:val="21"/>
                <w:lang w:val="en-US" w:eastAsia="zh-CN"/>
              </w:rPr>
              <w:t>变压器，可满足项目供电需求</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供水</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bCs/>
                <w:color w:val="auto"/>
                <w:kern w:val="2"/>
                <w:szCs w:val="21"/>
                <w:lang w:val="en-US" w:eastAsia="zh-CN"/>
              </w:rPr>
              <w:t>项目用水为设备冷却水和生活用水，由当地供水系统提供，可满足项目需求。</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排水</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bCs/>
                <w:color w:val="auto"/>
                <w:kern w:val="2"/>
                <w:szCs w:val="21"/>
                <w:lang w:val="en-US" w:eastAsia="zh-CN"/>
              </w:rPr>
              <w:t>项目冷却水循环使用，定期补加，不外排；厂内生活污水排入化粪池定期清掏，不外排。</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spacing w:line="240" w:lineRule="auto"/>
              <w:jc w:val="center"/>
              <w:rPr>
                <w:rFonts w:hint="eastAsia"/>
                <w:color w:val="000000"/>
                <w:szCs w:val="21"/>
              </w:rPr>
            </w:pPr>
            <w:r>
              <w:rPr>
                <w:color w:val="auto"/>
                <w:szCs w:val="21"/>
              </w:rPr>
              <w:t>供热</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eastAsia"/>
                <w:color w:val="000000"/>
                <w:szCs w:val="21"/>
              </w:rPr>
            </w:pPr>
            <w:r>
              <w:rPr>
                <w:rFonts w:hint="eastAsia"/>
                <w:color w:val="auto"/>
                <w:szCs w:val="21"/>
                <w:lang w:val="en-US" w:eastAsia="zh-CN"/>
              </w:rPr>
              <w:t>生产用热及冬季办公室取暖均由燃气蒸汽发生器提供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eastAsiaTheme="minorEastAsia"/>
                <w:bCs/>
                <w:color w:val="auto"/>
                <w:kern w:val="2"/>
                <w:szCs w:val="21"/>
                <w:lang w:val="en-US" w:eastAsia="zh-CN"/>
              </w:rPr>
              <w:t>拉筋布压延工序废气经集气罩收集后，经一套“2级活性炭吸附”装置处理后经1根15m高排气筒（P1）排放；其他生产废气经集气罩收集后，经一套“布袋除尘器+2级活性炭吸附”装置处理后经1根15m高排气筒（P2）排放；锅炉安装低氮燃烧器，烟气经1根15m高排气筒（P3）排放</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废水</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default" w:ascii="Times New Roman" w:hAnsi="Times New Roman" w:eastAsia="宋体" w:cs="Times New Roman"/>
                <w:kern w:val="0"/>
                <w:sz w:val="21"/>
                <w:szCs w:val="21"/>
                <w:lang w:val="en-US" w:eastAsia="zh-CN"/>
              </w:rPr>
            </w:pPr>
            <w:r>
              <w:rPr>
                <w:rFonts w:hint="eastAsia"/>
                <w:szCs w:val="21"/>
                <w:lang w:val="en-US" w:eastAsia="zh-CN"/>
              </w:rPr>
              <w:t>项目冷却水循环使用，定期补加，不外排；厂内生活污水排入化粪池定期清掏，不外排。</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噪声</w:t>
            </w:r>
          </w:p>
        </w:tc>
        <w:tc>
          <w:tcPr>
            <w:tcW w:w="5464" w:type="dxa"/>
            <w:tcBorders>
              <w:tl2br w:val="nil"/>
              <w:tr2bl w:val="nil"/>
            </w:tcBorders>
            <w:tcMar>
              <w:top w:w="0" w:type="dxa"/>
              <w:left w:w="0" w:type="dxa"/>
              <w:bottom w:w="0" w:type="dxa"/>
              <w:right w:w="0" w:type="dxa"/>
            </w:tcMar>
            <w:vAlign w:val="center"/>
          </w:tcPr>
          <w:p>
            <w:pPr>
              <w:pStyle w:val="2"/>
              <w:spacing w:line="240" w:lineRule="auto"/>
              <w:ind w:firstLine="420" w:firstLineChars="200"/>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选用低噪声设备、安装减振装置、生产设备合理布局、厂房隔声等措施。</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7"/>
              <w:spacing w:after="0" w:line="360" w:lineRule="exact"/>
              <w:ind w:firstLine="0" w:firstLineChars="0"/>
              <w:jc w:val="center"/>
              <w:rPr>
                <w:rFonts w:hint="eastAsia"/>
                <w:color w:val="000000"/>
                <w:szCs w:val="21"/>
              </w:rPr>
            </w:pPr>
            <w:r>
              <w:rPr>
                <w:rFonts w:hint="eastAsia"/>
                <w:color w:val="000000"/>
                <w:szCs w:val="21"/>
              </w:rPr>
              <w:t>固体</w:t>
            </w:r>
          </w:p>
          <w:p>
            <w:pPr>
              <w:pStyle w:val="17"/>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废物</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生产过程产生的下脚料收集后外售处理；布袋除尘器回收粉尘收集后回</w:t>
            </w:r>
            <w:r>
              <w:rPr>
                <w:rFonts w:hint="eastAsia" w:ascii="Times New Roman" w:hAnsi="Times New Roman" w:cs="Times New Roman"/>
                <w:kern w:val="0"/>
                <w:sz w:val="21"/>
                <w:szCs w:val="21"/>
                <w:lang w:val="en-US" w:eastAsia="zh-CN"/>
              </w:rPr>
              <w:t>用；废润滑油、废活性炭采用专用容器收集，同废润滑油桶一同暂存于危废暂存间内，定期交有资质单位清运处理；润滑油桶作为周转桶由厂家回收，生活垃圾由环卫部门清运处理。</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7"/>
        <w:rPr>
          <w:rFonts w:hint="default" w:ascii="Times New Roman" w:hAnsi="Times New Roman" w:eastAsia="宋体" w:cs="Times New Roman"/>
        </w:rPr>
      </w:pPr>
      <w:bookmarkStart w:id="77" w:name="_Toc497001443"/>
      <w:bookmarkStart w:id="78" w:name="_Toc1691"/>
      <w:bookmarkStart w:id="79" w:name="_Toc30584"/>
      <w:bookmarkStart w:id="80" w:name="_Toc27810"/>
      <w:bookmarkStart w:id="81" w:name="_Toc17854"/>
      <w:bookmarkStart w:id="82" w:name="_Toc496979007"/>
      <w:r>
        <w:rPr>
          <w:rFonts w:hint="default" w:ascii="Times New Roman" w:hAnsi="Times New Roman" w:eastAsia="宋体" w:cs="Times New Roman"/>
        </w:rPr>
        <w:t>2.2.4生产设备</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1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3" w:name="_Toc25900"/>
            <w:bookmarkStart w:id="84" w:name="_Toc23184"/>
            <w:bookmarkStart w:id="85" w:name="_Toc376"/>
            <w:bookmarkStart w:id="86" w:name="_Toc9178"/>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开炼机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4</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压延机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ascii="Times New Roman" w:hAnsi="Times New Roman" w:eastAsia="宋体" w:cs="Times New Roman"/>
                <w:kern w:val="0"/>
                <w:szCs w:val="21"/>
                <w:lang w:val="en-US" w:eastAsia="zh-CN"/>
              </w:rPr>
            </w:pPr>
            <w:r>
              <w:rPr>
                <w:rFonts w:hint="eastAsia"/>
              </w:rPr>
              <w:t>台</w:t>
            </w:r>
          </w:p>
        </w:tc>
        <w:tc>
          <w:tcPr>
            <w:tcW w:w="1785"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捏炼机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4</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滤胶机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5</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燃气蒸汽发生器</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6</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空压机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7</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台案</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8</w:t>
            </w:r>
          </w:p>
        </w:tc>
        <w:tc>
          <w:tcPr>
            <w:tcW w:w="2277"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工字制造机</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9</w:t>
            </w:r>
          </w:p>
        </w:tc>
        <w:tc>
          <w:tcPr>
            <w:tcW w:w="227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eastAsia"/>
                <w:kern w:val="0"/>
                <w:sz w:val="21"/>
                <w:szCs w:val="21"/>
              </w:rPr>
            </w:pPr>
            <w:r>
              <w:rPr>
                <w:rFonts w:hint="eastAsia" w:ascii="宋体" w:hAnsi="宋体" w:eastAsia="宋体" w:cs="宋体"/>
                <w:i w:val="0"/>
                <w:iCs w:val="0"/>
                <w:color w:val="000000"/>
                <w:kern w:val="0"/>
                <w:sz w:val="22"/>
                <w:szCs w:val="22"/>
                <w:u w:val="none"/>
                <w:lang w:val="en-US" w:eastAsia="zh-CN" w:bidi="ar"/>
              </w:rPr>
              <w:t>硫化罐</w:t>
            </w:r>
          </w:p>
        </w:tc>
        <w:tc>
          <w:tcPr>
            <w:tcW w:w="1617" w:type="dxa"/>
            <w:tcBorders>
              <w:tl2br w:val="nil"/>
              <w:tr2bl w:val="nil"/>
            </w:tcBorders>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rPr>
              <w:t>台</w:t>
            </w:r>
          </w:p>
        </w:tc>
        <w:tc>
          <w:tcPr>
            <w:tcW w:w="1785" w:type="dxa"/>
            <w:tcBorders>
              <w:tl2br w:val="nil"/>
              <w:tr2bl w:val="nil"/>
            </w:tcBorders>
            <w:vAlign w:val="center"/>
          </w:tcPr>
          <w:p>
            <w:pPr>
              <w:pStyle w:val="33"/>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1</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drawing>
          <wp:inline distT="0" distB="0" distL="114300" distR="114300">
            <wp:extent cx="4953000" cy="6972300"/>
            <wp:effectExtent l="0" t="0" r="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2"/>
                    <a:stretch>
                      <a:fillRect/>
                    </a:stretch>
                  </pic:blipFill>
                  <pic:spPr>
                    <a:xfrm>
                      <a:off x="0" y="0"/>
                      <a:ext cx="4953000" cy="697230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7" w:name="_Toc12629"/>
      <w:bookmarkStart w:id="88" w:name="_Toc2746"/>
      <w:bookmarkStart w:id="89" w:name="_Toc29955"/>
      <w:bookmarkStart w:id="90" w:name="_Toc12284"/>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）开炼：项目所用原料天然胶、丁苯胶经开炼机辊筒挤压，形成胶卷，开炼过程中，不需要加温，物料通过自身的相互摩擦，温度急剧升高，为保持炼胶温度控制在55~60℃，在开炼机外侧设置循环水冷却系统。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（2）捏炼：为提高橡胶制品的使用功能，将胶卷、钙粉、纳米钙、硬脂酸、氧化锌、抗氧剂、凡士林、钛白粉、除味剂、石油树脂等按一定顺序及比例投入捏炼机中。为保证炼胶温度控制在 60~80℃，在捏炼机外侧设置循环水冷却系统。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（3）滤胶：胶料投入滤胶机，经螺杆推挤、输送作用，把胶料中的杂质清除掉的机械。过滤之前必须将机头机身预热到 70~80℃，在滤胶机外侧设置循环水冷却系统。</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（4）压片：将过滤后的胶片与一定量的促进剂投入压片专用开炼机进行压片，设备温度控制在55~60℃，设置循环水冷却系统。为防止胶片粘连，加入隔离剂。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（5）压延：胶片与经整理缝接的棉布送入压延机，压成一定厚度，冷却后取卷，压延机温度控制在 80~90℃，外侧设置循环水冷却系统。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（6）组合成型：拉筋布经整理缝接、压延、车剪、工字轧成后形成拉筋布半成品，与经压延成型的胶片进行粘合成型，项目采用 120 号汽油对粘合面进行清洁。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7）硫化定型：橡胶在未硫化之前，分子之间没有产生交联，因此缺乏良好的物理机械性能，实用价值不大。当橡胶加入硫化剂以后，经热处理或其他方式能使橡胶分子之间产生交联，形成三维网状结构，从而使其性能大大改善，尤其是橡胶的定伸应力、弹性、硬度、拉伸强度等一系列物理机械性能都会大大提高。橡胶大分子在加热下与促进剂交联成为立体网状结构的过程。经过硫化后的橡胶称硫化胶。硫化是橡胶加工中的最后一个工序，可以得到定型的具有实用价值的橡胶制品。项目用硫化罐加温142度硫化定型。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（8）检测检验：人工对成品进行充气检测检验。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（9）包装成品：经检验合格的成品进行人工包装后入库待售。</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7"/>
      <w:bookmarkEnd w:id="88"/>
      <w:bookmarkEnd w:id="89"/>
      <w:bookmarkEnd w:id="90"/>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20</w:t>
      </w:r>
      <w:r>
        <w:rPr>
          <w:rFonts w:hint="default" w:ascii="Times New Roman" w:hAnsi="Times New Roman" w:eastAsia="宋体" w:cs="Times New Roman"/>
          <w:sz w:val="24"/>
          <w:szCs w:val="24"/>
        </w:rPr>
        <w:t>人，实行白班工作制，每天8小时，年工作日为300天。</w:t>
      </w:r>
    </w:p>
    <w:p>
      <w:pPr>
        <w:pStyle w:val="6"/>
        <w:rPr>
          <w:rFonts w:hint="default" w:ascii="Times New Roman" w:hAnsi="Times New Roman" w:eastAsia="宋体" w:cs="Times New Roman"/>
        </w:rPr>
      </w:pPr>
      <w:bookmarkStart w:id="91" w:name="_Toc4180"/>
      <w:bookmarkStart w:id="92" w:name="_Toc172"/>
      <w:bookmarkStart w:id="93" w:name="_Toc23560"/>
      <w:bookmarkStart w:id="94" w:name="_Toc18609"/>
      <w:r>
        <w:rPr>
          <w:rFonts w:hint="default" w:ascii="Times New Roman" w:hAnsi="Times New Roman" w:eastAsia="宋体" w:cs="Times New Roman"/>
        </w:rPr>
        <w:t>2.5公用工程</w:t>
      </w:r>
      <w:bookmarkEnd w:id="91"/>
      <w:bookmarkEnd w:id="92"/>
      <w:bookmarkEnd w:id="93"/>
      <w:bookmarkEnd w:id="94"/>
    </w:p>
    <w:p>
      <w:pPr>
        <w:pStyle w:val="7"/>
        <w:spacing w:line="440" w:lineRule="atLeast"/>
        <w:rPr>
          <w:rFonts w:hint="default" w:ascii="Times New Roman" w:hAnsi="Times New Roman" w:eastAsia="宋体" w:cs="Times New Roman"/>
          <w:color w:val="auto"/>
        </w:rPr>
      </w:pPr>
      <w:bookmarkStart w:id="95" w:name="_Toc30661"/>
      <w:bookmarkStart w:id="96" w:name="_Toc30587"/>
      <w:bookmarkStart w:id="97" w:name="_Toc11895"/>
      <w:bookmarkStart w:id="98" w:name="_Toc497001447"/>
      <w:bookmarkStart w:id="99" w:name="_Toc23987"/>
      <w:bookmarkStart w:id="100" w:name="_Toc496979011"/>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5"/>
      <w:bookmarkEnd w:id="96"/>
      <w:bookmarkEnd w:id="97"/>
      <w:bookmarkEnd w:id="98"/>
      <w:bookmarkEnd w:id="99"/>
      <w:bookmarkEnd w:id="100"/>
    </w:p>
    <w:p>
      <w:pPr>
        <w:pStyle w:val="7"/>
        <w:spacing w:line="440" w:lineRule="atLeast"/>
        <w:ind w:firstLine="480" w:firstLineChars="200"/>
        <w:rPr>
          <w:rFonts w:hint="eastAsia" w:ascii="Times New Roman" w:hAnsi="Times New Roman" w:eastAsia="宋体" w:cs="Times New Roman"/>
          <w:color w:val="auto"/>
          <w:lang w:eastAsia="zh-CN"/>
        </w:rPr>
      </w:pPr>
      <w:bookmarkStart w:id="101" w:name="_Toc497001448"/>
      <w:bookmarkStart w:id="102" w:name="_Toc922"/>
      <w:bookmarkStart w:id="103" w:name="_Toc496979012"/>
      <w:r>
        <w:rPr>
          <w:rFonts w:hint="default" w:ascii="Times New Roman" w:hAnsi="Times New Roman" w:eastAsia="宋体" w:cs="Times New Roman"/>
          <w:color w:val="auto"/>
        </w:rPr>
        <w:t>1）给水：</w:t>
      </w:r>
      <w:r>
        <w:rPr>
          <w:rFonts w:hint="default" w:ascii="Times New Roman" w:hAnsi="Times New Roman" w:eastAsia="宋体" w:cs="Times New Roman"/>
          <w:color w:val="auto"/>
          <w:lang w:val="en-US" w:eastAsia="zh-CN"/>
        </w:rPr>
        <w:t>项目用水为设备冷却水和生活用水，由当地供水系统提供，可满足项目需求。</w:t>
      </w:r>
    </w:p>
    <w:p>
      <w:pPr>
        <w:pStyle w:val="7"/>
        <w:spacing w:line="440" w:lineRule="atLeast"/>
        <w:ind w:firstLine="480" w:firstLineChars="200"/>
        <w:rPr>
          <w:rFonts w:ascii="Times New Roman" w:hAnsi="Times New Roman" w:eastAsia="宋体"/>
          <w:color w:val="auto"/>
          <w:kern w:val="28"/>
          <w:sz w:val="24"/>
        </w:rPr>
      </w:pPr>
      <w:bookmarkStart w:id="104"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4"/>
      <w:r>
        <w:rPr>
          <w:rFonts w:hint="eastAsia" w:ascii="Times New Roman" w:hAnsi="Times New Roman" w:eastAsia="宋体"/>
          <w:color w:val="auto"/>
          <w:kern w:val="28"/>
          <w:sz w:val="24"/>
          <w:lang w:eastAsia="zh-CN"/>
        </w:rPr>
        <w:t>本</w:t>
      </w:r>
      <w:r>
        <w:rPr>
          <w:rFonts w:hint="eastAsia" w:ascii="Times New Roman" w:hAnsi="Times New Roman" w:eastAsia="宋体"/>
          <w:color w:val="auto"/>
          <w:kern w:val="28"/>
          <w:sz w:val="24"/>
          <w:lang w:val="en-US" w:eastAsia="zh-CN"/>
        </w:rPr>
        <w:t>项目冷却水循环使用，定期补加，不外排；厂内生活污水排入化粪池定期清掏，不外排。</w:t>
      </w:r>
    </w:p>
    <w:p>
      <w:pPr>
        <w:pStyle w:val="7"/>
        <w:spacing w:line="440" w:lineRule="atLeast"/>
        <w:rPr>
          <w:rFonts w:hint="default" w:ascii="Times New Roman" w:hAnsi="Times New Roman" w:eastAsia="宋体" w:cs="Times New Roman"/>
          <w:color w:val="auto"/>
        </w:rPr>
      </w:pPr>
      <w:bookmarkStart w:id="105" w:name="_Toc26592"/>
      <w:bookmarkStart w:id="106" w:name="_Toc24223"/>
      <w:bookmarkStart w:id="107" w:name="_Toc21823"/>
      <w:r>
        <w:rPr>
          <w:rFonts w:hint="default" w:ascii="Times New Roman" w:hAnsi="Times New Roman" w:eastAsia="宋体" w:cs="Times New Roman"/>
          <w:color w:val="auto"/>
        </w:rPr>
        <w:t>2.5.2供电</w:t>
      </w:r>
      <w:bookmarkEnd w:id="101"/>
      <w:bookmarkEnd w:id="102"/>
      <w:bookmarkEnd w:id="103"/>
      <w:bookmarkEnd w:id="105"/>
      <w:bookmarkEnd w:id="106"/>
      <w:bookmarkEnd w:id="107"/>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w:t>
      </w:r>
      <w:r>
        <w:rPr>
          <w:rFonts w:hint="default" w:ascii="Times New Roman" w:hAnsi="Times New Roman" w:eastAsia="宋体" w:cs="Times New Roman"/>
          <w:color w:val="auto"/>
          <w:sz w:val="24"/>
          <w:szCs w:val="24"/>
          <w:lang w:val="en-US" w:eastAsia="zh-CN"/>
        </w:rPr>
        <w:t>由当地供电系统提供</w:t>
      </w:r>
      <w:r>
        <w:rPr>
          <w:rFonts w:hint="eastAsia" w:ascii="Times New Roman" w:hAnsi="Times New Roman" w:cs="Times New Roman"/>
          <w:color w:val="auto"/>
          <w:sz w:val="24"/>
          <w:szCs w:val="24"/>
          <w:lang w:eastAsia="zh-CN"/>
        </w:rPr>
        <w:t>。</w:t>
      </w:r>
    </w:p>
    <w:p>
      <w:pPr>
        <w:pStyle w:val="7"/>
        <w:rPr>
          <w:rFonts w:hint="default" w:ascii="Times New Roman" w:hAnsi="Times New Roman" w:eastAsia="宋体" w:cs="Times New Roman"/>
          <w:color w:val="auto"/>
        </w:rPr>
      </w:pPr>
      <w:bookmarkStart w:id="108" w:name="_Toc138"/>
      <w:bookmarkStart w:id="109" w:name="_Toc2253"/>
      <w:bookmarkStart w:id="110" w:name="_Toc11980"/>
      <w:bookmarkStart w:id="111" w:name="_Toc27473"/>
      <w:r>
        <w:rPr>
          <w:rFonts w:hint="default" w:ascii="Times New Roman" w:hAnsi="Times New Roman" w:eastAsia="宋体" w:cs="Times New Roman"/>
          <w:color w:val="auto"/>
        </w:rPr>
        <w:t>2.5.3供暖</w:t>
      </w:r>
      <w:bookmarkEnd w:id="108"/>
      <w:bookmarkEnd w:id="109"/>
      <w:bookmarkEnd w:id="110"/>
      <w:bookmarkEnd w:id="111"/>
    </w:p>
    <w:p>
      <w:pPr>
        <w:spacing w:line="360" w:lineRule="auto"/>
        <w:ind w:firstLine="480" w:firstLineChars="200"/>
        <w:rPr>
          <w:rFonts w:hint="eastAsia" w:ascii="Times New Roman" w:hAnsi="Times New Roman" w:eastAsia="宋体" w:cs="Times New Roman"/>
          <w:lang w:eastAsia="zh-CN"/>
        </w:rPr>
      </w:pPr>
      <w:bookmarkStart w:id="112" w:name="_Toc23930"/>
      <w:bookmarkStart w:id="113" w:name="_Toc14595"/>
      <w:bookmarkStart w:id="114" w:name="_Toc12064"/>
      <w:bookmarkStart w:id="115" w:name="_Toc21958"/>
      <w:r>
        <w:rPr>
          <w:rFonts w:hint="default" w:ascii="Times New Roman" w:hAnsi="Times New Roman" w:eastAsia="宋体" w:cs="Times New Roman"/>
          <w:color w:val="auto"/>
          <w:sz w:val="24"/>
          <w:szCs w:val="24"/>
          <w:lang w:val="en-US" w:eastAsia="zh-CN"/>
        </w:rPr>
        <w:t xml:space="preserve">生产用热及冬季办公室取暖均由燃气蒸汽发生器提供 </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河北华睿风翰环保科技有限公司</w:t>
      </w:r>
      <w:r>
        <w:rPr>
          <w:rFonts w:hint="eastAsia" w:ascii="Times New Roman" w:hAnsi="Times New Roman" w:eastAsia="宋体"/>
          <w:color w:val="auto"/>
          <w:sz w:val="24"/>
          <w:lang w:eastAsia="zh-CN"/>
        </w:rPr>
        <w:t>于</w:t>
      </w:r>
      <w:r>
        <w:rPr>
          <w:rFonts w:hint="eastAsia" w:ascii="Times New Roman" w:hAnsi="Times New Roman" w:cs="Times New Roman"/>
          <w:color w:val="auto"/>
          <w:sz w:val="24"/>
          <w:szCs w:val="24"/>
          <w:lang w:val="en-US" w:eastAsia="zh-CN"/>
        </w:rPr>
        <w:t>2021</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河北好睡眠床垫有限公司年产80000套床垫项目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eastAsia" w:ascii="Times New Roman" w:hAnsi="Times New Roman" w:cs="Times New Roman"/>
          <w:sz w:val="24"/>
          <w:szCs w:val="24"/>
          <w:lang w:val="en-US" w:eastAsia="zh-CN"/>
        </w:rPr>
        <w:t>2021</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31</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沧县行政审批局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河北好睡眠床垫有限公司年产 80000 套床垫项目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沧县行审（环）字【2021】113号</w:t>
      </w:r>
      <w:r>
        <w:rPr>
          <w:rFonts w:hint="eastAsia" w:ascii="Times New Roman" w:hAnsi="Times New Roman" w:eastAsia="宋体" w:cs="Times New Roman"/>
          <w:sz w:val="24"/>
          <w:szCs w:val="24"/>
          <w:lang w:eastAsia="zh-CN"/>
        </w:rPr>
        <w:t>。</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6" w:name="_Toc27205"/>
      <w:bookmarkStart w:id="117" w:name="_Toc6019"/>
      <w:bookmarkStart w:id="118" w:name="_Toc29987"/>
      <w:bookmarkStart w:id="119" w:name="_Toc31951"/>
      <w:r>
        <w:rPr>
          <w:rFonts w:hint="default" w:ascii="Times New Roman" w:hAnsi="Times New Roman" w:eastAsia="宋体" w:cs="Times New Roman"/>
          <w:szCs w:val="22"/>
        </w:rPr>
        <w:t>2.7项目投资</w:t>
      </w:r>
      <w:bookmarkEnd w:id="116"/>
      <w:bookmarkEnd w:id="117"/>
      <w:bookmarkEnd w:id="118"/>
      <w:bookmarkEnd w:id="119"/>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20" w:name="_Toc21008"/>
      <w:bookmarkStart w:id="121" w:name="_Toc3229"/>
      <w:bookmarkStart w:id="122"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1000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50</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5</w:t>
      </w:r>
      <w:r>
        <w:rPr>
          <w:rFonts w:hint="default" w:ascii="Times New Roman" w:hAnsi="Times New Roman" w:eastAsia="宋体" w:cs="Times New Roman"/>
          <w:b w:val="0"/>
          <w:bCs/>
          <w:color w:val="auto"/>
          <w:kern w:val="2"/>
          <w:sz w:val="24"/>
          <w:szCs w:val="24"/>
          <w:lang w:val="en-US" w:eastAsia="zh-CN" w:bidi="ar-SA"/>
        </w:rPr>
        <w:t>%。</w:t>
      </w:r>
      <w:bookmarkStart w:id="123"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1000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50</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5</w:t>
      </w:r>
      <w:r>
        <w:rPr>
          <w:rFonts w:hint="eastAsia" w:ascii="Times New Roman" w:hAnsi="Times New Roman" w:eastAsia="宋体" w:cs="Times New Roman"/>
          <w:b w:val="0"/>
          <w:bCs/>
          <w:i w:val="0"/>
          <w:iCs w:val="0"/>
          <w:color w:val="auto"/>
          <w:kern w:val="2"/>
          <w:sz w:val="24"/>
          <w:szCs w:val="24"/>
          <w:lang w:val="en-US" w:eastAsia="zh-CN" w:bidi="ar-SA"/>
        </w:rPr>
        <w:t>%。</w:t>
      </w:r>
      <w:bookmarkEnd w:id="120"/>
      <w:bookmarkEnd w:id="121"/>
      <w:bookmarkEnd w:id="122"/>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4" w:name="_Toc2981"/>
      <w:bookmarkStart w:id="125" w:name="_Toc22160"/>
      <w:bookmarkStart w:id="126" w:name="_Toc3625"/>
      <w:r>
        <w:rPr>
          <w:rFonts w:hint="default" w:ascii="Times New Roman" w:hAnsi="Times New Roman" w:eastAsia="宋体" w:cs="Times New Roman"/>
        </w:rPr>
        <w:t>2.8项目变更情况说明</w:t>
      </w:r>
      <w:bookmarkEnd w:id="123"/>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rPr>
      </w:pPr>
      <w:bookmarkStart w:id="127" w:name="_Toc30604"/>
      <w:bookmarkStart w:id="128" w:name="_Toc3130"/>
      <w:bookmarkStart w:id="129" w:name="_Toc7013"/>
      <w:bookmarkStart w:id="130" w:name="_Toc18868"/>
      <w:r>
        <w:rPr>
          <w:rFonts w:hint="default" w:ascii="Times New Roman" w:hAnsi="Times New Roman" w:eastAsia="宋体" w:cs="Times New Roman"/>
          <w:b w:val="0"/>
          <w:bCs/>
          <w:color w:val="auto"/>
          <w:kern w:val="2"/>
          <w:sz w:val="24"/>
          <w:szCs w:val="24"/>
          <w:lang w:val="en-US" w:eastAsia="zh-CN" w:bidi="ar-SA"/>
        </w:rPr>
        <w:t>建设内容与环评及批复文件要求基本一致。</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7"/>
      <w:bookmarkEnd w:id="128"/>
      <w:bookmarkEnd w:id="129"/>
      <w:bookmarkEnd w:id="13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31"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31"/>
    </w:p>
    <w:tbl>
      <w:tblPr>
        <w:tblStyle w:val="19"/>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05"/>
        <w:gridCol w:w="697"/>
        <w:gridCol w:w="573"/>
        <w:gridCol w:w="2270"/>
        <w:gridCol w:w="2057"/>
        <w:gridCol w:w="1867"/>
        <w:gridCol w:w="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项目</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污染源</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污染物</w:t>
            </w:r>
          </w:p>
        </w:tc>
        <w:tc>
          <w:tcPr>
            <w:tcW w:w="2270"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环保设施名称</w:t>
            </w:r>
          </w:p>
        </w:tc>
        <w:tc>
          <w:tcPr>
            <w:tcW w:w="205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验收指标</w:t>
            </w:r>
          </w:p>
        </w:tc>
        <w:tc>
          <w:tcPr>
            <w:tcW w:w="186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验收标准</w:t>
            </w:r>
          </w:p>
        </w:tc>
        <w:tc>
          <w:tcPr>
            <w:tcW w:w="653" w:type="dxa"/>
            <w:vAlign w:val="center"/>
          </w:tcPr>
          <w:p>
            <w:pPr>
              <w:widowControl w:val="0"/>
              <w:adjustRightInd w:val="0"/>
              <w:spacing w:line="240" w:lineRule="auto"/>
              <w:jc w:val="center"/>
              <w:textAlignment w:val="auto"/>
              <w:rPr>
                <w:rFonts w:hint="default"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废气</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拉筋布压延废气</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非甲烷总烃</w:t>
            </w:r>
          </w:p>
        </w:tc>
        <w:tc>
          <w:tcPr>
            <w:tcW w:w="2270"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集气罩+</w:t>
            </w:r>
            <w:r>
              <w:rPr>
                <w:rFonts w:hint="eastAsia" w:ascii="Times New Roman" w:hAnsi="Times New Roman" w:eastAsia="宋体" w:cs="Times New Roman"/>
                <w:color w:val="000000"/>
                <w:kern w:val="2"/>
                <w:sz w:val="21"/>
                <w:szCs w:val="21"/>
                <w:u w:color="000000"/>
                <w:lang w:val="en-US" w:eastAsia="zh-CN" w:bidi="ar-SA"/>
              </w:rPr>
              <w:t>两级活性炭吸附装置</w:t>
            </w:r>
            <w:r>
              <w:rPr>
                <w:rFonts w:ascii="Times New Roman" w:hAnsi="Times New Roman" w:eastAsia="宋体" w:cs="Times New Roman"/>
                <w:color w:val="000000"/>
                <w:kern w:val="2"/>
                <w:sz w:val="21"/>
                <w:szCs w:val="21"/>
                <w:u w:color="000000"/>
                <w:lang w:val="en-US" w:eastAsia="zh-CN" w:bidi="ar-SA"/>
              </w:rPr>
              <w:t>+1根15m高排气筒</w:t>
            </w:r>
          </w:p>
        </w:tc>
        <w:tc>
          <w:tcPr>
            <w:tcW w:w="205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最高允许排放浓度：</w:t>
            </w:r>
          </w:p>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eastAsia="宋体" w:cs="Times New Roman"/>
                <w:color w:val="000000"/>
                <w:kern w:val="2"/>
                <w:sz w:val="21"/>
                <w:szCs w:val="21"/>
                <w:u w:color="000000"/>
                <w:lang w:val="en-US" w:eastAsia="zh-CN" w:bidi="ar-SA"/>
              </w:rPr>
              <w:t>10mg/m</w:t>
            </w:r>
            <w:r>
              <w:rPr>
                <w:rFonts w:hint="default" w:ascii="Times New Roman" w:hAnsi="Times New Roman" w:eastAsia="宋体" w:cs="Times New Roman"/>
                <w:color w:val="000000"/>
                <w:kern w:val="2"/>
                <w:sz w:val="21"/>
                <w:szCs w:val="21"/>
                <w:u w:color="000000"/>
                <w:vertAlign w:val="superscript"/>
                <w:lang w:val="en-US" w:eastAsia="zh-CN" w:bidi="ar-SA"/>
              </w:rPr>
              <w:t>3</w:t>
            </w:r>
          </w:p>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 xml:space="preserve">基准排气量 </w:t>
            </w:r>
            <w:r>
              <w:rPr>
                <w:rFonts w:hint="default" w:ascii="Times New Roman" w:hAnsi="Times New Roman" w:eastAsia="宋体" w:cs="Times New Roman"/>
                <w:color w:val="000000"/>
                <w:kern w:val="2"/>
                <w:sz w:val="21"/>
                <w:szCs w:val="21"/>
                <w:u w:color="000000"/>
                <w:lang w:val="en-US" w:eastAsia="zh-CN" w:bidi="ar-SA"/>
              </w:rPr>
              <w:t>2000m</w:t>
            </w:r>
            <w:r>
              <w:rPr>
                <w:rFonts w:hint="default" w:ascii="Times New Roman" w:hAnsi="Times New Roman" w:eastAsia="宋体" w:cs="Times New Roman"/>
                <w:color w:val="000000"/>
                <w:kern w:val="2"/>
                <w:sz w:val="21"/>
                <w:szCs w:val="21"/>
                <w:u w:color="000000"/>
                <w:vertAlign w:val="superscript"/>
                <w:lang w:val="en-US" w:eastAsia="zh-CN" w:bidi="ar-SA"/>
              </w:rPr>
              <w:t>3</w:t>
            </w:r>
            <w:r>
              <w:rPr>
                <w:rFonts w:hint="default" w:ascii="Times New Roman" w:hAnsi="Times New Roman" w:eastAsia="宋体" w:cs="Times New Roman"/>
                <w:color w:val="000000"/>
                <w:kern w:val="2"/>
                <w:sz w:val="21"/>
                <w:szCs w:val="21"/>
                <w:u w:color="000000"/>
                <w:lang w:val="en-US" w:eastAsia="zh-CN" w:bidi="ar-SA"/>
              </w:rPr>
              <w:t>/t</w:t>
            </w:r>
          </w:p>
        </w:tc>
        <w:tc>
          <w:tcPr>
            <w:tcW w:w="1867"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《橡胶制品工业污染物排放标准》（</w:t>
            </w:r>
            <w:r>
              <w:rPr>
                <w:rFonts w:hint="default" w:ascii="Times New Roman" w:hAnsi="Times New Roman" w:eastAsia="宋体" w:cs="Times New Roman"/>
                <w:color w:val="000000"/>
                <w:kern w:val="2"/>
                <w:sz w:val="21"/>
                <w:szCs w:val="21"/>
                <w:u w:color="000000"/>
                <w:lang w:val="en-US" w:eastAsia="zh-CN" w:bidi="ar-SA"/>
              </w:rPr>
              <w:t>GB27632-2011</w:t>
            </w:r>
            <w:r>
              <w:rPr>
                <w:rFonts w:hint="eastAsia" w:ascii="Times New Roman" w:hAnsi="Times New Roman" w:eastAsia="宋体" w:cs="Times New Roman"/>
                <w:color w:val="000000"/>
                <w:kern w:val="2"/>
                <w:sz w:val="21"/>
                <w:szCs w:val="21"/>
                <w:u w:color="000000"/>
                <w:lang w:val="en-US" w:eastAsia="zh-CN" w:bidi="ar-SA"/>
              </w:rPr>
              <w:t>）表</w:t>
            </w:r>
            <w:r>
              <w:rPr>
                <w:rFonts w:hint="default" w:ascii="Times New Roman" w:hAnsi="Times New Roman" w:eastAsia="宋体" w:cs="Times New Roman"/>
                <w:color w:val="000000"/>
                <w:kern w:val="2"/>
                <w:sz w:val="21"/>
                <w:szCs w:val="21"/>
                <w:u w:color="000000"/>
                <w:lang w:val="en-US" w:eastAsia="zh-CN" w:bidi="ar-SA"/>
              </w:rPr>
              <w:t>5</w:t>
            </w:r>
            <w:r>
              <w:rPr>
                <w:rFonts w:hint="eastAsia" w:ascii="Times New Roman" w:hAnsi="Times New Roman" w:eastAsia="宋体" w:cs="Times New Roman"/>
                <w:color w:val="000000"/>
                <w:kern w:val="2"/>
                <w:sz w:val="21"/>
                <w:szCs w:val="21"/>
                <w:u w:color="000000"/>
                <w:lang w:val="en-US" w:eastAsia="zh-CN" w:bidi="ar-SA"/>
              </w:rPr>
              <w:t>和表</w:t>
            </w:r>
            <w:r>
              <w:rPr>
                <w:rFonts w:hint="default" w:ascii="Times New Roman" w:hAnsi="Times New Roman" w:eastAsia="宋体" w:cs="Times New Roman"/>
                <w:color w:val="000000"/>
                <w:kern w:val="2"/>
                <w:sz w:val="21"/>
                <w:szCs w:val="21"/>
                <w:u w:color="000000"/>
                <w:lang w:val="en-US" w:eastAsia="zh-CN" w:bidi="ar-SA"/>
              </w:rPr>
              <w:t>6</w:t>
            </w:r>
            <w:r>
              <w:rPr>
                <w:rFonts w:hint="eastAsia" w:ascii="Times New Roman" w:hAnsi="Times New Roman" w:eastAsia="宋体" w:cs="Times New Roman"/>
                <w:color w:val="000000"/>
                <w:kern w:val="2"/>
                <w:sz w:val="21"/>
                <w:szCs w:val="21"/>
                <w:u w:color="000000"/>
                <w:lang w:val="en-US" w:eastAsia="zh-CN" w:bidi="ar-SA"/>
              </w:rPr>
              <w:t>排放标准</w:t>
            </w: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restart"/>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开炼、捏炼、滤胶、压片、压延、组合成型、硫化成型工序</w:t>
            </w:r>
          </w:p>
        </w:tc>
        <w:tc>
          <w:tcPr>
            <w:tcW w:w="57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颗粒物</w:t>
            </w:r>
          </w:p>
        </w:tc>
        <w:tc>
          <w:tcPr>
            <w:tcW w:w="2270" w:type="dxa"/>
            <w:vMerge w:val="restart"/>
            <w:vAlign w:val="center"/>
          </w:tcPr>
          <w:p>
            <w:pPr>
              <w:widowControl w:val="0"/>
              <w:adjustRightInd w:val="0"/>
              <w:spacing w:line="240" w:lineRule="auto"/>
              <w:jc w:val="center"/>
              <w:textAlignment w:val="auto"/>
              <w:rPr>
                <w:rFonts w:hint="default"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集气罩+布袋除尘器+两级活性炭吸附装置</w:t>
            </w:r>
            <w:r>
              <w:rPr>
                <w:rFonts w:hint="eastAsia" w:ascii="Times New Roman" w:hAnsi="Times New Roman" w:cs="Times New Roman"/>
                <w:color w:val="000000"/>
                <w:kern w:val="2"/>
                <w:sz w:val="21"/>
                <w:szCs w:val="21"/>
                <w:u w:color="000000"/>
                <w:lang w:val="en-US" w:eastAsia="zh-CN" w:bidi="ar-SA"/>
              </w:rPr>
              <w:t>+1根15m高排气筒</w:t>
            </w:r>
          </w:p>
        </w:tc>
        <w:tc>
          <w:tcPr>
            <w:tcW w:w="205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最高允许排放浓度12mg/m</w:t>
            </w:r>
            <w:r>
              <w:rPr>
                <w:rFonts w:hint="eastAsia" w:ascii="Times New Roman" w:hAnsi="Times New Roman" w:eastAsia="宋体" w:cs="Times New Roman"/>
                <w:color w:val="000000"/>
                <w:kern w:val="2"/>
                <w:sz w:val="21"/>
                <w:szCs w:val="21"/>
                <w:u w:color="000000"/>
                <w:vertAlign w:val="superscript"/>
                <w:lang w:val="en-US" w:eastAsia="zh-CN" w:bidi="ar-SA"/>
              </w:rPr>
              <w:t>3</w:t>
            </w:r>
            <w:r>
              <w:rPr>
                <w:rFonts w:hint="eastAsia" w:ascii="Times New Roman" w:hAnsi="Times New Roman" w:eastAsia="宋体" w:cs="Times New Roman"/>
                <w:color w:val="000000"/>
                <w:kern w:val="2"/>
                <w:sz w:val="21"/>
                <w:szCs w:val="21"/>
                <w:u w:color="000000"/>
                <w:lang w:val="en-US" w:eastAsia="zh-CN" w:bidi="ar-SA"/>
              </w:rPr>
              <w:t xml:space="preserve"> </w:t>
            </w:r>
          </w:p>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基准排气量2000m</w:t>
            </w:r>
            <w:r>
              <w:rPr>
                <w:rFonts w:hint="eastAsia" w:ascii="Times New Roman" w:hAnsi="Times New Roman" w:eastAsia="宋体" w:cs="Times New Roman"/>
                <w:color w:val="000000"/>
                <w:kern w:val="2"/>
                <w:sz w:val="21"/>
                <w:szCs w:val="21"/>
                <w:u w:color="000000"/>
                <w:vertAlign w:val="superscript"/>
                <w:lang w:val="en-US" w:eastAsia="zh-CN" w:bidi="ar-SA"/>
              </w:rPr>
              <w:t>3</w:t>
            </w:r>
            <w:r>
              <w:rPr>
                <w:rFonts w:hint="eastAsia" w:ascii="Times New Roman" w:hAnsi="Times New Roman" w:eastAsia="宋体" w:cs="Times New Roman"/>
                <w:color w:val="000000"/>
                <w:kern w:val="2"/>
                <w:sz w:val="21"/>
                <w:szCs w:val="21"/>
                <w:u w:color="000000"/>
                <w:lang w:val="en-US" w:eastAsia="zh-CN" w:bidi="ar-SA"/>
              </w:rPr>
              <w:t>/t</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非甲烷总烃</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最高允许排放浓度：10mg/m</w:t>
            </w:r>
            <w:r>
              <w:rPr>
                <w:rFonts w:hint="eastAsia" w:ascii="Times New Roman" w:hAnsi="Times New Roman" w:eastAsia="宋体" w:cs="Times New Roman"/>
                <w:color w:val="000000"/>
                <w:kern w:val="2"/>
                <w:sz w:val="21"/>
                <w:szCs w:val="21"/>
                <w:u w:color="000000"/>
                <w:vertAlign w:val="superscript"/>
                <w:lang w:val="en-US" w:eastAsia="zh-CN" w:bidi="ar-SA"/>
              </w:rPr>
              <w:t>3</w:t>
            </w:r>
            <w:r>
              <w:rPr>
                <w:rFonts w:hint="eastAsia" w:ascii="Times New Roman" w:hAnsi="Times New Roman" w:eastAsia="宋体" w:cs="Times New Roman"/>
                <w:color w:val="000000"/>
                <w:kern w:val="2"/>
                <w:sz w:val="21"/>
                <w:szCs w:val="21"/>
                <w:u w:color="000000"/>
                <w:lang w:val="en-US" w:eastAsia="zh-CN" w:bidi="ar-SA"/>
              </w:rPr>
              <w:t>基准排气量2000m</w:t>
            </w:r>
            <w:r>
              <w:rPr>
                <w:rFonts w:hint="eastAsia" w:ascii="Times New Roman" w:hAnsi="Times New Roman" w:eastAsia="宋体" w:cs="Times New Roman"/>
                <w:color w:val="000000"/>
                <w:kern w:val="2"/>
                <w:sz w:val="21"/>
                <w:szCs w:val="21"/>
                <w:u w:color="000000"/>
                <w:vertAlign w:val="superscript"/>
                <w:lang w:val="en-US" w:eastAsia="zh-CN" w:bidi="ar-SA"/>
              </w:rPr>
              <w:t>3</w:t>
            </w:r>
            <w:r>
              <w:rPr>
                <w:rFonts w:hint="eastAsia" w:ascii="Times New Roman" w:hAnsi="Times New Roman" w:eastAsia="宋体" w:cs="Times New Roman"/>
                <w:color w:val="000000"/>
                <w:kern w:val="2"/>
                <w:sz w:val="21"/>
                <w:szCs w:val="21"/>
                <w:u w:color="000000"/>
                <w:lang w:val="en-US" w:eastAsia="zh-CN" w:bidi="ar-SA"/>
              </w:rPr>
              <w:t>/t</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甲苯与二甲苯</w:t>
            </w:r>
          </w:p>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合计</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最高允许排放浓度：15mg/m</w:t>
            </w:r>
            <w:r>
              <w:rPr>
                <w:rFonts w:hint="eastAsia" w:ascii="Times New Roman" w:hAnsi="Times New Roman" w:eastAsia="宋体" w:cs="Times New Roman"/>
                <w:color w:val="000000"/>
                <w:kern w:val="2"/>
                <w:sz w:val="21"/>
                <w:szCs w:val="21"/>
                <w:u w:color="000000"/>
                <w:vertAlign w:val="superscript"/>
                <w:lang w:val="en-US" w:eastAsia="zh-CN" w:bidi="ar-SA"/>
              </w:rPr>
              <w:t>3</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苯</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最高允许排放浓度：</w:t>
            </w:r>
          </w:p>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4mg/m</w:t>
            </w:r>
            <w:r>
              <w:rPr>
                <w:rFonts w:hint="eastAsia" w:ascii="Times New Roman" w:hAnsi="Times New Roman" w:eastAsia="宋体" w:cs="Times New Roman"/>
                <w:color w:val="000000"/>
                <w:kern w:val="2"/>
                <w:sz w:val="21"/>
                <w:szCs w:val="21"/>
                <w:u w:color="000000"/>
                <w:vertAlign w:val="superscript"/>
                <w:lang w:val="en-US" w:eastAsia="zh-CN" w:bidi="ar-SA"/>
              </w:rPr>
              <w:t>3</w:t>
            </w:r>
          </w:p>
        </w:tc>
        <w:tc>
          <w:tcPr>
            <w:tcW w:w="186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《工业企业挥发性有机物排放控制标准》（DB13/2322-2016）表1有机化工业和表2中其他企业排放浓度限值</w:t>
            </w: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硫化氢</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排放速率 0.33kg/h</w:t>
            </w:r>
          </w:p>
        </w:tc>
        <w:tc>
          <w:tcPr>
            <w:tcW w:w="1867" w:type="dxa"/>
            <w:vMerge w:val="restart"/>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《恶臭污染物排放标准》（GB14554-93）表2标准</w:t>
            </w: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臭气浓度</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 xml:space="preserve">2000（无量纲） </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627"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restart"/>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燃气蒸汽发生器废</w:t>
            </w:r>
          </w:p>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气</w:t>
            </w:r>
          </w:p>
        </w:tc>
        <w:tc>
          <w:tcPr>
            <w:tcW w:w="573" w:type="dxa"/>
            <w:tcBorders>
              <w:bottom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烟尘</w:t>
            </w:r>
          </w:p>
        </w:tc>
        <w:tc>
          <w:tcPr>
            <w:tcW w:w="2270" w:type="dxa"/>
            <w:vMerge w:val="restart"/>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低氮燃烧器+1根15m高排气筒排放</w:t>
            </w:r>
          </w:p>
        </w:tc>
        <w:tc>
          <w:tcPr>
            <w:tcW w:w="2057" w:type="dxa"/>
            <w:tcBorders>
              <w:bottom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cs="Times New Roman"/>
                <w:color w:val="000000"/>
                <w:kern w:val="2"/>
                <w:sz w:val="21"/>
                <w:szCs w:val="21"/>
                <w:u w:color="000000"/>
                <w:lang w:val="en-US" w:eastAsia="zh-CN" w:bidi="ar-SA"/>
              </w:rPr>
              <w:t>5</w:t>
            </w:r>
            <w:r>
              <w:rPr>
                <w:rFonts w:hint="eastAsia" w:ascii="Times New Roman" w:hAnsi="Times New Roman" w:eastAsia="宋体" w:cs="Times New Roman"/>
                <w:color w:val="000000"/>
                <w:kern w:val="2"/>
                <w:sz w:val="21"/>
                <w:szCs w:val="21"/>
                <w:u w:color="000000"/>
                <w:lang w:val="en-US" w:eastAsia="zh-CN" w:bidi="ar-SA"/>
              </w:rPr>
              <w:t>mg/m</w:t>
            </w:r>
            <w:r>
              <w:rPr>
                <w:rFonts w:hint="eastAsia" w:ascii="Times New Roman" w:hAnsi="Times New Roman" w:eastAsia="宋体" w:cs="Times New Roman"/>
                <w:color w:val="000000"/>
                <w:kern w:val="2"/>
                <w:sz w:val="21"/>
                <w:szCs w:val="21"/>
                <w:u w:color="000000"/>
                <w:vertAlign w:val="superscript"/>
                <w:lang w:val="en-US" w:eastAsia="zh-CN" w:bidi="ar-SA"/>
              </w:rPr>
              <w:t>3</w:t>
            </w:r>
            <w:r>
              <w:rPr>
                <w:rFonts w:hint="eastAsia" w:ascii="Times New Roman" w:hAnsi="Times New Roman" w:eastAsia="宋体" w:cs="Times New Roman"/>
                <w:color w:val="000000"/>
                <w:kern w:val="2"/>
                <w:sz w:val="21"/>
                <w:szCs w:val="21"/>
                <w:u w:color="000000"/>
                <w:lang w:val="en-US" w:eastAsia="zh-CN" w:bidi="ar-SA"/>
              </w:rPr>
              <w:t xml:space="preserve"> </w:t>
            </w:r>
          </w:p>
        </w:tc>
        <w:tc>
          <w:tcPr>
            <w:tcW w:w="1867" w:type="dxa"/>
            <w:vMerge w:val="restart"/>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《锅炉大气污染物排放标准》（DB13/5161-2020）表 1 标准</w:t>
            </w:r>
          </w:p>
        </w:tc>
        <w:tc>
          <w:tcPr>
            <w:tcW w:w="653" w:type="dxa"/>
            <w:vMerge w:val="restart"/>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21"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tcBorders>
              <w:top w:val="single" w:color="auto" w:sz="4" w:space="0"/>
              <w:bottom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SO</w:t>
            </w:r>
            <w:r>
              <w:rPr>
                <w:rFonts w:hint="eastAsia" w:ascii="Times New Roman" w:hAnsi="Times New Roman" w:eastAsia="宋体" w:cs="Times New Roman"/>
                <w:color w:val="000000"/>
                <w:kern w:val="2"/>
                <w:sz w:val="21"/>
                <w:szCs w:val="21"/>
                <w:u w:color="000000"/>
                <w:vertAlign w:val="superscript"/>
                <w:lang w:val="en-US" w:eastAsia="zh-CN" w:bidi="ar-SA"/>
              </w:rPr>
              <w:t>2</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tcBorders>
              <w:top w:val="single" w:color="auto" w:sz="4" w:space="0"/>
              <w:bottom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cs="Times New Roman"/>
                <w:color w:val="000000"/>
                <w:kern w:val="2"/>
                <w:sz w:val="21"/>
                <w:szCs w:val="21"/>
                <w:u w:color="000000"/>
                <w:lang w:val="en-US" w:eastAsia="zh-CN" w:bidi="ar-SA"/>
              </w:rPr>
              <w:t>10</w:t>
            </w:r>
            <w:r>
              <w:rPr>
                <w:rFonts w:hint="eastAsia" w:ascii="Times New Roman" w:hAnsi="Times New Roman" w:eastAsia="宋体" w:cs="Times New Roman"/>
                <w:color w:val="000000"/>
                <w:kern w:val="2"/>
                <w:sz w:val="21"/>
                <w:szCs w:val="21"/>
                <w:u w:color="000000"/>
                <w:lang w:val="en-US" w:eastAsia="zh-CN" w:bidi="ar-SA"/>
              </w:rPr>
              <w:t>mg/m</w:t>
            </w:r>
            <w:r>
              <w:rPr>
                <w:rFonts w:hint="eastAsia" w:ascii="Times New Roman" w:hAnsi="Times New Roman" w:eastAsia="宋体" w:cs="Times New Roman"/>
                <w:color w:val="000000"/>
                <w:kern w:val="2"/>
                <w:sz w:val="21"/>
                <w:szCs w:val="21"/>
                <w:u w:color="000000"/>
                <w:vertAlign w:val="superscript"/>
                <w:lang w:val="en-US" w:eastAsia="zh-CN" w:bidi="ar-SA"/>
              </w:rPr>
              <w:t>3</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800"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tcBorders>
              <w:top w:val="single" w:color="auto" w:sz="4" w:space="0"/>
              <w:bottom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NO</w:t>
            </w:r>
            <w:r>
              <w:rPr>
                <w:rFonts w:hint="eastAsia" w:ascii="Times New Roman" w:hAnsi="Times New Roman" w:eastAsia="宋体" w:cs="Times New Roman"/>
                <w:color w:val="000000"/>
                <w:kern w:val="2"/>
                <w:sz w:val="21"/>
                <w:szCs w:val="21"/>
                <w:u w:color="000000"/>
                <w:vertAlign w:val="subscript"/>
                <w:lang w:val="en-US" w:eastAsia="zh-CN" w:bidi="ar-SA"/>
              </w:rPr>
              <w:t>X</w:t>
            </w:r>
            <w:r>
              <w:rPr>
                <w:rFonts w:hint="eastAsia" w:ascii="Times New Roman" w:hAnsi="Times New Roman" w:eastAsia="宋体" w:cs="Times New Roman"/>
                <w:color w:val="000000"/>
                <w:kern w:val="2"/>
                <w:sz w:val="21"/>
                <w:szCs w:val="21"/>
                <w:u w:color="000000"/>
                <w:lang w:val="en-US" w:eastAsia="zh-CN" w:bidi="ar-SA"/>
              </w:rPr>
              <w:t xml:space="preserve"> </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tcBorders>
              <w:top w:val="single" w:color="auto" w:sz="4" w:space="0"/>
              <w:bottom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cs="Times New Roman"/>
                <w:color w:val="000000"/>
                <w:kern w:val="2"/>
                <w:sz w:val="21"/>
                <w:szCs w:val="21"/>
                <w:u w:color="000000"/>
                <w:lang w:val="en-US" w:eastAsia="zh-CN" w:bidi="ar-SA"/>
              </w:rPr>
              <w:t>50</w:t>
            </w:r>
            <w:r>
              <w:rPr>
                <w:rFonts w:hint="eastAsia" w:ascii="Times New Roman" w:hAnsi="Times New Roman" w:eastAsia="宋体" w:cs="Times New Roman"/>
                <w:color w:val="000000"/>
                <w:kern w:val="2"/>
                <w:sz w:val="21"/>
                <w:szCs w:val="21"/>
                <w:u w:color="000000"/>
                <w:lang w:val="en-US" w:eastAsia="zh-CN" w:bidi="ar-SA"/>
              </w:rPr>
              <w:t>mg/m</w:t>
            </w:r>
            <w:r>
              <w:rPr>
                <w:rFonts w:hint="eastAsia" w:ascii="Times New Roman" w:hAnsi="Times New Roman" w:eastAsia="宋体" w:cs="Times New Roman"/>
                <w:color w:val="000000"/>
                <w:kern w:val="2"/>
                <w:sz w:val="21"/>
                <w:szCs w:val="21"/>
                <w:u w:color="000000"/>
                <w:vertAlign w:val="superscript"/>
                <w:lang w:val="en-US" w:eastAsia="zh-CN" w:bidi="ar-SA"/>
              </w:rPr>
              <w:t>3</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70"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tcBorders>
              <w:top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烟气黑度（林格曼黑度）</w:t>
            </w:r>
          </w:p>
        </w:tc>
        <w:tc>
          <w:tcPr>
            <w:tcW w:w="2270"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2057" w:type="dxa"/>
            <w:tcBorders>
              <w:top w:val="single" w:color="auto" w:sz="4" w:space="0"/>
            </w:tcBorders>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≤1</w:t>
            </w:r>
          </w:p>
        </w:tc>
        <w:tc>
          <w:tcPr>
            <w:tcW w:w="1867"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c>
          <w:tcPr>
            <w:tcW w:w="653" w:type="dxa"/>
            <w:vMerge w:val="continue"/>
            <w:vAlign w:val="center"/>
          </w:tcPr>
          <w:p>
            <w:pPr>
              <w:widowControl w:val="0"/>
              <w:adjustRightInd w:val="0"/>
              <w:spacing w:line="240" w:lineRule="auto"/>
              <w:jc w:val="center"/>
              <w:textAlignment w:val="auto"/>
              <w:rPr>
                <w:rFonts w:hint="eastAsia" w:ascii="Times New Roman" w:hAnsi="Times New Roman" w:eastAsia="宋体" w:cs="Times New Roman"/>
                <w:color w:val="000000"/>
                <w:kern w:val="2"/>
                <w:sz w:val="21"/>
                <w:szCs w:val="21"/>
                <w:u w:color="00000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restart"/>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厂界</w:t>
            </w:r>
          </w:p>
        </w:tc>
        <w:tc>
          <w:tcPr>
            <w:tcW w:w="573"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颗粒物</w:t>
            </w:r>
          </w:p>
        </w:tc>
        <w:tc>
          <w:tcPr>
            <w:tcW w:w="2270" w:type="dxa"/>
            <w:vMerge w:val="restart"/>
            <w:vAlign w:val="center"/>
          </w:tcPr>
          <w:p>
            <w:pPr>
              <w:widowControl/>
              <w:adjustRightInd w:val="0"/>
              <w:snapToGrid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cs="Times New Roman"/>
                <w:color w:val="000000"/>
                <w:kern w:val="0"/>
                <w:szCs w:val="21"/>
                <w:u w:color="000000"/>
                <w:lang w:val="en-US" w:eastAsia="zh-CN"/>
              </w:rPr>
              <w:t>/</w:t>
            </w: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厂界无组织排放限值：</w:t>
            </w:r>
            <w:r>
              <w:rPr>
                <w:rFonts w:hint="default" w:ascii="Times New Roman" w:hAnsi="Times New Roman" w:eastAsia="宋体" w:cs="Times New Roman"/>
                <w:color w:val="000000"/>
                <w:kern w:val="0"/>
                <w:szCs w:val="21"/>
                <w:u w:color="000000"/>
                <w:lang w:val="en-US" w:eastAsia="zh-CN"/>
              </w:rPr>
              <w:t>1.0mg/m</w:t>
            </w:r>
            <w:r>
              <w:rPr>
                <w:rFonts w:hint="default" w:ascii="Times New Roman" w:hAnsi="Times New Roman" w:eastAsia="宋体" w:cs="Times New Roman"/>
                <w:color w:val="000000"/>
                <w:kern w:val="0"/>
                <w:szCs w:val="21"/>
                <w:u w:color="000000"/>
                <w:vertAlign w:val="superscript"/>
                <w:lang w:val="en-US" w:eastAsia="zh-CN"/>
              </w:rPr>
              <w:t>3</w:t>
            </w:r>
          </w:p>
        </w:tc>
        <w:tc>
          <w:tcPr>
            <w:tcW w:w="1867"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《橡胶制品工业污染物排放标准》（</w:t>
            </w:r>
            <w:r>
              <w:rPr>
                <w:rFonts w:hint="default" w:ascii="Times New Roman" w:hAnsi="Times New Roman" w:eastAsia="宋体" w:cs="Times New Roman"/>
                <w:color w:val="000000"/>
                <w:kern w:val="0"/>
                <w:szCs w:val="21"/>
                <w:u w:color="000000"/>
                <w:lang w:val="en-US" w:eastAsia="zh-CN"/>
              </w:rPr>
              <w:t>GB27632-2011</w:t>
            </w:r>
            <w:r>
              <w:rPr>
                <w:rFonts w:hint="eastAsia" w:ascii="Times New Roman" w:hAnsi="Times New Roman" w:eastAsia="宋体" w:cs="Times New Roman"/>
                <w:color w:val="000000"/>
                <w:kern w:val="0"/>
                <w:szCs w:val="21"/>
                <w:u w:color="000000"/>
                <w:lang w:val="en-US" w:eastAsia="zh-CN"/>
              </w:rPr>
              <w:t>）表</w:t>
            </w:r>
            <w:r>
              <w:rPr>
                <w:rFonts w:hint="default" w:ascii="Times New Roman" w:hAnsi="Times New Roman" w:eastAsia="宋体" w:cs="Times New Roman"/>
                <w:color w:val="000000"/>
                <w:kern w:val="0"/>
                <w:szCs w:val="21"/>
                <w:u w:color="000000"/>
                <w:lang w:val="en-US" w:eastAsia="zh-CN"/>
              </w:rPr>
              <w:t>6</w:t>
            </w:r>
            <w:r>
              <w:rPr>
                <w:rFonts w:hint="eastAsia" w:ascii="Times New Roman" w:hAnsi="Times New Roman" w:eastAsia="宋体" w:cs="Times New Roman"/>
                <w:color w:val="000000"/>
                <w:kern w:val="0"/>
                <w:szCs w:val="21"/>
                <w:u w:color="000000"/>
                <w:lang w:val="en-US" w:eastAsia="zh-CN"/>
              </w:rPr>
              <w:t>排放标准</w:t>
            </w: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71"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Merge w:val="restart"/>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非甲烷总烃</w:t>
            </w: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tcBorders>
              <w:bottom w:val="single" w:color="auto" w:sz="4" w:space="0"/>
            </w:tcBorders>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边界限值：</w:t>
            </w:r>
            <w:r>
              <w:rPr>
                <w:rFonts w:hint="default" w:ascii="Times New Roman" w:hAnsi="Times New Roman" w:eastAsia="宋体" w:cs="Times New Roman"/>
                <w:color w:val="000000"/>
                <w:kern w:val="0"/>
                <w:szCs w:val="21"/>
                <w:u w:color="000000"/>
                <w:lang w:val="en-US" w:eastAsia="zh-CN"/>
              </w:rPr>
              <w:t>2.0mg/m</w:t>
            </w:r>
            <w:r>
              <w:rPr>
                <w:rFonts w:hint="default" w:ascii="Times New Roman" w:hAnsi="Times New Roman" w:eastAsia="宋体" w:cs="Times New Roman"/>
                <w:color w:val="000000"/>
                <w:kern w:val="0"/>
                <w:szCs w:val="21"/>
                <w:u w:color="000000"/>
                <w:vertAlign w:val="superscript"/>
                <w:lang w:val="en-US" w:eastAsia="zh-CN"/>
              </w:rPr>
              <w:t>3</w:t>
            </w:r>
          </w:p>
        </w:tc>
        <w:tc>
          <w:tcPr>
            <w:tcW w:w="1867" w:type="dxa"/>
            <w:tcBorders>
              <w:bottom w:val="single" w:color="auto" w:sz="4" w:space="0"/>
            </w:tcBorders>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《工业企业挥发性有机物排放控制标准》（</w:t>
            </w:r>
            <w:r>
              <w:rPr>
                <w:rFonts w:hint="default" w:ascii="Times New Roman" w:hAnsi="Times New Roman" w:eastAsia="宋体" w:cs="Times New Roman"/>
                <w:color w:val="000000"/>
                <w:kern w:val="0"/>
                <w:szCs w:val="21"/>
                <w:u w:color="000000"/>
                <w:lang w:val="en-US" w:eastAsia="zh-CN"/>
              </w:rPr>
              <w:t>DB13/2322-2016</w:t>
            </w:r>
            <w:r>
              <w:rPr>
                <w:rFonts w:hint="eastAsia" w:ascii="Times New Roman" w:hAnsi="Times New Roman" w:eastAsia="宋体" w:cs="Times New Roman"/>
                <w:color w:val="000000"/>
                <w:kern w:val="0"/>
                <w:szCs w:val="21"/>
                <w:u w:color="000000"/>
                <w:lang w:val="en-US" w:eastAsia="zh-CN"/>
              </w:rPr>
              <w:t>）表</w:t>
            </w:r>
            <w:r>
              <w:rPr>
                <w:rFonts w:hint="default" w:ascii="Times New Roman" w:hAnsi="Times New Roman" w:eastAsia="宋体" w:cs="Times New Roman"/>
                <w:color w:val="000000"/>
                <w:kern w:val="0"/>
                <w:szCs w:val="21"/>
                <w:u w:color="000000"/>
                <w:lang w:val="en-US" w:eastAsia="zh-CN"/>
              </w:rPr>
              <w:t>2</w:t>
            </w:r>
            <w:r>
              <w:rPr>
                <w:rFonts w:hint="eastAsia" w:ascii="Times New Roman" w:hAnsi="Times New Roman" w:eastAsia="宋体" w:cs="Times New Roman"/>
                <w:color w:val="000000"/>
                <w:kern w:val="0"/>
                <w:szCs w:val="21"/>
                <w:u w:color="000000"/>
                <w:lang w:val="en-US" w:eastAsia="zh-CN"/>
              </w:rPr>
              <w:t>中其他企业边界大气污染物非甲烷总烃浓度限值</w:t>
            </w:r>
          </w:p>
        </w:tc>
        <w:tc>
          <w:tcPr>
            <w:tcW w:w="653" w:type="dxa"/>
            <w:vMerge w:val="restart"/>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tcBorders>
              <w:top w:val="single" w:color="auto" w:sz="4" w:space="0"/>
            </w:tcBorders>
            <w:vAlign w:val="center"/>
          </w:tcPr>
          <w:p>
            <w:pPr>
              <w:widowControl/>
              <w:snapToGrid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监控点处1h平均浓度值：6mg/m</w:t>
            </w:r>
            <w:r>
              <w:rPr>
                <w:rFonts w:hint="eastAsia" w:ascii="Times New Roman" w:hAnsi="Times New Roman" w:eastAsia="宋体" w:cs="Times New Roman"/>
                <w:color w:val="000000"/>
                <w:kern w:val="0"/>
                <w:szCs w:val="21"/>
                <w:u w:color="000000"/>
                <w:vertAlign w:val="superscript"/>
                <w:lang w:val="en-US" w:eastAsia="zh-CN"/>
              </w:rPr>
              <w:t>3</w:t>
            </w:r>
            <w:r>
              <w:rPr>
                <w:rFonts w:hint="eastAsia" w:ascii="Times New Roman" w:hAnsi="Times New Roman" w:eastAsia="宋体" w:cs="Times New Roman"/>
                <w:color w:val="000000"/>
                <w:kern w:val="0"/>
                <w:szCs w:val="21"/>
                <w:u w:color="000000"/>
                <w:lang w:val="en-US" w:eastAsia="zh-CN"/>
              </w:rPr>
              <w:t xml:space="preserve"> </w:t>
            </w:r>
          </w:p>
          <w:p>
            <w:pPr>
              <w:widowControl/>
              <w:snapToGrid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监控点处任意一次浓度值：20mg/m</w:t>
            </w:r>
            <w:r>
              <w:rPr>
                <w:rFonts w:hint="eastAsia" w:ascii="Times New Roman" w:hAnsi="Times New Roman" w:eastAsia="宋体" w:cs="Times New Roman"/>
                <w:color w:val="000000"/>
                <w:kern w:val="0"/>
                <w:szCs w:val="21"/>
                <w:u w:color="000000"/>
                <w:vertAlign w:val="superscript"/>
                <w:lang w:val="en-US" w:eastAsia="zh-CN"/>
              </w:rPr>
              <w:t>3</w:t>
            </w:r>
          </w:p>
        </w:tc>
        <w:tc>
          <w:tcPr>
            <w:tcW w:w="1867" w:type="dxa"/>
            <w:tcBorders>
              <w:top w:val="single" w:color="auto" w:sz="4" w:space="0"/>
            </w:tcBorders>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《挥发性有机物无组织排放控制标准》</w:t>
            </w:r>
          </w:p>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w:t>
            </w:r>
            <w:r>
              <w:rPr>
                <w:rFonts w:hint="default" w:ascii="Times New Roman" w:hAnsi="Times New Roman" w:eastAsia="宋体" w:cs="Times New Roman"/>
                <w:color w:val="000000"/>
                <w:kern w:val="0"/>
                <w:szCs w:val="21"/>
                <w:u w:color="000000"/>
                <w:lang w:val="en-US" w:eastAsia="zh-CN"/>
              </w:rPr>
              <w:t>GB37822-2019</w:t>
            </w:r>
            <w:r>
              <w:rPr>
                <w:rFonts w:hint="eastAsia" w:ascii="Times New Roman" w:hAnsi="Times New Roman" w:eastAsia="宋体" w:cs="Times New Roman"/>
                <w:color w:val="000000"/>
                <w:kern w:val="0"/>
                <w:szCs w:val="21"/>
                <w:u w:color="000000"/>
                <w:lang w:val="en-US" w:eastAsia="zh-CN"/>
              </w:rPr>
              <w:t>）表</w:t>
            </w:r>
            <w:r>
              <w:rPr>
                <w:rFonts w:hint="default" w:ascii="Times New Roman" w:hAnsi="Times New Roman" w:eastAsia="宋体" w:cs="Times New Roman"/>
                <w:color w:val="000000"/>
                <w:kern w:val="0"/>
                <w:szCs w:val="21"/>
                <w:u w:color="000000"/>
                <w:lang w:val="en-US" w:eastAsia="zh-CN"/>
              </w:rPr>
              <w:t xml:space="preserve">A.1 </w:t>
            </w:r>
            <w:r>
              <w:rPr>
                <w:rFonts w:hint="eastAsia" w:ascii="Times New Roman" w:hAnsi="Times New Roman" w:eastAsia="宋体" w:cs="Times New Roman"/>
                <w:color w:val="000000"/>
                <w:kern w:val="0"/>
                <w:szCs w:val="21"/>
                <w:u w:color="000000"/>
                <w:lang w:val="en-US" w:eastAsia="zh-CN"/>
              </w:rPr>
              <w:t xml:space="preserve">厂区内 </w:t>
            </w:r>
            <w:r>
              <w:rPr>
                <w:rFonts w:hint="default" w:ascii="Times New Roman" w:hAnsi="Times New Roman" w:eastAsia="宋体" w:cs="Times New Roman"/>
                <w:color w:val="000000"/>
                <w:kern w:val="0"/>
                <w:szCs w:val="21"/>
                <w:u w:color="000000"/>
                <w:lang w:val="en-US" w:eastAsia="zh-CN"/>
              </w:rPr>
              <w:t xml:space="preserve">VOCs </w:t>
            </w:r>
            <w:r>
              <w:rPr>
                <w:rFonts w:hint="eastAsia" w:ascii="Times New Roman" w:hAnsi="Times New Roman" w:eastAsia="宋体" w:cs="Times New Roman"/>
                <w:color w:val="000000"/>
                <w:kern w:val="0"/>
                <w:szCs w:val="21"/>
                <w:u w:color="000000"/>
                <w:lang w:val="en-US" w:eastAsia="zh-CN"/>
              </w:rPr>
              <w:t xml:space="preserve">无组织排放限值 </w:t>
            </w:r>
          </w:p>
        </w:tc>
        <w:tc>
          <w:tcPr>
            <w:tcW w:w="653" w:type="dxa"/>
            <w:vMerge w:val="continue"/>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甲苯</w:t>
            </w: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边界限值：</w:t>
            </w:r>
            <w:r>
              <w:rPr>
                <w:rFonts w:hint="default" w:ascii="Times New Roman" w:hAnsi="Times New Roman" w:eastAsia="宋体" w:cs="Times New Roman"/>
                <w:color w:val="000000"/>
                <w:kern w:val="0"/>
                <w:szCs w:val="21"/>
                <w:u w:color="000000"/>
                <w:lang w:val="en-US" w:eastAsia="zh-CN"/>
              </w:rPr>
              <w:t>0.1mg/m</w:t>
            </w:r>
            <w:r>
              <w:rPr>
                <w:rFonts w:hint="default" w:ascii="Times New Roman" w:hAnsi="Times New Roman" w:eastAsia="宋体" w:cs="Times New Roman"/>
                <w:color w:val="000000"/>
                <w:kern w:val="0"/>
                <w:szCs w:val="21"/>
                <w:u w:color="000000"/>
                <w:vertAlign w:val="superscript"/>
                <w:lang w:val="en-US" w:eastAsia="zh-CN"/>
              </w:rPr>
              <w:t>3</w:t>
            </w:r>
          </w:p>
        </w:tc>
        <w:tc>
          <w:tcPr>
            <w:tcW w:w="1867" w:type="dxa"/>
            <w:vMerge w:val="restart"/>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《工业企业挥发性有机物排放控制标准》（</w:t>
            </w:r>
            <w:r>
              <w:rPr>
                <w:rFonts w:hint="default" w:ascii="Times New Roman" w:hAnsi="Times New Roman" w:eastAsia="宋体" w:cs="Times New Roman"/>
                <w:color w:val="000000"/>
                <w:kern w:val="0"/>
                <w:szCs w:val="21"/>
                <w:u w:color="000000"/>
                <w:lang w:val="en-US" w:eastAsia="zh-CN"/>
              </w:rPr>
              <w:t>DB13/2322-2016</w:t>
            </w:r>
            <w:r>
              <w:rPr>
                <w:rFonts w:hint="eastAsia" w:ascii="Times New Roman" w:hAnsi="Times New Roman" w:eastAsia="宋体" w:cs="Times New Roman"/>
                <w:color w:val="000000"/>
                <w:kern w:val="0"/>
                <w:szCs w:val="21"/>
                <w:u w:color="000000"/>
                <w:lang w:val="en-US" w:eastAsia="zh-CN"/>
              </w:rPr>
              <w:t>）表</w:t>
            </w:r>
            <w:r>
              <w:rPr>
                <w:rFonts w:hint="default" w:ascii="Times New Roman" w:hAnsi="Times New Roman" w:eastAsia="宋体" w:cs="Times New Roman"/>
                <w:color w:val="000000"/>
                <w:kern w:val="0"/>
                <w:szCs w:val="21"/>
                <w:u w:color="000000"/>
                <w:lang w:val="en-US" w:eastAsia="zh-CN"/>
              </w:rPr>
              <w:t>2</w:t>
            </w:r>
          </w:p>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中其他企业边界大气污染物非甲烷总烃浓度限值</w:t>
            </w: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二甲苯</w:t>
            </w: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边界限值：</w:t>
            </w:r>
            <w:r>
              <w:rPr>
                <w:rFonts w:hint="default" w:ascii="Times New Roman" w:hAnsi="Times New Roman" w:eastAsia="宋体" w:cs="Times New Roman"/>
                <w:color w:val="000000"/>
                <w:kern w:val="0"/>
                <w:szCs w:val="21"/>
                <w:u w:color="000000"/>
                <w:lang w:val="en-US" w:eastAsia="zh-CN"/>
              </w:rPr>
              <w:t>0.6mg/m</w:t>
            </w:r>
            <w:r>
              <w:rPr>
                <w:rFonts w:hint="default" w:ascii="Times New Roman" w:hAnsi="Times New Roman" w:eastAsia="宋体" w:cs="Times New Roman"/>
                <w:color w:val="000000"/>
                <w:kern w:val="0"/>
                <w:szCs w:val="21"/>
                <w:u w:color="000000"/>
                <w:vertAlign w:val="superscript"/>
                <w:lang w:val="en-US" w:eastAsia="zh-CN"/>
              </w:rPr>
              <w:t>3</w:t>
            </w:r>
          </w:p>
        </w:tc>
        <w:tc>
          <w:tcPr>
            <w:tcW w:w="1867" w:type="dxa"/>
            <w:vMerge w:val="continue"/>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Align w:val="center"/>
          </w:tcPr>
          <w:p>
            <w:pPr>
              <w:widowControl/>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苯</w:t>
            </w: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边界限值：</w:t>
            </w:r>
            <w:r>
              <w:rPr>
                <w:rFonts w:hint="default" w:ascii="Times New Roman" w:hAnsi="Times New Roman" w:eastAsia="宋体" w:cs="Times New Roman"/>
                <w:color w:val="000000"/>
                <w:kern w:val="0"/>
                <w:szCs w:val="21"/>
                <w:u w:color="000000"/>
                <w:lang w:val="en-US" w:eastAsia="zh-CN"/>
              </w:rPr>
              <w:t>0.1mg/m</w:t>
            </w:r>
            <w:r>
              <w:rPr>
                <w:rFonts w:hint="default" w:ascii="Times New Roman" w:hAnsi="Times New Roman" w:eastAsia="宋体" w:cs="Times New Roman"/>
                <w:color w:val="000000"/>
                <w:kern w:val="0"/>
                <w:szCs w:val="21"/>
                <w:u w:color="000000"/>
                <w:vertAlign w:val="superscript"/>
                <w:lang w:val="en-US" w:eastAsia="zh-CN"/>
              </w:rPr>
              <w:t>3</w:t>
            </w:r>
          </w:p>
        </w:tc>
        <w:tc>
          <w:tcPr>
            <w:tcW w:w="1867" w:type="dxa"/>
            <w:vMerge w:val="continue"/>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硫化氢</w:t>
            </w: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厂界：</w:t>
            </w:r>
            <w:r>
              <w:rPr>
                <w:rFonts w:hint="default" w:ascii="Times New Roman" w:hAnsi="Times New Roman" w:eastAsia="宋体" w:cs="Times New Roman"/>
                <w:color w:val="000000"/>
                <w:kern w:val="0"/>
                <w:szCs w:val="21"/>
                <w:u w:color="000000"/>
                <w:lang w:val="en-US" w:eastAsia="zh-CN"/>
              </w:rPr>
              <w:t>0.06mg/m</w:t>
            </w:r>
            <w:r>
              <w:rPr>
                <w:rFonts w:hint="default" w:ascii="Times New Roman" w:hAnsi="Times New Roman" w:eastAsia="宋体" w:cs="Times New Roman"/>
                <w:color w:val="000000"/>
                <w:kern w:val="0"/>
                <w:szCs w:val="21"/>
                <w:u w:color="000000"/>
                <w:vertAlign w:val="superscript"/>
                <w:lang w:val="en-US" w:eastAsia="zh-CN"/>
              </w:rPr>
              <w:t>3</w:t>
            </w:r>
          </w:p>
        </w:tc>
        <w:tc>
          <w:tcPr>
            <w:tcW w:w="1867" w:type="dxa"/>
            <w:vMerge w:val="restart"/>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《恶臭污染物排放标准》（</w:t>
            </w:r>
            <w:r>
              <w:rPr>
                <w:rFonts w:hint="default" w:ascii="Times New Roman" w:hAnsi="Times New Roman" w:eastAsia="宋体" w:cs="Times New Roman"/>
                <w:color w:val="000000"/>
                <w:kern w:val="0"/>
                <w:szCs w:val="21"/>
                <w:u w:color="000000"/>
                <w:lang w:val="en-US" w:eastAsia="zh-CN"/>
              </w:rPr>
              <w:t>GB14554-93</w:t>
            </w:r>
            <w:r>
              <w:rPr>
                <w:rFonts w:hint="eastAsia" w:ascii="Times New Roman" w:hAnsi="Times New Roman" w:eastAsia="宋体" w:cs="Times New Roman"/>
                <w:color w:val="000000"/>
                <w:kern w:val="0"/>
                <w:szCs w:val="21"/>
                <w:u w:color="000000"/>
                <w:lang w:val="en-US" w:eastAsia="zh-CN"/>
              </w:rPr>
              <w:t>）表</w:t>
            </w:r>
            <w:r>
              <w:rPr>
                <w:rFonts w:hint="default" w:ascii="Times New Roman" w:hAnsi="Times New Roman" w:eastAsia="宋体" w:cs="Times New Roman"/>
                <w:color w:val="000000"/>
                <w:kern w:val="0"/>
                <w:szCs w:val="21"/>
                <w:u w:color="000000"/>
                <w:lang w:val="en-US" w:eastAsia="zh-CN"/>
              </w:rPr>
              <w:t xml:space="preserve">1 </w:t>
            </w:r>
            <w:r>
              <w:rPr>
                <w:rFonts w:hint="eastAsia" w:ascii="Times New Roman" w:hAnsi="Times New Roman" w:eastAsia="宋体" w:cs="Times New Roman"/>
                <w:color w:val="000000"/>
                <w:kern w:val="0"/>
                <w:szCs w:val="21"/>
                <w:u w:color="000000"/>
                <w:lang w:val="en-US" w:eastAsia="zh-CN"/>
              </w:rPr>
              <w:t>二级新扩改建标准</w:t>
            </w: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臭气浓度</w:t>
            </w:r>
          </w:p>
        </w:tc>
        <w:tc>
          <w:tcPr>
            <w:tcW w:w="2270" w:type="dxa"/>
            <w:vMerge w:val="continue"/>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hint="default" w:ascii="Times New Roman" w:hAnsi="Times New Roman" w:eastAsia="宋体" w:cs="Times New Roman"/>
                <w:color w:val="000000"/>
                <w:kern w:val="0"/>
                <w:szCs w:val="21"/>
                <w:u w:color="000000"/>
                <w:lang w:val="en-US" w:eastAsia="zh-CN"/>
              </w:rPr>
              <w:t>20</w:t>
            </w:r>
            <w:r>
              <w:rPr>
                <w:rFonts w:hint="eastAsia" w:ascii="Times New Roman" w:hAnsi="Times New Roman" w:eastAsia="宋体" w:cs="Times New Roman"/>
                <w:color w:val="000000"/>
                <w:kern w:val="0"/>
                <w:szCs w:val="21"/>
                <w:u w:color="000000"/>
                <w:lang w:val="en-US" w:eastAsia="zh-CN"/>
              </w:rPr>
              <w:t>（无量纲）</w:t>
            </w:r>
          </w:p>
        </w:tc>
        <w:tc>
          <w:tcPr>
            <w:tcW w:w="1867" w:type="dxa"/>
            <w:vMerge w:val="continue"/>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固</w:t>
            </w:r>
          </w:p>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废</w:t>
            </w:r>
          </w:p>
        </w:tc>
        <w:tc>
          <w:tcPr>
            <w:tcW w:w="697" w:type="dxa"/>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危险废物</w:t>
            </w:r>
          </w:p>
        </w:tc>
        <w:tc>
          <w:tcPr>
            <w:tcW w:w="573" w:type="dxa"/>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废活性炭、废机油、废机油桶</w:t>
            </w:r>
          </w:p>
        </w:tc>
        <w:tc>
          <w:tcPr>
            <w:tcW w:w="2270"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厂区设</w:t>
            </w:r>
            <w:r>
              <w:rPr>
                <w:rFonts w:hint="default" w:ascii="Times New Roman" w:hAnsi="Times New Roman" w:eastAsia="宋体" w:cs="Times New Roman"/>
                <w:color w:val="000000"/>
                <w:kern w:val="0"/>
                <w:szCs w:val="21"/>
                <w:u w:color="000000"/>
                <w:lang w:val="en-US" w:eastAsia="zh-CN"/>
              </w:rPr>
              <w:t>1</w:t>
            </w:r>
            <w:r>
              <w:rPr>
                <w:rFonts w:hint="eastAsia" w:ascii="Times New Roman" w:hAnsi="Times New Roman" w:eastAsia="宋体" w:cs="Times New Roman"/>
                <w:color w:val="000000"/>
                <w:kern w:val="0"/>
                <w:szCs w:val="21"/>
                <w:u w:color="000000"/>
                <w:lang w:val="en-US" w:eastAsia="zh-CN"/>
              </w:rPr>
              <w:t>座</w:t>
            </w:r>
            <w:r>
              <w:rPr>
                <w:rFonts w:hint="default" w:ascii="Times New Roman" w:hAnsi="Times New Roman" w:eastAsia="宋体" w:cs="Times New Roman"/>
                <w:color w:val="000000"/>
                <w:kern w:val="0"/>
                <w:szCs w:val="21"/>
                <w:u w:color="000000"/>
                <w:lang w:val="en-US" w:eastAsia="zh-CN"/>
              </w:rPr>
              <w:t>32m</w:t>
            </w:r>
            <w:r>
              <w:rPr>
                <w:rFonts w:hint="default" w:ascii="Times New Roman" w:hAnsi="Times New Roman" w:eastAsia="宋体" w:cs="Times New Roman"/>
                <w:color w:val="000000"/>
                <w:kern w:val="0"/>
                <w:szCs w:val="21"/>
                <w:u w:color="000000"/>
                <w:vertAlign w:val="superscript"/>
                <w:lang w:val="en-US" w:eastAsia="zh-CN"/>
              </w:rPr>
              <w:t>2</w:t>
            </w:r>
            <w:r>
              <w:rPr>
                <w:rFonts w:hint="eastAsia" w:ascii="Times New Roman" w:hAnsi="Times New Roman" w:eastAsia="宋体" w:cs="Times New Roman"/>
                <w:color w:val="000000"/>
                <w:kern w:val="0"/>
                <w:szCs w:val="21"/>
                <w:u w:color="000000"/>
                <w:lang w:val="en-US" w:eastAsia="zh-CN"/>
              </w:rPr>
              <w:t>危废间，危险废物利用有标志的专用容器收集，容器应粘贴符合标准中附录</w:t>
            </w:r>
            <w:r>
              <w:rPr>
                <w:rFonts w:hint="default" w:ascii="Times New Roman" w:hAnsi="Times New Roman" w:eastAsia="宋体" w:cs="Times New Roman"/>
                <w:color w:val="000000"/>
                <w:kern w:val="0"/>
                <w:szCs w:val="21"/>
                <w:u w:color="000000"/>
                <w:lang w:val="en-US" w:eastAsia="zh-CN"/>
              </w:rPr>
              <w:t>A</w:t>
            </w:r>
            <w:r>
              <w:rPr>
                <w:rFonts w:hint="eastAsia" w:ascii="Times New Roman" w:hAnsi="Times New Roman" w:eastAsia="宋体" w:cs="Times New Roman"/>
                <w:color w:val="000000"/>
                <w:kern w:val="0"/>
                <w:szCs w:val="21"/>
                <w:u w:color="000000"/>
                <w:lang w:val="en-US" w:eastAsia="zh-CN"/>
              </w:rPr>
              <w:t>所示标签，容器应满足相应强度要求，且完好无损，容器材质和衬里与危险废物相容（不相互反应），暂存于危废库内，危废库四周按《环境保护图形标志</w:t>
            </w:r>
            <w:r>
              <w:rPr>
                <w:rFonts w:hint="default" w:ascii="Times New Roman" w:hAnsi="Times New Roman" w:eastAsia="宋体" w:cs="Times New Roman"/>
                <w:color w:val="000000"/>
                <w:kern w:val="0"/>
                <w:szCs w:val="21"/>
                <w:u w:color="000000"/>
                <w:lang w:val="en-US" w:eastAsia="zh-CN"/>
              </w:rPr>
              <w:t>-</w:t>
            </w:r>
            <w:r>
              <w:rPr>
                <w:rFonts w:hint="eastAsia" w:ascii="Times New Roman" w:hAnsi="Times New Roman" w:eastAsia="宋体" w:cs="Times New Roman"/>
                <w:color w:val="000000"/>
                <w:kern w:val="0"/>
                <w:szCs w:val="21"/>
                <w:u w:color="000000"/>
                <w:lang w:val="en-US" w:eastAsia="zh-CN"/>
              </w:rPr>
              <w:t>固体废物贮存（处置）场》（</w:t>
            </w:r>
            <w:r>
              <w:rPr>
                <w:rFonts w:hint="default" w:ascii="Times New Roman" w:hAnsi="Times New Roman" w:eastAsia="宋体" w:cs="Times New Roman"/>
                <w:color w:val="000000"/>
                <w:kern w:val="0"/>
                <w:szCs w:val="21"/>
                <w:u w:color="000000"/>
                <w:lang w:val="en-US" w:eastAsia="zh-CN"/>
              </w:rPr>
              <w:t>GB-15562.2-1995</w:t>
            </w:r>
            <w:r>
              <w:rPr>
                <w:rFonts w:hint="eastAsia" w:ascii="Times New Roman" w:hAnsi="Times New Roman" w:eastAsia="宋体" w:cs="Times New Roman"/>
                <w:color w:val="000000"/>
                <w:kern w:val="0"/>
                <w:szCs w:val="21"/>
                <w:u w:color="000000"/>
                <w:lang w:val="en-US" w:eastAsia="zh-CN"/>
              </w:rPr>
              <w:t>）规定设置警示标志，委托有资质单位处理</w:t>
            </w:r>
          </w:p>
        </w:tc>
        <w:tc>
          <w:tcPr>
            <w:tcW w:w="2057" w:type="dxa"/>
            <w:vAlign w:val="center"/>
          </w:tcPr>
          <w:p>
            <w:pPr>
              <w:widowControl/>
              <w:snapToGrid w:val="0"/>
              <w:spacing w:line="240" w:lineRule="auto"/>
              <w:jc w:val="center"/>
              <w:textAlignment w:val="baseline"/>
              <w:rPr>
                <w:rFonts w:hint="default" w:ascii="Times New Roman" w:hAnsi="Times New Roman" w:eastAsia="宋体" w:cs="Times New Roman"/>
                <w:color w:val="000000"/>
                <w:kern w:val="0"/>
                <w:szCs w:val="21"/>
                <w:u w:color="000000"/>
                <w:lang w:val="en-US" w:eastAsia="zh-CN"/>
              </w:rPr>
            </w:pPr>
            <w:r>
              <w:rPr>
                <w:rFonts w:hint="default" w:ascii="Times New Roman" w:hAnsi="Times New Roman" w:eastAsia="宋体" w:cs="Times New Roman"/>
                <w:color w:val="000000"/>
                <w:kern w:val="0"/>
                <w:szCs w:val="21"/>
                <w:u w:color="000000"/>
                <w:lang w:val="en-US" w:eastAsia="zh-CN"/>
              </w:rPr>
              <w:t>不外排</w:t>
            </w:r>
          </w:p>
        </w:tc>
        <w:tc>
          <w:tcPr>
            <w:tcW w:w="1867"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《危险废物贮存污染控制标准》（</w:t>
            </w:r>
            <w:r>
              <w:rPr>
                <w:rFonts w:hint="default" w:ascii="Times New Roman" w:hAnsi="Times New Roman" w:eastAsia="宋体" w:cs="Times New Roman"/>
                <w:color w:val="000000"/>
                <w:kern w:val="0"/>
                <w:szCs w:val="21"/>
                <w:u w:color="000000"/>
                <w:lang w:val="en-US" w:eastAsia="zh-CN"/>
              </w:rPr>
              <w:t>GB18597-2001</w:t>
            </w:r>
            <w:r>
              <w:rPr>
                <w:rFonts w:hint="eastAsia" w:ascii="Times New Roman" w:hAnsi="Times New Roman" w:eastAsia="宋体" w:cs="Times New Roman"/>
                <w:color w:val="000000"/>
                <w:kern w:val="0"/>
                <w:szCs w:val="21"/>
                <w:u w:color="000000"/>
                <w:lang w:val="en-US" w:eastAsia="zh-CN"/>
              </w:rPr>
              <w:t>）及修改单中的相关规定</w:t>
            </w: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42"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restart"/>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一般固废</w:t>
            </w:r>
          </w:p>
        </w:tc>
        <w:tc>
          <w:tcPr>
            <w:tcW w:w="573" w:type="dxa"/>
            <w:tcBorders>
              <w:bottom w:val="single" w:color="auto" w:sz="4" w:space="0"/>
            </w:tcBorders>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边角料</w:t>
            </w:r>
          </w:p>
        </w:tc>
        <w:tc>
          <w:tcPr>
            <w:tcW w:w="2270" w:type="dxa"/>
            <w:tcBorders>
              <w:bottom w:val="single" w:color="auto" w:sz="4" w:space="0"/>
            </w:tcBorders>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收集后回用</w:t>
            </w:r>
          </w:p>
        </w:tc>
        <w:tc>
          <w:tcPr>
            <w:tcW w:w="2057" w:type="dxa"/>
            <w:vMerge w:val="restart"/>
            <w:vAlign w:val="center"/>
          </w:tcPr>
          <w:p>
            <w:pPr>
              <w:widowControl/>
              <w:snapToGrid w:val="0"/>
              <w:spacing w:line="240" w:lineRule="auto"/>
              <w:jc w:val="center"/>
              <w:textAlignment w:val="baseline"/>
              <w:rPr>
                <w:rFonts w:hint="default" w:ascii="Times New Roman" w:hAnsi="Times New Roman" w:eastAsia="宋体" w:cs="Times New Roman"/>
                <w:color w:val="000000"/>
                <w:kern w:val="0"/>
                <w:szCs w:val="21"/>
                <w:u w:color="000000"/>
                <w:lang w:val="en-US" w:eastAsia="zh-CN"/>
              </w:rPr>
            </w:pPr>
            <w:r>
              <w:rPr>
                <w:rFonts w:hint="default" w:ascii="Times New Roman" w:hAnsi="Times New Roman" w:eastAsia="宋体" w:cs="Times New Roman"/>
                <w:color w:val="000000"/>
                <w:kern w:val="0"/>
                <w:szCs w:val="21"/>
                <w:u w:color="000000"/>
                <w:lang w:val="en-US" w:eastAsia="zh-CN"/>
              </w:rPr>
              <w:t>不外排</w:t>
            </w:r>
          </w:p>
        </w:tc>
        <w:tc>
          <w:tcPr>
            <w:tcW w:w="1867" w:type="dxa"/>
            <w:vMerge w:val="restart"/>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default" w:ascii="Times New Roman" w:hAnsi="Times New Roman" w:eastAsia="宋体" w:cs="Times New Roman"/>
                <w:color w:val="000000"/>
                <w:kern w:val="0"/>
                <w:szCs w:val="21"/>
                <w:u w:color="000000"/>
                <w:lang w:val="en-US" w:eastAsia="zh-CN"/>
              </w:rPr>
              <w:t>--</w:t>
            </w:r>
          </w:p>
        </w:tc>
        <w:tc>
          <w:tcPr>
            <w:tcW w:w="653" w:type="dxa"/>
            <w:vMerge w:val="restart"/>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147"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rPr>
            </w:pPr>
          </w:p>
        </w:tc>
        <w:tc>
          <w:tcPr>
            <w:tcW w:w="573" w:type="dxa"/>
            <w:tcBorders>
              <w:top w:val="single" w:color="auto" w:sz="4" w:space="0"/>
            </w:tcBorders>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布袋除尘器、</w:t>
            </w:r>
          </w:p>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车间沉降回收粉尘</w:t>
            </w:r>
          </w:p>
        </w:tc>
        <w:tc>
          <w:tcPr>
            <w:tcW w:w="2270" w:type="dxa"/>
            <w:tcBorders>
              <w:top w:val="single" w:color="auto" w:sz="4" w:space="0"/>
            </w:tcBorders>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收集后回用</w:t>
            </w:r>
          </w:p>
        </w:tc>
        <w:tc>
          <w:tcPr>
            <w:tcW w:w="2057" w:type="dxa"/>
            <w:vMerge w:val="continue"/>
            <w:vAlign w:val="center"/>
          </w:tcPr>
          <w:p>
            <w:pPr>
              <w:widowControl/>
              <w:snapToGrid w:val="0"/>
              <w:spacing w:line="240" w:lineRule="auto"/>
              <w:jc w:val="center"/>
              <w:textAlignment w:val="baseline"/>
              <w:rPr>
                <w:rFonts w:hint="default" w:ascii="Times New Roman" w:hAnsi="Times New Roman" w:eastAsia="宋体" w:cs="Times New Roman"/>
                <w:color w:val="000000"/>
                <w:kern w:val="0"/>
                <w:szCs w:val="21"/>
                <w:u w:color="000000"/>
                <w:lang w:val="en-US" w:eastAsia="zh-CN"/>
              </w:rPr>
            </w:pPr>
          </w:p>
        </w:tc>
        <w:tc>
          <w:tcPr>
            <w:tcW w:w="1867" w:type="dxa"/>
            <w:vMerge w:val="continue"/>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p>
        </w:tc>
        <w:tc>
          <w:tcPr>
            <w:tcW w:w="653" w:type="dxa"/>
            <w:vMerge w:val="continue"/>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1270" w:type="dxa"/>
            <w:gridSpan w:val="2"/>
            <w:vAlign w:val="center"/>
          </w:tcPr>
          <w:p>
            <w:pPr>
              <w:widowControl/>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生活垃圾</w:t>
            </w:r>
          </w:p>
        </w:tc>
        <w:tc>
          <w:tcPr>
            <w:tcW w:w="2270"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收集后由环卫部门清运处理</w:t>
            </w:r>
          </w:p>
        </w:tc>
        <w:tc>
          <w:tcPr>
            <w:tcW w:w="2057" w:type="dxa"/>
            <w:vMerge w:val="continue"/>
            <w:vAlign w:val="center"/>
          </w:tcPr>
          <w:p>
            <w:pPr>
              <w:widowControl/>
              <w:snapToGrid w:val="0"/>
              <w:spacing w:line="240" w:lineRule="auto"/>
              <w:jc w:val="center"/>
              <w:textAlignment w:val="baseline"/>
              <w:rPr>
                <w:rFonts w:hint="default" w:ascii="Times New Roman" w:hAnsi="Times New Roman" w:eastAsia="宋体" w:cs="Times New Roman"/>
                <w:color w:val="000000"/>
                <w:kern w:val="0"/>
                <w:szCs w:val="21"/>
                <w:u w:color="000000"/>
                <w:lang w:val="en-US" w:eastAsia="zh-CN"/>
              </w:rPr>
            </w:pPr>
          </w:p>
        </w:tc>
        <w:tc>
          <w:tcPr>
            <w:tcW w:w="1867" w:type="dxa"/>
            <w:vMerge w:val="continue"/>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09"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噪声</w:t>
            </w:r>
          </w:p>
        </w:tc>
        <w:tc>
          <w:tcPr>
            <w:tcW w:w="1270" w:type="dxa"/>
            <w:gridSpan w:val="2"/>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开炼机、捏炼机、滤胶机、压延机等设备</w:t>
            </w:r>
          </w:p>
        </w:tc>
        <w:tc>
          <w:tcPr>
            <w:tcW w:w="2270" w:type="dxa"/>
            <w:vAlign w:val="center"/>
          </w:tcPr>
          <w:p>
            <w:pPr>
              <w:widowControl w:val="0"/>
              <w:adjustRightInd w:val="0"/>
              <w:spacing w:line="240" w:lineRule="auto"/>
              <w:jc w:val="center"/>
              <w:textAlignment w:val="auto"/>
              <w:rPr>
                <w:rFonts w:ascii="Times New Roman" w:hAnsi="Times New Roman" w:eastAsia="宋体" w:cs="Times New Roman"/>
                <w:color w:val="000000"/>
                <w:kern w:val="0"/>
                <w:sz w:val="21"/>
                <w:szCs w:val="21"/>
                <w:u w:color="000000"/>
                <w:lang w:val="en-US" w:eastAsia="zh-CN" w:bidi="ar-SA"/>
              </w:rPr>
            </w:pPr>
            <w:r>
              <w:rPr>
                <w:rFonts w:hint="eastAsia" w:ascii="Times New Roman" w:hAnsi="Times New Roman" w:eastAsia="宋体" w:cs="Times New Roman"/>
                <w:color w:val="000000"/>
                <w:kern w:val="0"/>
                <w:sz w:val="21"/>
                <w:szCs w:val="21"/>
                <w:u w:color="000000"/>
                <w:lang w:val="en-US" w:eastAsia="zh-CN" w:bidi="ar-SA"/>
              </w:rPr>
              <w:t>选用低噪声设备、加减振垫装置、隔声</w:t>
            </w:r>
          </w:p>
        </w:tc>
        <w:tc>
          <w:tcPr>
            <w:tcW w:w="2057" w:type="dxa"/>
            <w:vAlign w:val="center"/>
          </w:tcPr>
          <w:p>
            <w:pPr>
              <w:widowControl/>
              <w:snapToGrid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昼间60dB（A）</w:t>
            </w:r>
          </w:p>
          <w:p>
            <w:pPr>
              <w:widowControl/>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夜间50dB（A）</w:t>
            </w:r>
          </w:p>
        </w:tc>
        <w:tc>
          <w:tcPr>
            <w:tcW w:w="1867"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《工业企业厂界环境噪声排放标准》（GB12348-2008）</w:t>
            </w:r>
          </w:p>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ascii="Times New Roman" w:hAnsi="Times New Roman" w:eastAsia="宋体" w:cs="Times New Roman"/>
                <w:color w:val="000000"/>
                <w:kern w:val="0"/>
                <w:szCs w:val="21"/>
                <w:u w:color="000000"/>
              </w:rPr>
              <w:t>中2类标准</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bl>
    <w:p>
      <w:pPr>
        <w:pStyle w:val="6"/>
        <w:rPr>
          <w:rFonts w:hint="default" w:ascii="Times New Roman" w:hAnsi="Times New Roman" w:eastAsia="宋体" w:cs="Times New Roman"/>
        </w:rPr>
      </w:pPr>
      <w:bookmarkStart w:id="132" w:name="_Toc1887"/>
      <w:bookmarkStart w:id="133" w:name="_Toc1554"/>
      <w:bookmarkStart w:id="134" w:name="_Toc24447"/>
      <w:bookmarkStart w:id="135" w:name="_Toc5108"/>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eastAsia" w:ascii="Times New Roman" w:hAnsi="Times New Roman" w:cs="Times New Roman"/>
          <w:sz w:val="24"/>
          <w:szCs w:val="24"/>
          <w:lang w:val="en-US" w:eastAsia="zh-CN"/>
        </w:rPr>
      </w:pP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val="en-US" w:eastAsia="zh-CN"/>
        </w:rPr>
        <w:t>河北省沧州市沧县仵龙堂乡后唐庄村西</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1000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，项目主体工程为年产80000套床垫生产线及相应生产车间；辅助工程为仓库、办公楼、锅炉房；公用工程为供电、供水、排水、供热等设施；环保工程为废气处理、废水处理、降噪、固废措施等。</w:t>
      </w:r>
    </w:p>
    <w:p>
      <w:pPr>
        <w:adjustRightInd w:val="0"/>
        <w:snapToGrid w:val="0"/>
        <w:spacing w:line="480" w:lineRule="atLeast"/>
        <w:ind w:firstLine="480" w:firstLineChars="200"/>
        <w:rPr>
          <w:rFonts w:hint="default" w:ascii="Times New Roman" w:hAnsi="Times New Roman" w:eastAsia="宋体"/>
        </w:rPr>
      </w:pP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废气主要为拉筋布压延废气产生的废气经集气罩+两级活性炭吸附装置+1根15m高排气筒。开炼、捏炼、滤胶、压片、压延、组合成型、硫化成型工序产生的废气集气罩+布袋除尘器+两级活性炭吸附装置+1根15m高排气筒</w:t>
      </w:r>
      <w:r>
        <w:rPr>
          <w:rFonts w:hint="eastAsia" w:ascii="Times New Roman" w:hAnsi="Times New Roman"/>
          <w:color w:val="auto"/>
          <w:spacing w:val="-6"/>
          <w:sz w:val="24"/>
          <w:szCs w:val="24"/>
          <w:lang w:val="zh-CN" w:eastAsia="zh-CN"/>
        </w:rPr>
        <w:t>。燃气蒸汽发生器废气</w:t>
      </w:r>
      <w:r>
        <w:rPr>
          <w:rFonts w:hint="eastAsia" w:ascii="Times New Roman" w:hAnsi="Times New Roman"/>
          <w:color w:val="auto"/>
          <w:spacing w:val="-6"/>
          <w:sz w:val="24"/>
          <w:szCs w:val="24"/>
          <w:lang w:val="en-US" w:eastAsia="zh-CN"/>
        </w:rPr>
        <w:t>经</w:t>
      </w:r>
      <w:r>
        <w:rPr>
          <w:rFonts w:hint="eastAsia" w:ascii="Times New Roman" w:hAnsi="Times New Roman"/>
          <w:color w:val="auto"/>
          <w:spacing w:val="-6"/>
          <w:sz w:val="24"/>
          <w:szCs w:val="24"/>
          <w:lang w:val="zh-CN" w:eastAsia="zh-CN"/>
        </w:rPr>
        <w:t>低氮燃烧器+1根15m高排气筒排放。</w:t>
      </w:r>
      <w:r>
        <w:rPr>
          <w:rFonts w:hint="default" w:ascii="Times New Roman" w:hAnsi="Times New Roman" w:eastAsia="宋体" w:cs="Times New Roman"/>
          <w:color w:val="auto"/>
          <w:sz w:val="24"/>
          <w:szCs w:val="24"/>
        </w:rPr>
        <w:t>为具体检测内容。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项目冷却水循环使用，定期补加，不外排；厂内生活污水排入化粪池定期清掏，不外排。</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eastAsia="zh-CN"/>
        </w:rPr>
        <w:t>生产过程产生的下脚料收集后外售处理；布袋除尘器回收粉尘收集后回用；废润滑油、废活性炭采用专用容器收集，同废润滑油桶一同暂存于危废暂存间内，定期交有资质单位清运处理；润滑油桶作为周转桶由厂家回收，生活垃圾由环卫部门清运处理</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7" w:name="_Toc2185"/>
      <w:bookmarkStart w:id="138" w:name="_Toc8056"/>
      <w:bookmarkStart w:id="139" w:name="_Toc12475"/>
      <w:r>
        <w:rPr>
          <w:rFonts w:hint="default" w:ascii="Times New Roman" w:hAnsi="Times New Roman" w:eastAsia="宋体" w:cs="Times New Roman"/>
        </w:rPr>
        <w:t>3主要污染源及治理措施</w:t>
      </w:r>
      <w:bookmarkEnd w:id="136"/>
      <w:bookmarkEnd w:id="137"/>
      <w:bookmarkEnd w:id="138"/>
      <w:bookmarkEnd w:id="139"/>
    </w:p>
    <w:p>
      <w:pPr>
        <w:pStyle w:val="6"/>
        <w:rPr>
          <w:rFonts w:hint="default" w:ascii="Times New Roman" w:hAnsi="Times New Roman" w:eastAsia="宋体" w:cs="Times New Roman"/>
        </w:rPr>
      </w:pPr>
      <w:bookmarkStart w:id="140" w:name="_Toc31233"/>
      <w:bookmarkStart w:id="141" w:name="_Toc10538"/>
      <w:bookmarkStart w:id="142" w:name="_Toc12186"/>
      <w:bookmarkStart w:id="143" w:name="_Toc381"/>
      <w:r>
        <w:rPr>
          <w:rFonts w:hint="default" w:ascii="Times New Roman" w:hAnsi="Times New Roman" w:eastAsia="宋体" w:cs="Times New Roman"/>
        </w:rPr>
        <w:t>3.1施工期主要污染源及治理措施</w:t>
      </w:r>
      <w:bookmarkEnd w:id="140"/>
      <w:bookmarkEnd w:id="141"/>
      <w:bookmarkEnd w:id="142"/>
      <w:bookmarkEnd w:id="14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4" w:name="_Toc22056"/>
      <w:bookmarkStart w:id="145" w:name="_Toc28537"/>
      <w:bookmarkStart w:id="146" w:name="_Toc23781"/>
      <w:bookmarkStart w:id="147" w:name="_Toc25292"/>
      <w:r>
        <w:rPr>
          <w:rFonts w:hint="default" w:ascii="Times New Roman" w:hAnsi="Times New Roman" w:eastAsia="宋体" w:cs="Times New Roman"/>
        </w:rPr>
        <w:t>3.2运行期主要污染源及治理措施</w:t>
      </w:r>
      <w:bookmarkEnd w:id="144"/>
      <w:bookmarkEnd w:id="145"/>
      <w:bookmarkEnd w:id="146"/>
      <w:bookmarkEnd w:id="14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6979024"/>
      <w:bookmarkStart w:id="149" w:name="_Toc497001461"/>
      <w:bookmarkStart w:id="150" w:name="_Toc3760"/>
      <w:bookmarkStart w:id="151" w:name="_Toc8524"/>
      <w:bookmarkStart w:id="152" w:name="_Toc8094"/>
      <w:bookmarkStart w:id="153" w:name="_Toc3932"/>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废气主要为拉筋布压延废气产生的废气经集气罩+两级活性炭吸附装置+1根15m高排气筒。开炼、捏炼、滤胶、压片、压延、组合成型、硫化成型工序产生的废气集气罩+布袋除尘器+两级活性炭吸附装置+1根15m高排气筒。燃气蒸汽发生器废气经低氮燃烧器+1根15m高排气筒排放。</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6473"/>
      <w:bookmarkStart w:id="155" w:name="_Toc18379"/>
      <w:bookmarkStart w:id="156" w:name="_Toc6853"/>
      <w:bookmarkStart w:id="157" w:name="_Toc22928"/>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8" w:name="_Toc571"/>
      <w:bookmarkStart w:id="159" w:name="_Toc18436"/>
      <w:bookmarkStart w:id="160" w:name="_Toc32691"/>
      <w:bookmarkStart w:id="161" w:name="_Toc30198"/>
      <w:bookmarkStart w:id="162" w:name="_Toc497001462"/>
      <w:bookmarkStart w:id="163" w:name="_Toc496979025"/>
      <w:r>
        <w:rPr>
          <w:rFonts w:hint="eastAsia" w:ascii="Times New Roman" w:hAnsi="Times New Roman" w:eastAsia="宋体" w:cs="Times New Roman"/>
          <w:color w:val="auto"/>
          <w:sz w:val="24"/>
          <w:szCs w:val="24"/>
          <w:lang w:val="zh-CN" w:eastAsia="zh-CN"/>
        </w:rPr>
        <w:t>本项目冷却水循环使用，定期补加，不外排；厂内生活污水排入化粪池定期清掏，不外排。</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8"/>
      <w:bookmarkEnd w:id="159"/>
      <w:bookmarkEnd w:id="160"/>
      <w:bookmarkEnd w:id="161"/>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本项目运营期噪声主要为开炼机、捏炼机、滤胶机、压延机等设备运行时产生的噪声。采取生产设备合理布局，设置减震垫，厂房隔声等措施减少噪声值。</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4" w:name="_Toc2397"/>
      <w:bookmarkStart w:id="165" w:name="_Toc5318"/>
      <w:bookmarkStart w:id="166" w:name="_Toc16750"/>
      <w:bookmarkStart w:id="167" w:name="_Toc147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4"/>
      <w:bookmarkEnd w:id="165"/>
      <w:bookmarkEnd w:id="166"/>
      <w:bookmarkEnd w:id="16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8" w:name="_Toc4008"/>
      <w:bookmarkStart w:id="169" w:name="_Toc9823"/>
      <w:r>
        <w:rPr>
          <w:rFonts w:hint="eastAsia" w:ascii="Times New Roman" w:hAnsi="Times New Roman" w:eastAsia="宋体"/>
          <w:sz w:val="24"/>
          <w:szCs w:val="24"/>
          <w:lang w:val="zh-CN" w:eastAsia="zh-CN"/>
        </w:rPr>
        <w:t>生产过程产生的下脚料收集后外售处理；布袋除尘器回收粉尘收集后回用；废润滑油、废活性炭采用专用容器收集，同废润滑油桶一同暂存于危废暂存间内，定期交有资质单位清运处理；润滑油桶作为周转桶由厂家回收，生活垃圾由环卫部门清运处理</w:t>
      </w:r>
      <w:r>
        <w:rPr>
          <w:rFonts w:hint="eastAsia" w:ascii="Times New Roman" w:hAnsi="Times New Roman" w:eastAsia="宋体"/>
          <w:sz w:val="24"/>
          <w:szCs w:val="24"/>
          <w:lang w:val="zh-CN"/>
        </w:rPr>
        <w:t>。</w:t>
      </w:r>
    </w:p>
    <w:bookmarkEnd w:id="162"/>
    <w:bookmarkEnd w:id="163"/>
    <w:bookmarkEnd w:id="168"/>
    <w:bookmarkEnd w:id="169"/>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0" w:name="_Toc14411"/>
      <w:bookmarkStart w:id="171" w:name="_Toc19788"/>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2" w:name="_Toc25824"/>
      <w:bookmarkStart w:id="173" w:name="_Toc32061"/>
      <w:r>
        <w:rPr>
          <w:rFonts w:hint="default" w:ascii="Times New Roman" w:hAnsi="Times New Roman" w:eastAsia="宋体" w:cs="Times New Roman"/>
        </w:rPr>
        <w:t>4环评主要结论及环评批复要求</w:t>
      </w:r>
      <w:bookmarkEnd w:id="170"/>
      <w:bookmarkEnd w:id="171"/>
      <w:bookmarkEnd w:id="172"/>
      <w:bookmarkEnd w:id="173"/>
    </w:p>
    <w:p>
      <w:pPr>
        <w:pStyle w:val="6"/>
        <w:rPr>
          <w:rFonts w:hint="default" w:ascii="Times New Roman" w:hAnsi="Times New Roman" w:eastAsia="宋体" w:cs="Times New Roman"/>
          <w:sz w:val="24"/>
          <w:szCs w:val="24"/>
        </w:rPr>
      </w:pPr>
      <w:bookmarkStart w:id="174" w:name="_Toc25915"/>
      <w:bookmarkStart w:id="175" w:name="_Toc17594"/>
      <w:bookmarkStart w:id="176" w:name="_Toc21108"/>
      <w:bookmarkStart w:id="177" w:name="_Toc19580"/>
      <w:r>
        <w:rPr>
          <w:rFonts w:hint="default" w:ascii="Times New Roman" w:hAnsi="Times New Roman" w:eastAsia="宋体" w:cs="Times New Roman"/>
          <w:sz w:val="24"/>
          <w:szCs w:val="24"/>
        </w:rPr>
        <w:t>4.1建设项目环评报告表的主要结论与建议</w:t>
      </w:r>
      <w:bookmarkEnd w:id="174"/>
      <w:bookmarkEnd w:id="175"/>
      <w:bookmarkEnd w:id="176"/>
      <w:bookmarkEnd w:id="177"/>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8" w:name="_Toc22609"/>
      <w:bookmarkStart w:id="179" w:name="_Toc496979030"/>
      <w:bookmarkStart w:id="180" w:name="_Toc17583"/>
      <w:bookmarkStart w:id="181" w:name="_Toc497001467"/>
      <w:bookmarkStart w:id="182" w:name="_Toc26870"/>
      <w:bookmarkStart w:id="183" w:name="_Toc29423"/>
      <w:r>
        <w:rPr>
          <w:rFonts w:hint="default" w:ascii="Times New Roman" w:hAnsi="Times New Roman" w:eastAsia="宋体" w:cs="Times New Roman"/>
          <w:b/>
          <w:bCs/>
        </w:rPr>
        <w:t>4.1.1主要结论</w:t>
      </w:r>
      <w:bookmarkEnd w:id="178"/>
      <w:bookmarkEnd w:id="179"/>
      <w:bookmarkEnd w:id="180"/>
      <w:bookmarkEnd w:id="181"/>
      <w:bookmarkEnd w:id="182"/>
      <w:bookmarkEnd w:id="183"/>
    </w:p>
    <w:p>
      <w:pPr>
        <w:widowControl/>
        <w:adjustRightInd w:val="0"/>
        <w:snapToGrid w:val="0"/>
        <w:spacing w:line="360" w:lineRule="auto"/>
        <w:ind w:firstLine="482" w:firstLineChars="200"/>
        <w:jc w:val="left"/>
        <w:textAlignment w:val="baseline"/>
        <w:rPr>
          <w:rFonts w:ascii="Times New Roman" w:hAnsi="Times New Roman" w:eastAsia="宋体" w:cs="Times New Roman"/>
          <w:b/>
          <w:color w:val="000000"/>
          <w:kern w:val="0"/>
          <w:sz w:val="24"/>
          <w:szCs w:val="20"/>
          <w:u w:color="000000"/>
        </w:rPr>
      </w:pPr>
      <w:bookmarkStart w:id="184" w:name="_Toc25204"/>
      <w:r>
        <w:rPr>
          <w:rFonts w:ascii="Times New Roman" w:hAnsi="Times New Roman" w:eastAsia="宋体" w:cs="Times New Roman"/>
          <w:b/>
          <w:color w:val="000000"/>
          <w:kern w:val="0"/>
          <w:sz w:val="24"/>
          <w:szCs w:val="20"/>
          <w:u w:color="000000"/>
        </w:rPr>
        <w:t>1、建设项目概况</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2"/>
          <w:sz w:val="24"/>
          <w:u w:color="000000"/>
          <w:lang w:val="en-US" w:eastAsia="zh-CN" w:bidi="ar-SA"/>
        </w:rPr>
      </w:pPr>
      <w:r>
        <w:rPr>
          <w:rFonts w:ascii="Times New Roman" w:hAnsi="Times New Roman" w:eastAsia="宋体" w:cs="Times New Roman"/>
          <w:color w:val="000000"/>
          <w:kern w:val="2"/>
          <w:sz w:val="24"/>
          <w:u w:color="000000"/>
          <w:lang w:val="en-US" w:eastAsia="zh-CN" w:bidi="ar-SA"/>
        </w:rPr>
        <w:t>1.1项目概述</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0"/>
          <w:sz w:val="24"/>
          <w:szCs w:val="20"/>
          <w:u w:color="000000"/>
        </w:rPr>
      </w:pPr>
      <w:r>
        <w:rPr>
          <w:rFonts w:hint="eastAsia" w:ascii="Times New Roman" w:hAnsi="Times New Roman" w:eastAsia="宋体" w:cs="Times New Roman"/>
          <w:color w:val="000000"/>
          <w:kern w:val="0"/>
          <w:sz w:val="24"/>
          <w:szCs w:val="20"/>
          <w:u w:color="000000"/>
          <w:lang w:val="en-US" w:eastAsia="zh-CN"/>
        </w:rPr>
        <w:t xml:space="preserve">项目名称：年产 </w:t>
      </w:r>
      <w:r>
        <w:rPr>
          <w:rFonts w:hint="default" w:ascii="Times New Roman" w:hAnsi="Times New Roman" w:eastAsia="宋体" w:cs="Times New Roman"/>
          <w:color w:val="000000"/>
          <w:kern w:val="0"/>
          <w:sz w:val="24"/>
          <w:szCs w:val="20"/>
          <w:u w:color="000000"/>
          <w:lang w:val="en-US" w:eastAsia="zh-CN"/>
        </w:rPr>
        <w:t xml:space="preserve">80000 </w:t>
      </w:r>
      <w:r>
        <w:rPr>
          <w:rFonts w:hint="eastAsia" w:ascii="Times New Roman" w:hAnsi="Times New Roman" w:eastAsia="宋体" w:cs="Times New Roman"/>
          <w:color w:val="000000"/>
          <w:kern w:val="0"/>
          <w:sz w:val="24"/>
          <w:szCs w:val="20"/>
          <w:u w:color="000000"/>
          <w:lang w:val="en-US" w:eastAsia="zh-CN"/>
        </w:rPr>
        <w:t>套床垫项目</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0"/>
          <w:sz w:val="24"/>
          <w:szCs w:val="20"/>
          <w:u w:color="000000"/>
        </w:rPr>
      </w:pPr>
      <w:r>
        <w:rPr>
          <w:rFonts w:hint="eastAsia" w:ascii="Times New Roman" w:hAnsi="Times New Roman" w:eastAsia="宋体" w:cs="Times New Roman"/>
          <w:color w:val="000000"/>
          <w:kern w:val="0"/>
          <w:sz w:val="24"/>
          <w:szCs w:val="20"/>
          <w:u w:color="000000"/>
          <w:lang w:val="en-US" w:eastAsia="zh-CN"/>
        </w:rPr>
        <w:t>建设单位：河北好睡眠床垫有限公司</w:t>
      </w:r>
    </w:p>
    <w:p>
      <w:pPr>
        <w:widowControl w:val="0"/>
        <w:adjustRightInd w:val="0"/>
        <w:snapToGrid w:val="0"/>
        <w:spacing w:line="360" w:lineRule="auto"/>
        <w:ind w:firstLine="480" w:firstLineChars="200"/>
        <w:jc w:val="left"/>
        <w:textAlignment w:val="auto"/>
        <w:rPr>
          <w:rFonts w:ascii="Times New Roman" w:hAnsi="Times New Roman" w:eastAsia="宋体" w:cs="Times New Roman"/>
          <w:color w:val="000000"/>
          <w:kern w:val="0"/>
          <w:sz w:val="24"/>
          <w:szCs w:val="20"/>
          <w:u w:color="000000"/>
        </w:rPr>
      </w:pPr>
      <w:r>
        <w:rPr>
          <w:rFonts w:hint="eastAsia" w:ascii="Times New Roman" w:hAnsi="Times New Roman" w:eastAsia="宋体" w:cs="Times New Roman"/>
          <w:color w:val="000000"/>
          <w:kern w:val="0"/>
          <w:sz w:val="24"/>
          <w:szCs w:val="20"/>
          <w:u w:color="000000"/>
          <w:lang w:val="en-US" w:eastAsia="zh-CN"/>
        </w:rPr>
        <w:t>建设性质：新建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建设规模：项目占地面积 </w:t>
      </w:r>
      <w:r>
        <w:rPr>
          <w:rFonts w:hint="default" w:ascii="Times New Roman" w:hAnsi="Times New Roman" w:eastAsia="宋体" w:cs="Times New Roman"/>
          <w:color w:val="000000"/>
          <w:kern w:val="0"/>
          <w:sz w:val="24"/>
          <w:szCs w:val="20"/>
          <w:u w:color="000000"/>
          <w:lang w:val="en-US" w:eastAsia="zh-CN"/>
        </w:rPr>
        <w:t>6520m2</w:t>
      </w:r>
      <w:r>
        <w:rPr>
          <w:rFonts w:hint="eastAsia" w:ascii="Times New Roman" w:hAnsi="Times New Roman" w:eastAsia="宋体" w:cs="Times New Roman"/>
          <w:color w:val="000000"/>
          <w:kern w:val="0"/>
          <w:sz w:val="24"/>
          <w:szCs w:val="20"/>
          <w:u w:color="000000"/>
          <w:lang w:val="en-US" w:eastAsia="zh-CN"/>
        </w:rPr>
        <w:t>，生产规模为年产 80000 套床垫。</w:t>
      </w:r>
    </w:p>
    <w:p>
      <w:pPr>
        <w:widowControl w:val="0"/>
        <w:adjustRightInd w:val="0"/>
        <w:snapToGrid w:val="0"/>
        <w:spacing w:line="360" w:lineRule="auto"/>
        <w:ind w:firstLine="480" w:firstLineChars="200"/>
        <w:jc w:val="left"/>
        <w:textAlignment w:val="auto"/>
        <w:rPr>
          <w:rFonts w:hint="eastAsia" w:ascii="Times New Roman" w:hAnsi="Times New Roman"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工程投资：项目总投资 </w:t>
      </w:r>
      <w:r>
        <w:rPr>
          <w:rFonts w:hint="default" w:ascii="Times New Roman" w:hAnsi="Times New Roman" w:eastAsia="宋体" w:cs="Times New Roman"/>
          <w:color w:val="000000"/>
          <w:kern w:val="0"/>
          <w:sz w:val="24"/>
          <w:szCs w:val="20"/>
          <w:u w:color="000000"/>
          <w:lang w:val="en-US" w:eastAsia="zh-CN"/>
        </w:rPr>
        <w:t xml:space="preserve">1000 </w:t>
      </w:r>
      <w:r>
        <w:rPr>
          <w:rFonts w:hint="eastAsia" w:ascii="Times New Roman" w:hAnsi="Times New Roman" w:eastAsia="宋体" w:cs="Times New Roman"/>
          <w:color w:val="000000"/>
          <w:kern w:val="0"/>
          <w:sz w:val="24"/>
          <w:szCs w:val="20"/>
          <w:u w:color="000000"/>
          <w:lang w:val="en-US" w:eastAsia="zh-CN"/>
        </w:rPr>
        <w:t xml:space="preserve">万元，其中环保投资 </w:t>
      </w:r>
      <w:r>
        <w:rPr>
          <w:rFonts w:hint="default" w:ascii="Times New Roman" w:hAnsi="Times New Roman" w:eastAsia="宋体" w:cs="Times New Roman"/>
          <w:color w:val="000000"/>
          <w:kern w:val="0"/>
          <w:sz w:val="24"/>
          <w:szCs w:val="20"/>
          <w:u w:color="000000"/>
          <w:lang w:val="en-US" w:eastAsia="zh-CN"/>
        </w:rPr>
        <w:t xml:space="preserve">50 </w:t>
      </w:r>
      <w:r>
        <w:rPr>
          <w:rFonts w:hint="eastAsia" w:ascii="Times New Roman" w:hAnsi="Times New Roman" w:eastAsia="宋体" w:cs="Times New Roman"/>
          <w:color w:val="000000"/>
          <w:kern w:val="0"/>
          <w:sz w:val="24"/>
          <w:szCs w:val="20"/>
          <w:u w:color="000000"/>
          <w:lang w:val="en-US" w:eastAsia="zh-CN"/>
        </w:rPr>
        <w:t xml:space="preserve">万元，占总投资的 </w:t>
      </w:r>
      <w:r>
        <w:rPr>
          <w:rFonts w:hint="default" w:ascii="Times New Roman" w:hAnsi="Times New Roman" w:eastAsia="宋体" w:cs="Times New Roman"/>
          <w:color w:val="000000"/>
          <w:kern w:val="0"/>
          <w:sz w:val="24"/>
          <w:szCs w:val="20"/>
          <w:u w:color="000000"/>
          <w:lang w:val="en-US" w:eastAsia="zh-CN"/>
        </w:rPr>
        <w:t>5%</w:t>
      </w:r>
      <w:r>
        <w:rPr>
          <w:rFonts w:hint="eastAsia" w:ascii="Times New Roman" w:hAnsi="Times New Roman" w:eastAsia="宋体" w:cs="Times New Roman"/>
          <w:color w:val="000000"/>
          <w:kern w:val="0"/>
          <w:sz w:val="24"/>
          <w:szCs w:val="20"/>
          <w:u w:color="000000"/>
          <w:lang w:val="en-US" w:eastAsia="zh-CN"/>
        </w:rPr>
        <w:t xml:space="preserve">。劳动定员及工作时制：项目劳动定员 </w:t>
      </w:r>
      <w:r>
        <w:rPr>
          <w:rFonts w:hint="default" w:ascii="Times New Roman" w:hAnsi="Times New Roman" w:eastAsia="宋体" w:cs="Times New Roman"/>
          <w:color w:val="000000"/>
          <w:kern w:val="0"/>
          <w:sz w:val="24"/>
          <w:szCs w:val="20"/>
          <w:u w:color="000000"/>
          <w:lang w:val="en-US" w:eastAsia="zh-CN"/>
        </w:rPr>
        <w:t xml:space="preserve">20 </w:t>
      </w:r>
      <w:r>
        <w:rPr>
          <w:rFonts w:hint="eastAsia" w:ascii="Times New Roman" w:hAnsi="Times New Roman" w:eastAsia="宋体" w:cs="Times New Roman"/>
          <w:color w:val="000000"/>
          <w:kern w:val="0"/>
          <w:sz w:val="24"/>
          <w:szCs w:val="20"/>
          <w:u w:color="000000"/>
          <w:lang w:val="en-US" w:eastAsia="zh-CN"/>
        </w:rPr>
        <w:t xml:space="preserve">人，年工作时间 </w:t>
      </w:r>
      <w:r>
        <w:rPr>
          <w:rFonts w:hint="default" w:ascii="Times New Roman" w:hAnsi="Times New Roman" w:eastAsia="宋体" w:cs="Times New Roman"/>
          <w:color w:val="000000"/>
          <w:kern w:val="0"/>
          <w:sz w:val="24"/>
          <w:szCs w:val="20"/>
          <w:u w:color="000000"/>
          <w:lang w:val="en-US" w:eastAsia="zh-CN"/>
        </w:rPr>
        <w:t xml:space="preserve">300 </w:t>
      </w:r>
      <w:r>
        <w:rPr>
          <w:rFonts w:hint="eastAsia" w:ascii="Times New Roman" w:hAnsi="Times New Roman" w:eastAsia="宋体" w:cs="Times New Roman"/>
          <w:color w:val="000000"/>
          <w:kern w:val="0"/>
          <w:sz w:val="24"/>
          <w:szCs w:val="20"/>
          <w:u w:color="000000"/>
          <w:lang w:val="en-US" w:eastAsia="zh-CN"/>
        </w:rPr>
        <w:t>天，一班，每班</w:t>
      </w:r>
      <w:r>
        <w:rPr>
          <w:rFonts w:hint="default" w:ascii="Times New Roman" w:hAnsi="Times New Roman" w:eastAsia="宋体" w:cs="Times New Roman"/>
          <w:color w:val="000000"/>
          <w:kern w:val="0"/>
          <w:sz w:val="24"/>
          <w:szCs w:val="20"/>
          <w:u w:color="000000"/>
          <w:lang w:val="en-US" w:eastAsia="zh-CN"/>
        </w:rPr>
        <w:t>8</w:t>
      </w:r>
      <w:r>
        <w:rPr>
          <w:rFonts w:hint="eastAsia" w:ascii="Times New Roman" w:hAnsi="Times New Roman" w:eastAsia="宋体" w:cs="Times New Roman"/>
          <w:color w:val="000000"/>
          <w:kern w:val="0"/>
          <w:sz w:val="24"/>
          <w:szCs w:val="20"/>
          <w:u w:color="000000"/>
          <w:lang w:val="en-US" w:eastAsia="zh-CN"/>
        </w:rPr>
        <w:t>小时工作制</w:t>
      </w:r>
      <w:r>
        <w:rPr>
          <w:rFonts w:hint="eastAsia" w:ascii="Times New Roman" w:hAnsi="Times New Roman" w:cs="Times New Roman"/>
          <w:color w:val="000000"/>
          <w:kern w:val="0"/>
          <w:sz w:val="24"/>
          <w:szCs w:val="20"/>
          <w:u w:color="000000"/>
          <w:lang w:val="en-US" w:eastAsia="zh-CN"/>
        </w:rPr>
        <w:t>。</w:t>
      </w:r>
    </w:p>
    <w:p>
      <w:pPr>
        <w:widowControl w:val="0"/>
        <w:adjustRightInd w:val="0"/>
        <w:snapToGrid w:val="0"/>
        <w:spacing w:line="360" w:lineRule="auto"/>
        <w:ind w:firstLine="480" w:firstLineChars="200"/>
        <w:jc w:val="left"/>
        <w:textAlignment w:val="auto"/>
        <w:rPr>
          <w:rFonts w:hint="eastAsia" w:ascii="Times New Roman" w:hAnsi="Times New Roman" w:cs="Times New Roman"/>
          <w:color w:val="000000"/>
          <w:kern w:val="0"/>
          <w:sz w:val="24"/>
          <w:szCs w:val="20"/>
          <w:u w:color="000000"/>
          <w:lang w:val="en-US" w:eastAsia="zh-CN"/>
        </w:rPr>
      </w:pPr>
      <w:r>
        <w:rPr>
          <w:rFonts w:hint="eastAsia" w:ascii="Times New Roman" w:hAnsi="Times New Roman" w:cs="Times New Roman"/>
          <w:color w:val="000000"/>
          <w:kern w:val="0"/>
          <w:sz w:val="24"/>
          <w:szCs w:val="20"/>
          <w:u w:color="000000"/>
          <w:lang w:val="en-US" w:eastAsia="zh-CN"/>
        </w:rPr>
        <w:t>1.2 项目选址</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项目位于沧县仵龙堂乡后唐村西，项目厂址中心地理坐标为东经</w:t>
      </w:r>
      <w:r>
        <w:rPr>
          <w:rFonts w:hint="default" w:ascii="Times New Roman" w:hAnsi="Times New Roman" w:eastAsia="宋体" w:cs="Times New Roman"/>
          <w:color w:val="000000"/>
          <w:kern w:val="0"/>
          <w:sz w:val="24"/>
          <w:szCs w:val="20"/>
          <w:u w:color="000000"/>
          <w:lang w:val="en-US" w:eastAsia="zh-CN"/>
        </w:rPr>
        <w:t>116°59'45.13"</w:t>
      </w:r>
      <w:r>
        <w:rPr>
          <w:rFonts w:hint="eastAsia" w:ascii="Times New Roman" w:hAnsi="Times New Roman" w:eastAsia="宋体" w:cs="Times New Roman"/>
          <w:color w:val="000000"/>
          <w:kern w:val="0"/>
          <w:sz w:val="24"/>
          <w:szCs w:val="20"/>
          <w:u w:color="000000"/>
          <w:lang w:val="en-US" w:eastAsia="zh-CN"/>
        </w:rPr>
        <w:t>，北纬</w:t>
      </w:r>
      <w:r>
        <w:rPr>
          <w:rFonts w:hint="default" w:ascii="Times New Roman" w:hAnsi="Times New Roman" w:eastAsia="宋体" w:cs="Times New Roman"/>
          <w:color w:val="000000"/>
          <w:kern w:val="0"/>
          <w:sz w:val="24"/>
          <w:szCs w:val="20"/>
          <w:u w:color="000000"/>
          <w:lang w:val="en-US" w:eastAsia="zh-CN"/>
        </w:rPr>
        <w:t>38°11'10.46"</w:t>
      </w:r>
      <w:r>
        <w:rPr>
          <w:rFonts w:hint="eastAsia" w:ascii="Times New Roman" w:hAnsi="Times New Roman" w:eastAsia="宋体" w:cs="Times New Roman"/>
          <w:color w:val="000000"/>
          <w:kern w:val="0"/>
          <w:sz w:val="24"/>
          <w:szCs w:val="20"/>
          <w:u w:color="000000"/>
          <w:lang w:val="en-US" w:eastAsia="zh-CN"/>
        </w:rPr>
        <w:t>。项目北侧隔乡村路为闲置厂房、东侧为废弃厂房、南侧为空地、西侧隔李寨路为石油三厂注水站。项目周围环境敏感点为东侧</w:t>
      </w:r>
      <w:r>
        <w:rPr>
          <w:rFonts w:hint="default" w:ascii="Times New Roman" w:hAnsi="Times New Roman" w:eastAsia="宋体" w:cs="Times New Roman"/>
          <w:color w:val="000000"/>
          <w:kern w:val="0"/>
          <w:sz w:val="24"/>
          <w:szCs w:val="20"/>
          <w:u w:color="000000"/>
          <w:lang w:val="en-US" w:eastAsia="zh-CN"/>
        </w:rPr>
        <w:t>55m</w:t>
      </w:r>
      <w:r>
        <w:rPr>
          <w:rFonts w:hint="eastAsia" w:ascii="Times New Roman" w:hAnsi="Times New Roman" w:eastAsia="宋体" w:cs="Times New Roman"/>
          <w:color w:val="000000"/>
          <w:kern w:val="0"/>
          <w:sz w:val="24"/>
          <w:szCs w:val="20"/>
          <w:u w:color="000000"/>
          <w:lang w:val="en-US" w:eastAsia="zh-CN"/>
        </w:rPr>
        <w:t>处的后唐庄村。项目占地为建设用地，周围无自然保护区，无野生动植物，符合河间市总体规划要求。</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1.3 建设内容</w:t>
      </w:r>
    </w:p>
    <w:p>
      <w:pPr>
        <w:widowControl w:val="0"/>
        <w:adjustRightInd w:val="0"/>
        <w:snapToGrid w:val="0"/>
        <w:spacing w:line="360" w:lineRule="auto"/>
        <w:ind w:firstLine="480" w:firstLineChars="200"/>
        <w:jc w:val="both"/>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项目主体工程为年产 80000 套床垫生产线及相应生产车间；辅助工程为仓库、办公楼、锅炉房；公用工程为供电、供水、排水、供热等设施；环保工程为废气处理、废水处理、降噪、固废措施等。经比对《产业结构调整指导目录(2019 年本)》，本项目不属于鼓励类、限制类、淘汰类，属于允许建设项目。对比《河北省新增限制和淘汰类产业目录（2015年版）》，不属于限制类和淘汰类，项目建设符合河北省政策要求，本项目已于2019年5月23日在沧县行政审批局备案，备案编号：沧县行审（备）字[2019]204 号，项目代码：2019-130921-17-03-000214，项目符合国家及地方产业政策。</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1.4 项目衔接</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完成后，用电由当地供电系统提供，能够满足项目用电需要；项目用水为设备冷却水和生活用水，由当地供水系统提供，能够满足用水需要；项目设备冷却水循环使用，不外排，生活污水排入化粪池，定期清掏，不外排；项目生产用热及冬季办公室取暖均由燃气蒸汽发生器提供。</w:t>
      </w:r>
    </w:p>
    <w:p>
      <w:pPr>
        <w:widowControl w:val="0"/>
        <w:numPr>
          <w:ilvl w:val="0"/>
          <w:numId w:val="1"/>
        </w:numPr>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环境质量现状</w:t>
      </w:r>
    </w:p>
    <w:p>
      <w:pPr>
        <w:widowControl w:val="0"/>
        <w:numPr>
          <w:ilvl w:val="0"/>
          <w:numId w:val="0"/>
        </w:numPr>
        <w:adjustRightInd w:val="0"/>
        <w:snapToGrid w:val="0"/>
        <w:spacing w:line="360" w:lineRule="auto"/>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项目区域为环境空气质量不达标区，不达标因子为 NO2、PM10、PM2.5 和 O3。项目所</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在区域正在稳步实施落实《国家打赢蓝天保卫战三年行动计划》（国发〔2018〕22 号）、《河北省打赢蓝天保卫战三年行动方案》（冀政发〔2018〕18 号）中相关要求，持续改善区域环境空气质量。本项目所在区域非甲烷总烃满足《环境空气质量 非甲烷总烃限值》（DB13/1577-2012）二级标准。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项目区域苯、甲苯、二甲苯、硫化氢满足《环境影响评价技术导则 大气环境》（HJ2.2-2018）附录 D 表 D.1 其他污染物空气质量浓度参考限值；非甲烷总烃满足《环境空气质量非甲烷总烃限值》（DB13/1577-2012）二级标准。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项目所在区域地下水环境满足《地下水质量标准》（GB/T14848-2017）Ⅲ类标准。</w:t>
      </w:r>
    </w:p>
    <w:p>
      <w:pPr>
        <w:widowControl w:val="0"/>
        <w:numPr>
          <w:ilvl w:val="0"/>
          <w:numId w:val="1"/>
        </w:numPr>
        <w:adjustRightInd w:val="0"/>
        <w:snapToGrid w:val="0"/>
        <w:spacing w:line="360" w:lineRule="auto"/>
        <w:ind w:left="0" w:leftChars="0"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污染防治措施可行性分析结论</w:t>
      </w:r>
    </w:p>
    <w:p>
      <w:pPr>
        <w:widowControl w:val="0"/>
        <w:numPr>
          <w:ilvl w:val="0"/>
          <w:numId w:val="0"/>
        </w:numPr>
        <w:adjustRightInd w:val="0"/>
        <w:snapToGrid w:val="0"/>
        <w:spacing w:line="360" w:lineRule="auto"/>
        <w:ind w:left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3.1 施工期环境影响分析结论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本项目利用现有闲置厂房进行建设，仅在设备安装和调试过程产生短时少量噪声和固废。因设备安装均在车间内部进行，且施工期较短，噪声污染随着施工期的结束而结束，施工期对周围环境的影响较小。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 运营期环境影响分析结论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3.2.1 大气环境影响评价结论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项目生产过程拉筋布压延工序废气经集气罩收集后经一套两级活性炭吸附装置处理后经1根15m高排气筒（P1）排放，非甲烷总烃排放满足《橡胶制品工业污染物排放标准》（GB27632-2011）表 5 大气污染物排放限值。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项目生产过程捏炼、压片废气经集气罩收集后引入布袋除尘器处理后与经集气罩收集的其他生产废气一同引入两级活性炭吸附装置处理后经 1 根 15m 高排气筒排放。项目苯有组织排放满足《工业企业挥发性有机物排放控制标准》（DB13/2322-2016）表1其他企业排放限值；非甲烷总烃、颗粒物、甲苯及二甲苯合计有组织排放参照执行《橡胶制品工业污染物排放标准》（GB27632-2011）表 5 大气污染物排放限值；硫化氢、臭气浓度有组织排放满足《恶臭污染物排放标准》（GB14554-93）表2恶臭污染物排放标准值。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燃气蒸汽发生器废气经低氮燃烧器后经1根15m高排气筒排放。颗粒物、二氧化硫、氮氧化物排放浓度满足《锅炉大气污染物排放标准》（DB13/5161-2020）表1标准。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未经集气罩收集的部分无组织排放，经预测，厂界苯满足《工业企业挥发性有机物排放控制标准》（DB13/2322-2016）表 2 企业边界大气污染物浓度限值；厂界甲苯、二甲苯、非甲烷总烃无组织排放满足《工业企业挥发性有机物排放控制标准》（DB13/2322-2016）表2企业边界大气污染物浓度限值；厂界硫化氢、臭气浓度满足《恶臭污染物排放标准》（GB14554-93）表 1 二级新扩改建标准。综上所述，本项目生产过程汇总产生的废气经采取有效的处理措施后均能达标排放，措施可行。</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3.2.2 水环境影响评价结论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本项目设备冷却水循环使用不外排，项目无生产废水排放。厂内生活污水排入化粪池定期清掏，不外排。项目对地表水环境影响较小。</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3.2.3 固废环境影响评价结论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生产过程产生的杂质及边角料收集后回用；</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布袋除尘器及车间沉降收集的粉尘经收集后回用；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废机油及废机油桶暂存于危废间内，定期交有危废处理资质单位处理；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废气处理措施产生的废活性炭，收集至专用容器暂存于危废间内，定期交有危废处理资质单位处理；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厂区职工产生的生活垃圾收集后由环卫部门定期清运处理。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综上所述，以上固废均得到有效处理与处置，对周围环境影响较小。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3.2.4 噪声环境影响评价结论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噪声主要是生产设备运转时产生的噪声，噪声值在 80～85dB(A)。选用低噪声设备、安装减振装置、生产设备合理布局、厂房隔声等措施并经距离衰减后，项目厂界噪声符合《工业企业厂界环境噪声排放标准》（GB12348-2008）2 类标准。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3.2.5 环境风险影响评价结论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根据《建设项目环境风险评价技术导则（HJ169-2018）》中附录 B：重点关注的危险物质及临界量，本项目使用的液化气属于重点关注的危险物质，主要危险单元为储存区。本项目环境风险类型为泄漏及火灾、爆炸引发伴生/次生污染物排放。</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生产车间配备应急器材和个人防护用品，用于泄漏紧急抢险；配备泡沫灭火装置，采取硬底化防腐防渗措施和分区防渗措施；设备定期检查和维修；操作人员要定时对车间所有动转设备进行巡回检查，如有异常情况立即请检修人员检查处理；</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因此，本项目在采取相应的风险防范和应急措施的前提下，项目环境风险是可防控的。</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3.2.6 土壤环境影响评价结论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根据《环境影响评价技术导则 土壤环境（试行）》（HJ964-2018），土壤环境影响评价项目类别为Ⅲ类，占地规模属于“小型”，土壤环境敏感程度为“不敏感”，因此，本项目可不开展土壤环境影响评价工作。</w:t>
      </w:r>
    </w:p>
    <w:p>
      <w:pPr>
        <w:widowControl w:val="0"/>
        <w:numPr>
          <w:ilvl w:val="0"/>
          <w:numId w:val="1"/>
        </w:numPr>
        <w:adjustRightInd w:val="0"/>
        <w:snapToGrid w:val="0"/>
        <w:spacing w:line="360" w:lineRule="auto"/>
        <w:ind w:left="0" w:leftChars="0"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清洁生产分析结论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项目采用较为成熟的工艺及生产设备，原料相对环保，加热过程采用清洁的电能，污染物产生少并达标排放，资源得到充分利用，故本项目符合清洁生产要求。</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5、污染物总量控制指标分析结论</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综上，本项目标准核算排放总量为：COD0t/a，NH</w:t>
      </w:r>
      <w:r>
        <w:rPr>
          <w:rFonts w:hint="eastAsia" w:ascii="Times New Roman" w:hAnsi="Times New Roman" w:eastAsia="宋体" w:cs="Times New Roman"/>
          <w:color w:val="000000"/>
          <w:kern w:val="0"/>
          <w:sz w:val="24"/>
          <w:szCs w:val="20"/>
          <w:u w:color="000000"/>
          <w:vertAlign w:val="subscript"/>
          <w:lang w:val="en-US" w:eastAsia="zh-CN"/>
        </w:rPr>
        <w:t>3</w:t>
      </w:r>
      <w:r>
        <w:rPr>
          <w:rFonts w:hint="eastAsia" w:ascii="Times New Roman" w:hAnsi="Times New Roman" w:eastAsia="宋体" w:cs="Times New Roman"/>
          <w:color w:val="000000"/>
          <w:kern w:val="0"/>
          <w:sz w:val="24"/>
          <w:szCs w:val="20"/>
          <w:u w:color="000000"/>
          <w:lang w:val="en-US" w:eastAsia="zh-CN"/>
        </w:rPr>
        <w:t>-N0t/a，颗粒物0.588t/a，SO</w:t>
      </w:r>
      <w:r>
        <w:rPr>
          <w:rFonts w:hint="eastAsia" w:ascii="Times New Roman" w:hAnsi="Times New Roman" w:eastAsia="宋体" w:cs="Times New Roman"/>
          <w:color w:val="000000"/>
          <w:kern w:val="0"/>
          <w:sz w:val="24"/>
          <w:szCs w:val="20"/>
          <w:u w:color="000000"/>
          <w:vertAlign w:val="subscript"/>
          <w:lang w:val="en-US" w:eastAsia="zh-CN"/>
        </w:rPr>
        <w:t>2</w:t>
      </w:r>
      <w:r>
        <w:rPr>
          <w:rFonts w:hint="eastAsia" w:ascii="Times New Roman" w:hAnsi="Times New Roman" w:eastAsia="宋体" w:cs="Times New Roman"/>
          <w:color w:val="000000"/>
          <w:kern w:val="0"/>
          <w:sz w:val="24"/>
          <w:szCs w:val="20"/>
          <w:u w:color="000000"/>
          <w:lang w:val="en-US" w:eastAsia="zh-CN"/>
        </w:rPr>
        <w:t>0.024t/a，NOx0.121t/a，非甲烷总烃0.60t/a。</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6、项目实施前后环境质量变化情况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项目生产过程废气经治理措施处理后达标排放，项目所在区域环境空气质量二氧化硫、一氧化碳满足《环境空气质量标准》（GB3095-2012）二级标准及其修改单相关要求；苯、甲苯、二甲苯、硫化氢满足《环境影响评价技术导则 大气环境》（HJ2.2-2018）附录 D 表 D.1 其他污染物空气质量浓度参考限值要求；非甲烷总烃满足《环境空气质量非甲烷总烃限值》（DB13/1577-2012）表 1 中二级标准限值。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项目采取有效的降噪措施后厂界噪声达标排放，对周围声环境影响较小，区域声环境质量达到《声环境质量标准》（GB3096-2008）中的 2 类区标准。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 xml:space="preserve">本项目生产过程无废水产生，生活污水主要为职工盥洗废水，厂内生活污水排入化粪池定期清掏，不外排。项目不会对周围水环境造成影响。 </w:t>
      </w:r>
    </w:p>
    <w:p>
      <w:pPr>
        <w:widowControl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项目产生的固体废物得到合理处理处置，不会对周围环境造成影响。</w:t>
      </w:r>
    </w:p>
    <w:p>
      <w:pPr>
        <w:widowControl w:val="0"/>
        <w:numPr>
          <w:ilvl w:val="0"/>
          <w:numId w:val="2"/>
        </w:numPr>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工程可行性结论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eastAsia="宋体" w:cs="Times New Roman"/>
          <w:color w:val="000000"/>
          <w:kern w:val="0"/>
          <w:sz w:val="24"/>
          <w:szCs w:val="20"/>
          <w:u w:color="000000"/>
          <w:lang w:val="en-US" w:eastAsia="zh-CN"/>
        </w:rPr>
      </w:pPr>
      <w:r>
        <w:rPr>
          <w:rFonts w:hint="eastAsia" w:ascii="Times New Roman" w:hAnsi="Times New Roman" w:eastAsia="宋体" w:cs="Times New Roman"/>
          <w:color w:val="000000"/>
          <w:kern w:val="0"/>
          <w:sz w:val="24"/>
          <w:szCs w:val="20"/>
          <w:u w:color="000000"/>
          <w:lang w:val="en-US" w:eastAsia="zh-CN"/>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4"/>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1、严格执行“三同时”制度。</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2、加强宣传教育，增强人群的环境保护意识。</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3、加强绿化可有效的达到净化空气及降噪的效果。</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5" w:name="_Toc27551"/>
      <w:bookmarkStart w:id="186" w:name="_Toc13890"/>
      <w:bookmarkStart w:id="187" w:name="_Toc3545"/>
      <w:bookmarkStart w:id="188" w:name="_Toc16482"/>
      <w:r>
        <w:rPr>
          <w:rFonts w:hint="default" w:ascii="Times New Roman" w:hAnsi="Times New Roman" w:eastAsia="宋体" w:cs="Times New Roman"/>
        </w:rPr>
        <w:t>4.2审批部门审批意见</w:t>
      </w:r>
      <w:bookmarkEnd w:id="185"/>
      <w:bookmarkEnd w:id="186"/>
      <w:bookmarkEnd w:id="187"/>
      <w:bookmarkEnd w:id="18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河北华睿风翰环保科技有限公司于2021年1月编制完成了《河北好睡眠床垫有限公司年产80000套床垫项目环境影响报告表》，并于2021年3月31日取得了沧县行政审批局关于《河北好睡眠床垫有限公司年产 80000 套床垫项目》的审批意见，审批文号为沧县行审（环）字【2021】113号。</w:t>
      </w:r>
    </w:p>
    <w:p>
      <w:pPr>
        <w:pStyle w:val="6"/>
        <w:rPr>
          <w:rFonts w:hint="default" w:ascii="Times New Roman" w:hAnsi="Times New Roman" w:eastAsia="宋体" w:cs="Times New Roman"/>
        </w:rPr>
      </w:pPr>
      <w:bookmarkStart w:id="189" w:name="_Toc2514"/>
      <w:bookmarkStart w:id="190" w:name="_Toc17668"/>
      <w:bookmarkStart w:id="191" w:name="_Toc21874"/>
      <w:bookmarkStart w:id="192" w:name="_Toc29925"/>
      <w:r>
        <w:rPr>
          <w:rFonts w:hint="default" w:ascii="Times New Roman" w:hAnsi="Times New Roman" w:eastAsia="宋体" w:cs="Times New Roman"/>
        </w:rPr>
        <w:t>4.3审批意见落实情况</w:t>
      </w:r>
      <w:bookmarkEnd w:id="189"/>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3" w:name="_Toc497001471"/>
      <w:r>
        <w:rPr>
          <w:rFonts w:hint="default" w:ascii="Times New Roman" w:hAnsi="Times New Roman" w:eastAsia="宋体" w:cs="Times New Roman"/>
          <w:sz w:val="24"/>
          <w:szCs w:val="24"/>
        </w:rPr>
        <w:t>审批意见落实情况详见下表4-1。</w:t>
      </w:r>
      <w:bookmarkEnd w:id="193"/>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1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94"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河北好睡眠床垫有限公司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default" w:ascii="Times New Roman" w:hAnsi="Times New Roman" w:eastAsia="宋体" w:cs="Times New Roman"/>
                <w:spacing w:val="0"/>
                <w:kern w:val="0"/>
                <w:sz w:val="21"/>
                <w:szCs w:val="21"/>
                <w:lang w:val="en-US" w:eastAsia="zh-CN"/>
              </w:rPr>
              <w:t>河北省沧州市沧县仵龙堂乡后唐庄村西</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1000</w:t>
            </w:r>
            <w:r>
              <w:rPr>
                <w:rFonts w:hint="eastAsia" w:ascii="Times New Roman" w:hAnsi="Times New Roman" w:cs="Times New Roman"/>
                <w:sz w:val="21"/>
                <w:szCs w:val="21"/>
                <w:lang w:val="zh-CN" w:eastAsia="zh-CN"/>
              </w:rPr>
              <w:t>万元，其中环保投资</w:t>
            </w:r>
            <w:r>
              <w:rPr>
                <w:rFonts w:hint="eastAsia" w:ascii="Times New Roman" w:hAnsi="Times New Roman" w:cs="Times New Roman"/>
                <w:sz w:val="21"/>
                <w:szCs w:val="21"/>
                <w:lang w:val="en-US" w:eastAsia="zh-CN"/>
              </w:rPr>
              <w:t>50</w:t>
            </w:r>
            <w:r>
              <w:rPr>
                <w:rFonts w:hint="eastAsia" w:ascii="Times New Roman" w:hAnsi="Times New Roman" w:cs="Times New Roman"/>
                <w:sz w:val="21"/>
                <w:szCs w:val="21"/>
                <w:lang w:val="zh-CN" w:eastAsia="zh-CN"/>
              </w:rPr>
              <w:t>万元，占地面积</w:t>
            </w:r>
            <w:r>
              <w:rPr>
                <w:rFonts w:hint="eastAsia" w:ascii="Times New Roman" w:hAnsi="Times New Roman" w:cs="Times New Roman"/>
                <w:sz w:val="21"/>
                <w:szCs w:val="21"/>
                <w:lang w:val="en-US" w:eastAsia="zh-CN"/>
              </w:rPr>
              <w:t xml:space="preserve">6520 </w:t>
            </w:r>
          </w:p>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平方米，年产80000套床垫项</w:t>
            </w:r>
            <w:r>
              <w:rPr>
                <w:rFonts w:hint="eastAsia" w:ascii="Times New Roman" w:hAnsi="Times New Roman" w:cs="Times New Roman"/>
                <w:sz w:val="21"/>
                <w:szCs w:val="21"/>
                <w:lang w:val="en-US" w:eastAsia="zh-CN"/>
              </w:rPr>
              <w:t>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w:t>
            </w:r>
            <w:r>
              <w:rPr>
                <w:rFonts w:hint="eastAsia" w:ascii="Times New Roman" w:hAnsi="Times New Roman" w:eastAsia="宋体" w:cs="Times New Roman"/>
                <w:sz w:val="21"/>
                <w:szCs w:val="21"/>
                <w:lang w:val="zh-CN" w:eastAsia="zh-CN"/>
              </w:rPr>
              <w:t>项目生产过程拉筋布压延工序废气经集气罩收集后经一套两级活性炭吸附装置处理后经1根15m高排气排放，非甲烷总烃排放满足《橡胶制品工业污染物排放标准》（GB27632-2011）表5大气污染物排放限值项目生产过程捏炼、压片废气经集气罩收集后引入布袋除尘器处理后与经集气罩收集的其他生产废气一同引入两级活性炭吸附装置处理后经1根15m高排气简排放项目苯有组织排放满足《工业企业挥发性有机物排放控制标准》（DB13/2322-2016）表1其他企业排放限值非甲烷总烃、颗粒物、甲苯及二甲苯合计有组织排放参照执行《橡胶制品工业污染物排放标准》（GB27632-2011）表5大气污染物排放限值硫化氢、</w:t>
            </w:r>
            <w:r>
              <w:rPr>
                <w:rFonts w:hint="eastAsia" w:ascii="Times New Roman" w:hAnsi="Times New Roman" w:cs="Times New Roman"/>
                <w:sz w:val="21"/>
                <w:szCs w:val="21"/>
                <w:lang w:val="en-US" w:eastAsia="zh-CN"/>
              </w:rPr>
              <w:t>臭</w:t>
            </w:r>
            <w:r>
              <w:rPr>
                <w:rFonts w:hint="eastAsia" w:ascii="Times New Roman" w:hAnsi="Times New Roman" w:eastAsia="宋体" w:cs="Times New Roman"/>
                <w:sz w:val="21"/>
                <w:szCs w:val="21"/>
                <w:lang w:val="zh-CN" w:eastAsia="zh-CN"/>
              </w:rPr>
              <w:t>气浓度有组织排放满足《恶污染物排放标准》（GB14554-93）表2恶奥污染物排放标准值。燃气蒸汽发生器废气经低氮燃烧器后经1根15m高排气排放，颗粒物、二氧化硫、氮氧化物排放浓度满足《锅炉大气污染物排放标准》（DB13/5161-2020）表1标准未经集气罩收集的部分无组织排放，厂界苯满足《工业企业挥发性有机物排放控制标准》（DB13/2322-26）表2企业边界大气污染物浓度限值：厂界甲苯、二甲苯、非甲烷总烃无组织排放满足《工业企业挥发性有机物排放控制标准》（D813/2322-2016）表2企业边界大气污染物浓度限值：厂界硫化氢，臭气浓度满足《臭污染物排放标准》（GB14554-93表1二级新扩改建标准</w:t>
            </w:r>
            <w:r>
              <w:rPr>
                <w:rFonts w:hint="eastAsia" w:ascii="Times New Roman" w:hAnsi="Times New Roman" w:cs="Times New Roman"/>
                <w:sz w:val="21"/>
                <w:szCs w:val="21"/>
                <w:lang w:val="zh-CN" w:eastAsia="zh-CN"/>
              </w:rPr>
              <w:t>。</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废水：本项目设备冷却水循环使用不外排，项目无生产废水排放。厂内生活污水排入化粪池定期清掏，不外排。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生产过程产生的杂质及边角收集后回用布袋除尘器及车间沉降收集的粉尘经收集后回用废机油及废机油桶存于危废间内，定期交有危废处理资质单位处理：废气处理措施产生的废活性炭，收集至专用容器管存于危废间内，定期交有危废处理资质单位处理：厂区职工产生的生活垃圾收集后由环卫部门定期清运处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噪声：噪声主要是生产设备运转时产生的噪声选用低噪声设备、安装减振装置、生产设备合理布局、厂房隔声等措施并经距离衰减后，项目广界声满足工业企业厂界环境噪声排放标准》（B12348-2008）2类标准。</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5" w:name="_Toc26718"/>
      <w:bookmarkStart w:id="196" w:name="_Toc21101"/>
      <w:bookmarkStart w:id="197" w:name="_Toc5137"/>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94"/>
      <w:bookmarkEnd w:id="195"/>
      <w:bookmarkEnd w:id="196"/>
      <w:bookmarkEnd w:id="197"/>
    </w:p>
    <w:p>
      <w:pPr>
        <w:pStyle w:val="6"/>
        <w:rPr>
          <w:rFonts w:hint="default" w:ascii="Times New Roman" w:hAnsi="Times New Roman" w:eastAsia="宋体" w:cs="Times New Roman"/>
        </w:rPr>
      </w:pPr>
      <w:bookmarkStart w:id="198" w:name="_Toc26520"/>
      <w:bookmarkStart w:id="199" w:name="_Toc14578"/>
      <w:bookmarkStart w:id="200" w:name="_Toc21113"/>
      <w:bookmarkStart w:id="201" w:name="_Toc24574"/>
      <w:r>
        <w:rPr>
          <w:rFonts w:hint="default" w:ascii="Times New Roman" w:hAnsi="Times New Roman" w:eastAsia="宋体" w:cs="Times New Roman"/>
        </w:rPr>
        <w:t>5.1污染物排放标准</w:t>
      </w:r>
      <w:bookmarkEnd w:id="198"/>
      <w:bookmarkEnd w:id="199"/>
      <w:bookmarkEnd w:id="200"/>
      <w:bookmarkEnd w:id="201"/>
    </w:p>
    <w:p>
      <w:pPr>
        <w:pStyle w:val="7"/>
        <w:rPr>
          <w:rFonts w:hint="default" w:ascii="Times New Roman" w:hAnsi="Times New Roman" w:eastAsia="宋体" w:cs="Times New Roman"/>
        </w:rPr>
      </w:pPr>
      <w:bookmarkStart w:id="202" w:name="_Toc496979035"/>
      <w:bookmarkStart w:id="203" w:name="_Toc497001474"/>
      <w:bookmarkStart w:id="204" w:name="_Toc23230"/>
      <w:bookmarkStart w:id="205" w:name="_Toc14938"/>
      <w:bookmarkStart w:id="206" w:name="_Toc11116"/>
      <w:bookmarkStart w:id="207" w:name="_Toc8485"/>
      <w:r>
        <w:rPr>
          <w:rFonts w:hint="default" w:ascii="Times New Roman" w:hAnsi="Times New Roman" w:eastAsia="宋体" w:cs="Times New Roman"/>
        </w:rPr>
        <w:t>5.1.1</w:t>
      </w:r>
      <w:bookmarkEnd w:id="202"/>
      <w:bookmarkEnd w:id="203"/>
      <w:r>
        <w:rPr>
          <w:rFonts w:hint="default" w:ascii="Times New Roman" w:hAnsi="Times New Roman" w:eastAsia="宋体" w:cs="Times New Roman"/>
        </w:rPr>
        <w:t>废气</w:t>
      </w:r>
      <w:bookmarkEnd w:id="204"/>
      <w:bookmarkEnd w:id="205"/>
      <w:bookmarkEnd w:id="206"/>
      <w:bookmarkEnd w:id="207"/>
    </w:p>
    <w:p>
      <w:pPr>
        <w:pStyle w:val="7"/>
        <w:ind w:firstLine="480" w:firstLineChars="200"/>
        <w:rPr>
          <w:rFonts w:hint="eastAsia" w:ascii="Times New Roman" w:hAnsi="Times New Roman" w:eastAsia="宋体" w:cs="Times New Roman"/>
          <w:lang w:eastAsia="zh-CN"/>
        </w:rPr>
      </w:pPr>
      <w:bookmarkStart w:id="208" w:name="_Toc15961"/>
      <w:bookmarkStart w:id="209" w:name="_Toc29236"/>
      <w:bookmarkStart w:id="210" w:name="_Toc29912"/>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08"/>
      <w:bookmarkEnd w:id="209"/>
      <w:bookmarkEnd w:id="21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19"/>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44"/>
        <w:gridCol w:w="3018"/>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344"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3018"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14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拉筋布压延工序</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最高允许排放浓度：10mg/m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基准排气量2000m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/t</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《橡胶制品工业污染物排放标准》</w:t>
            </w:r>
          </w:p>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（GB27632-2011）表5和表6排放标准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8" w:hRule="atLeast"/>
          <w:jc w:val="center"/>
        </w:trPr>
        <w:tc>
          <w:tcPr>
            <w:tcW w:w="134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开炼、捏炼、滤胶、压片、压延、组合成型、硫化成型工序</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 xml:space="preserve">颗粒物最高允许排放浓度 </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12mg/m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基准排气量 2000m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/t</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2"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最高允许排放浓度：10mg/m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基准排气量2000m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/t</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0"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甲苯与二甲苯合计最高允许排放浓度：15mg/m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 xml:space="preserve"> </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0"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苯</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最高允许排放浓度：4mg/m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《工业企业挥发性有机物排放控制标准》（DB13/2322-2016）表1有机化工业和表2中其他企业排放浓度限值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0"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硫化氢：排放速率 0.33kg/h</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《恶臭污染物排放标准》（GB14554-93）表2标准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3" w:hRule="atLeast"/>
          <w:jc w:val="center"/>
        </w:trPr>
        <w:tc>
          <w:tcPr>
            <w:tcW w:w="134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cs="Times New Roman"/>
                <w:color w:val="auto"/>
                <w:sz w:val="21"/>
                <w:szCs w:val="21"/>
                <w:lang w:val="en-US"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臭气浓度：2000（无量纲）</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restart"/>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val="en-US" w:eastAsia="zh-CN"/>
              </w:rPr>
              <w:t>燃气蒸汽发生器废气</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烟尘：5mg/m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《锅炉大气污染物排放标准》（DB13/5161-2020）表 1 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SO</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2</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NO</w:t>
            </w:r>
            <w:r>
              <w:rPr>
                <w:rFonts w:hint="eastAsia" w:ascii="Times New Roman" w:hAnsi="Times New Roman" w:cs="Times New Roman"/>
                <w:color w:val="000000" w:themeColor="text1"/>
                <w:spacing w:val="0"/>
                <w:sz w:val="21"/>
                <w:szCs w:val="21"/>
                <w:vertAlign w:val="subscript"/>
                <w:lang w:val="en-US" w:eastAsia="zh-CN"/>
                <w14:textFill>
                  <w14:solidFill>
                    <w14:schemeClr w14:val="tx1"/>
                  </w14:solidFill>
                </w14:textFill>
              </w:rPr>
              <w:t>X</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：50mg/m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烟气黑度（林格曼黑度）≤1</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restart"/>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厂界无组织废气</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颗粒物：厂界无组织排放限值：1.0mg/m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《橡胶制品工业污染物排放标准》（GB27632-2011）表6排放标准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非甲烷总烃：边界限值：2.0mg/m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《工业企业挥发性有机物排放控制标准》（DB13/2322-2016）表2中其他企业边界大气污染物非甲烷总烃浓度限值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非甲烷总烃</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监控点处1h平均浓度值：6mg/m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监控点处任意一次浓度值：20mg/m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《挥发性有机物无组织排放控制标准》</w:t>
            </w:r>
          </w:p>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（GB37822-2019）表A.1 厂区内 VOCs 无组织排放限值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甲苯：边界限值：0.1mg/m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《工业企业挥发性有机物排放控制标准》（DB13/2322-2016）表2中其他企业边界大气污染物非甲烷总烃浓度限值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二甲苯：边界限值：0.6mg/m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苯：边界限值：0.1mg/m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硫化氢：厂界：0.06mg/m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r>
              <w:rPr>
                <w:rFonts w:hint="eastAsia" w:ascii="Times New Roman" w:hAnsi="Times New Roman"/>
                <w:b w:val="0"/>
                <w:bCs/>
                <w:color w:val="auto"/>
                <w:sz w:val="21"/>
                <w:szCs w:val="21"/>
                <w:lang w:val="en-US" w:eastAsia="zh-CN"/>
              </w:rPr>
              <w:t>《恶臭污染物排放标准》（GB14554-93）表1 二级新扩改建标准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vMerge w:val="continue"/>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lang w:eastAsia="zh-CN"/>
              </w:rPr>
            </w:pP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臭气浓度：20（无量纲）</w:t>
            </w:r>
          </w:p>
        </w:tc>
        <w:tc>
          <w:tcPr>
            <w:tcW w:w="414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auto"/>
                <w:sz w:val="21"/>
                <w:szCs w:val="21"/>
                <w:lang w:val="en-US" w:eastAsia="zh-CN"/>
              </w:rPr>
            </w:pPr>
          </w:p>
        </w:tc>
      </w:tr>
    </w:tbl>
    <w:p>
      <w:pPr>
        <w:pStyle w:val="7"/>
        <w:rPr>
          <w:rFonts w:hint="default" w:ascii="Times New Roman" w:hAnsi="Times New Roman" w:eastAsia="宋体" w:cs="Times New Roman"/>
        </w:rPr>
      </w:pPr>
      <w:bookmarkStart w:id="211" w:name="_Toc5747"/>
      <w:bookmarkStart w:id="212" w:name="_Toc12396"/>
      <w:bookmarkStart w:id="213" w:name="_Toc496979037"/>
      <w:bookmarkStart w:id="214" w:name="_Toc27196"/>
      <w:bookmarkStart w:id="215" w:name="_Toc20210"/>
      <w:bookmarkStart w:id="216" w:name="_Toc497001476"/>
      <w:r>
        <w:rPr>
          <w:rFonts w:hint="default" w:ascii="Times New Roman" w:hAnsi="Times New Roman" w:eastAsia="宋体" w:cs="Times New Roman"/>
        </w:rPr>
        <w:t>5.1.2噪声</w:t>
      </w:r>
      <w:bookmarkEnd w:id="211"/>
      <w:bookmarkEnd w:id="212"/>
      <w:bookmarkEnd w:id="213"/>
      <w:bookmarkEnd w:id="214"/>
      <w:bookmarkEnd w:id="215"/>
      <w:bookmarkEnd w:id="216"/>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4"/>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4"/>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17" w:name="_Toc497001478"/>
      <w:bookmarkStart w:id="218" w:name="_Toc16968"/>
      <w:bookmarkStart w:id="219" w:name="_Toc14398"/>
      <w:bookmarkStart w:id="220" w:name="_Toc18932"/>
      <w:bookmarkStart w:id="221" w:name="_Toc26833"/>
      <w:r>
        <w:rPr>
          <w:rFonts w:hint="default" w:ascii="Times New Roman" w:hAnsi="Times New Roman" w:eastAsia="宋体" w:cs="Times New Roman"/>
        </w:rPr>
        <w:t>5.2</w:t>
      </w:r>
      <w:r>
        <w:rPr>
          <w:rFonts w:hint="eastAsia" w:ascii="Times New Roman" w:hAnsi="Times New Roman" w:eastAsia="宋体"/>
        </w:rPr>
        <w:t>总量控制指标</w:t>
      </w:r>
      <w:bookmarkEnd w:id="217"/>
      <w:bookmarkEnd w:id="218"/>
      <w:bookmarkEnd w:id="219"/>
      <w:bookmarkEnd w:id="220"/>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2" w:name="_Toc12999"/>
      <w:bookmarkStart w:id="223" w:name="_Toc15883"/>
      <w:bookmarkStart w:id="224" w:name="_Toc23350"/>
      <w:r>
        <w:rPr>
          <w:rFonts w:hint="default" w:ascii="Times New Roman" w:hAnsi="Times New Roman" w:eastAsia="宋体" w:cs="Times New Roman"/>
        </w:rPr>
        <w:t>6质量保障措施和检测分析方法</w:t>
      </w:r>
      <w:bookmarkEnd w:id="221"/>
      <w:bookmarkEnd w:id="222"/>
      <w:bookmarkEnd w:id="223"/>
      <w:bookmarkEnd w:id="224"/>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2021</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8</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03</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8月4</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5" w:name="_Toc3129"/>
      <w:bookmarkStart w:id="226" w:name="_Toc18061"/>
      <w:bookmarkStart w:id="227" w:name="_Toc11783"/>
      <w:bookmarkStart w:id="228" w:name="_Toc28206"/>
      <w:r>
        <w:rPr>
          <w:rFonts w:hint="default" w:ascii="Times New Roman" w:hAnsi="Times New Roman" w:eastAsia="宋体" w:cs="Times New Roman"/>
        </w:rPr>
        <w:t>6.1质量保障体系</w:t>
      </w:r>
      <w:bookmarkEnd w:id="225"/>
      <w:bookmarkEnd w:id="226"/>
      <w:bookmarkEnd w:id="227"/>
      <w:bookmarkEnd w:id="228"/>
    </w:p>
    <w:p>
      <w:pPr>
        <w:spacing w:line="440" w:lineRule="atLeast"/>
        <w:ind w:firstLine="480" w:firstLineChars="200"/>
        <w:rPr>
          <w:rFonts w:hint="default" w:ascii="Times New Roman" w:hAnsi="Times New Roman" w:eastAsia="宋体" w:cs="Times New Roman"/>
          <w:sz w:val="24"/>
        </w:rPr>
      </w:pPr>
      <w:bookmarkStart w:id="229"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29"/>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0" w:name="_Toc8128"/>
      <w:bookmarkStart w:id="231" w:name="_Toc32733"/>
      <w:bookmarkStart w:id="232" w:name="_Toc3676"/>
      <w:bookmarkStart w:id="233" w:name="_Toc1077"/>
      <w:r>
        <w:rPr>
          <w:rFonts w:hint="default" w:ascii="Times New Roman" w:hAnsi="Times New Roman" w:eastAsia="宋体" w:cs="Times New Roman"/>
        </w:rPr>
        <w:t>6.2检测分析方法</w:t>
      </w:r>
      <w:bookmarkEnd w:id="230"/>
      <w:bookmarkEnd w:id="231"/>
      <w:bookmarkEnd w:id="232"/>
      <w:bookmarkEnd w:id="233"/>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4" w:name="_Toc6111"/>
      <w:bookmarkStart w:id="235" w:name="_Toc4984"/>
      <w:bookmarkStart w:id="236" w:name="_Toc32561"/>
      <w:bookmarkStart w:id="237" w:name="_Toc497001482"/>
      <w:bookmarkStart w:id="238" w:name="_Toc25471"/>
      <w:r>
        <w:rPr>
          <w:rFonts w:hint="default" w:ascii="Times New Roman" w:hAnsi="Times New Roman" w:eastAsia="宋体" w:cs="Times New Roman"/>
        </w:rPr>
        <w:t>6.2.1检测点位、项目及频次</w:t>
      </w:r>
      <w:bookmarkEnd w:id="234"/>
      <w:bookmarkEnd w:id="235"/>
      <w:bookmarkEnd w:id="236"/>
      <w:bookmarkEnd w:id="237"/>
      <w:bookmarkEnd w:id="238"/>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z w:val="21"/>
                <w:szCs w:val="21"/>
                <w:lang w:val="zh-CN" w:eastAsia="zh-CN"/>
              </w:rPr>
            </w:pPr>
            <w:r>
              <w:rPr>
                <w:rFonts w:hint="eastAsia" w:ascii="Times New Roman" w:hAnsi="Times New Roman" w:cs="Times New Roman"/>
                <w:color w:val="auto"/>
                <w:sz w:val="21"/>
                <w:szCs w:val="21"/>
                <w:lang w:val="zh-CN" w:eastAsia="zh-CN"/>
              </w:rPr>
              <w:t>拉筋布压延工序二级活性炭吸附箱进、出口</w:t>
            </w:r>
          </w:p>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（排气筒：15m）</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（以碳计）</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 xml:space="preserve">开炼、捏炼、滤胶、压片、压延、组合成型、硫化成型工序布袋除尘器+二级活性炭吸附 </w:t>
            </w:r>
          </w:p>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箱进、出口（排气筒：15m）</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val="en-US" w:eastAsia="zh-CN"/>
              </w:rPr>
              <w:t>颗粒物、非甲烷总烃（以碳计）、苯、甲苯、二甲苯、硫化氢、臭气浓度</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上风向 1 个参照点</w:t>
            </w:r>
          </w:p>
        </w:tc>
        <w:tc>
          <w:tcPr>
            <w:tcW w:w="1995" w:type="dxa"/>
            <w:vMerge w:val="restart"/>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颗粒物、非甲烷总烃（以碳计）苯、甲苯、二甲苯、硫化氢、臭气浓度</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下风向 3 个监控点</w:t>
            </w:r>
          </w:p>
        </w:tc>
        <w:tc>
          <w:tcPr>
            <w:tcW w:w="1995" w:type="dxa"/>
            <w:vMerge w:val="continue"/>
            <w:vAlign w:val="center"/>
          </w:tcPr>
          <w:p>
            <w:pPr>
              <w:ind w:right="139" w:rightChars="66"/>
              <w:jc w:val="center"/>
              <w:rPr>
                <w:rFonts w:hint="eastAsia" w:ascii="Times New Roman" w:hAnsi="Times New Roman" w:cs="Times New Roman"/>
                <w:color w:val="auto"/>
                <w:sz w:val="21"/>
                <w:szCs w:val="21"/>
                <w:lang w:val="en-US" w:eastAsia="zh-CN"/>
              </w:rPr>
            </w:pP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pacing w:val="0"/>
                <w:sz w:val="21"/>
                <w:szCs w:val="21"/>
                <w:lang w:val="en-US" w:eastAsia="zh-CN"/>
              </w:rPr>
              <w:t>生产车间门口外 1m</w:t>
            </w:r>
          </w:p>
        </w:tc>
        <w:tc>
          <w:tcPr>
            <w:tcW w:w="1995" w:type="dxa"/>
            <w:vAlign w:val="center"/>
          </w:tcPr>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非甲烷总烃</w:t>
            </w:r>
          </w:p>
          <w:p>
            <w:pPr>
              <w:ind w:right="139" w:rightChars="66"/>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（以碳计）</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w:t>
            </w:r>
            <w:r>
              <w:rPr>
                <w:rFonts w:hint="eastAsia" w:ascii="Times New Roman" w:hAnsi="Times New Roman" w:cs="Times New Roman"/>
                <w:color w:val="auto"/>
                <w:kern w:val="0"/>
                <w:sz w:val="21"/>
                <w:szCs w:val="21"/>
                <w:lang w:val="en-US" w:eastAsia="zh-CN"/>
              </w:rPr>
              <w:t>4</w:t>
            </w:r>
            <w:r>
              <w:rPr>
                <w:rFonts w:hint="eastAsia" w:ascii="Times New Roman" w:hAnsi="Times New Roman" w:eastAsia="宋体" w:cs="Times New Roman"/>
                <w:color w:val="auto"/>
                <w:kern w:val="0"/>
                <w:sz w:val="21"/>
                <w:szCs w:val="21"/>
                <w:lang w:val="en-US" w:eastAsia="zh-CN"/>
              </w:rPr>
              <w:t>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19"/>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r>
              <w:rPr>
                <w:rFonts w:hint="eastAsia" w:ascii="Times New Roman" w:hAnsi="Times New Roman" w:cs="Times New Roman"/>
                <w:lang w:val="en-US" w:eastAsia="zh-CN"/>
              </w:rPr>
              <w:t>敏感点（1个点位）</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w:t>
            </w:r>
            <w:r>
              <w:rPr>
                <w:rFonts w:hint="default" w:ascii="Times New Roman" w:hAnsi="Times New Roman" w:eastAsia="宋体" w:cs="Times New Roman"/>
                <w:kern w:val="0"/>
                <w:szCs w:val="21"/>
              </w:rPr>
              <w:t>检测1次</w:t>
            </w:r>
          </w:p>
        </w:tc>
      </w:tr>
    </w:tbl>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9" w:name="_Toc26262"/>
      <w:bookmarkStart w:id="240" w:name="_Toc8755"/>
      <w:bookmarkStart w:id="241" w:name="_Toc17272"/>
      <w:bookmarkStart w:id="242" w:name="_Toc497001483"/>
      <w:bookmarkStart w:id="243" w:name="_Toc20260"/>
      <w:r>
        <w:rPr>
          <w:rFonts w:hint="default" w:ascii="Times New Roman" w:hAnsi="Times New Roman" w:eastAsia="宋体" w:cs="Times New Roman"/>
        </w:rPr>
        <w:t>6.2.2检测分析方法</w:t>
      </w:r>
      <w:bookmarkEnd w:id="239"/>
      <w:bookmarkEnd w:id="240"/>
      <w:bookmarkEnd w:id="241"/>
      <w:bookmarkEnd w:id="242"/>
      <w:bookmarkEnd w:id="243"/>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《固定污染源排气中颗粒物测定与气态污染物采样方法》GB/T 16157-1996 及修改单</w:t>
            </w:r>
          </w:p>
        </w:tc>
        <w:tc>
          <w:tcPr>
            <w:tcW w:w="12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 xml:space="preserve">YQC009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default" w:cstheme="minorEastAsia"/>
                <w:i w:val="0"/>
                <w:color w:val="000000"/>
                <w:kern w:val="0"/>
                <w:sz w:val="21"/>
                <w:szCs w:val="21"/>
                <w:u w:val="none"/>
                <w:lang w:val="en-US" w:eastAsia="zh-CN" w:bidi="ar"/>
              </w:rPr>
              <w:t>BSA124S 电子天平/YQA020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低浓度颗粒物 的测定 重量法》HJ 836-2017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1.0mg/m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型自动烟尘（气）测试仪YQC009/010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ME155DU/02 电子天平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YQA021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二氧化硫</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二氧化硫的测 定 定电位电解法》HJ 57-2017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3mg/m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YQC010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氮氧化物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 氮氧化物的测 定 定电位电解法》HJ 693-2014</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3mg/m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3012H 型自动烟尘（气）测试仪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YQC010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 xml:space="preserve">非甲烷总烃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（以碳计）</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《固定污染源废气总烃、甲烷和非甲烷总烃的测定 气相色谱法》HJ 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LB-8L 真空箱气袋采样器YQB033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 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苯、甲苯、二甲苯</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《环境空气苯系物的测定活性炭吸附二硫化碳解吸-气相色谱法》HJ584-2010</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1.5×10</w:t>
            </w:r>
            <w:r>
              <w:rPr>
                <w:rFonts w:hint="eastAsia" w:ascii="Times New Roman" w:hAnsi="Times New Roman" w:cs="Times New Roman"/>
                <w:spacing w:val="0"/>
                <w:sz w:val="21"/>
                <w:szCs w:val="21"/>
                <w:vertAlign w:val="superscript"/>
                <w:lang w:val="en-US" w:eastAsia="zh-CN"/>
              </w:rPr>
              <w:t>-3</w:t>
            </w:r>
            <w:r>
              <w:rPr>
                <w:rFonts w:hint="eastAsia" w:ascii="Times New Roman" w:hAnsi="Times New Roman" w:cs="Times New Roman"/>
                <w:spacing w:val="0"/>
                <w:sz w:val="21"/>
                <w:szCs w:val="21"/>
                <w:lang w:val="en-US" w:eastAsia="zh-CN"/>
              </w:rPr>
              <w:t>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LB-8L真空箱气袋采样器YQB033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硫化氢</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《空气和废气监测分析方法》（第四版增补版）5.4.10.3 亚甲蓝分光光度法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MH3001型全自动烟气采样器YQC032</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臭气浓度</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《环境空气恶臭的测定三点比较式臭袋法》GB/T14675-1993</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CQ-01污染源采样器YQB037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 xml:space="preserve">非甲烷总烃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（以碳计）</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 xml:space="preserve">《环境空气 总烃、甲烷和非甲烷总 烃的测定 直接进样-气相色谱法》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HJ 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LB-8L 真空箱气袋采样器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 xml:space="preserve">YQB034 </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 气相色谱仪/YQA048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苯、甲苯、二甲苯</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《环境空气苯系物的测定活性炭吸附二硫化碳解吸-气相色谱法》HJ584-2010</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1.5×10</w:t>
            </w:r>
            <w:r>
              <w:rPr>
                <w:rFonts w:hint="eastAsia" w:ascii="Times New Roman" w:hAnsi="Times New Roman" w:cs="Times New Roman"/>
                <w:spacing w:val="0"/>
                <w:sz w:val="21"/>
                <w:szCs w:val="21"/>
                <w:vertAlign w:val="superscript"/>
                <w:lang w:val="en-US" w:eastAsia="zh-CN"/>
              </w:rPr>
              <w:t>-3</w:t>
            </w:r>
            <w:r>
              <w:rPr>
                <w:rFonts w:hint="eastAsia" w:ascii="Times New Roman" w:hAnsi="Times New Roman" w:cs="Times New Roman"/>
                <w:spacing w:val="0"/>
                <w:sz w:val="21"/>
                <w:szCs w:val="21"/>
                <w:lang w:val="en-US" w:eastAsia="zh-CN"/>
              </w:rPr>
              <w:t>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GC9790气相色谱仪YQA017/053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颗粒物</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《环境空气总悬浮颗粒物的测定重量法》GB/T15432-1995及修改单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ME155DU/02电子天平YQA021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臭气浓度</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 恶臭的测定三点比较 式臭袋法》GB/T 14675-1993</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cstheme="minorEastAsia"/>
                <w:i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olor w:val="000000" w:themeColor="text1"/>
                <w:spacing w:val="0"/>
                <w:sz w:val="21"/>
                <w:szCs w:val="21"/>
                <w:lang w:val="en-US" w:eastAsia="zh-CN"/>
                <w14:textFill>
                  <w14:solidFill>
                    <w14:schemeClr w14:val="tx1"/>
                  </w14:solidFill>
                </w14:textFill>
              </w:rPr>
            </w:pPr>
            <w:r>
              <w:rPr>
                <w:rFonts w:hint="eastAsia"/>
                <w:color w:val="000000" w:themeColor="text1"/>
                <w:spacing w:val="0"/>
                <w:sz w:val="21"/>
                <w:szCs w:val="21"/>
                <w:lang w:val="en-US" w:eastAsia="zh-CN"/>
                <w14:textFill>
                  <w14:solidFill>
                    <w14:schemeClr w14:val="tx1"/>
                  </w14:solidFill>
                </w14:textFill>
              </w:rPr>
              <w:t>硫化氢</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《空气和废气监测分析方法》（第四版增补版）3.1.11.2亚甲基蓝分光光度法</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eastAsia" w:ascii="Times New Roman" w:hAnsi="Times New Roman" w:cs="Times New Roman"/>
                <w:spacing w:val="0"/>
                <w:sz w:val="21"/>
                <w:szCs w:val="21"/>
                <w:lang w:val="en-US" w:eastAsia="zh-CN"/>
              </w:rPr>
            </w:pPr>
            <w:r>
              <w:rPr>
                <w:rFonts w:hint="eastAsia" w:ascii="Times New Roman" w:hAnsi="Times New Roman" w:cs="Times New Roman"/>
                <w:spacing w:val="0"/>
                <w:sz w:val="21"/>
                <w:szCs w:val="21"/>
                <w:lang w:val="en-US" w:eastAsia="zh-CN"/>
              </w:rPr>
              <w:t>0.001mg/m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MH120型全自动大气/颗粒物采样器/YQC038/039/040/041</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eastAsia="宋体" w:cstheme="minorEastAsia"/>
                <w:i w:val="0"/>
                <w:color w:val="000000"/>
                <w:kern w:val="0"/>
                <w:sz w:val="21"/>
                <w:szCs w:val="21"/>
                <w:u w:val="none"/>
                <w:lang w:val="en-US" w:eastAsia="zh-CN" w:bidi="ar"/>
              </w:rPr>
              <w:t>T6新世纪紫外可见分光光度计YQA012</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6" w:hRule="atLeast"/>
          <w:jc w:val="center"/>
        </w:trPr>
        <w:tc>
          <w:tcPr>
            <w:tcW w:w="1133" w:type="dxa"/>
            <w:vMerge w:val="restart"/>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AWA5688多功能声级计/YQC0</w:t>
            </w:r>
            <w:r>
              <w:rPr>
                <w:rFonts w:hint="eastAsia" w:ascii="Times New Roman" w:hAnsi="Times New Roman"/>
                <w:sz w:val="21"/>
                <w:szCs w:val="21"/>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6" w:hRule="atLeast"/>
          <w:jc w:val="center"/>
        </w:trPr>
        <w:tc>
          <w:tcPr>
            <w:tcW w:w="1133" w:type="dxa"/>
            <w:vMerge w:val="continue"/>
            <w:tcBorders>
              <w:tl2br w:val="nil"/>
              <w:tr2bl w:val="nil"/>
            </w:tcBorders>
            <w:vAlign w:val="center"/>
          </w:tcPr>
          <w:p>
            <w:pPr>
              <w:snapToGrid w:val="0"/>
              <w:jc w:val="center"/>
              <w:rPr>
                <w:rFonts w:hint="eastAsia" w:ascii="Times New Roman" w:hAnsi="Times New Roman" w:eastAsia="宋体"/>
                <w:sz w:val="21"/>
                <w:szCs w:val="21"/>
              </w:rPr>
            </w:pP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《声环境质量标准》</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GB3096-2008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sz w:val="21"/>
                <w:szCs w:val="21"/>
                <w:lang w:val="en-US" w:eastAsia="zh-CN"/>
              </w:rPr>
            </w:pPr>
            <w:r>
              <w:rPr>
                <w:rFonts w:hint="eastAsia" w:ascii="Times New Roman" w:hAnsi="Times New Roman"/>
                <w:sz w:val="21"/>
                <w:szCs w:val="21"/>
                <w:lang w:val="zh-CN" w:eastAsia="zh-CN"/>
              </w:rPr>
              <w:t>AWA5688多功能声级计/YQC0</w:t>
            </w:r>
            <w:r>
              <w:rPr>
                <w:rFonts w:hint="eastAsia" w:ascii="Times New Roman" w:hAnsi="Times New Roman"/>
                <w:sz w:val="21"/>
                <w:szCs w:val="21"/>
                <w:lang w:val="en-US" w:eastAsia="zh-CN"/>
              </w:rPr>
              <w:t>53</w:t>
            </w:r>
          </w:p>
        </w:tc>
      </w:tr>
    </w:tbl>
    <w:p>
      <w:pPr>
        <w:pStyle w:val="7"/>
        <w:spacing w:beforeLines="50" w:afterLines="50"/>
        <w:rPr>
          <w:rFonts w:hint="default" w:ascii="Times New Roman" w:hAnsi="Times New Roman" w:eastAsia="宋体" w:cs="Times New Roman"/>
        </w:rPr>
      </w:pPr>
      <w:bookmarkStart w:id="244" w:name="_Toc19386"/>
      <w:bookmarkStart w:id="245" w:name="_Toc29080"/>
      <w:bookmarkStart w:id="246" w:name="_Toc28512"/>
      <w:bookmarkStart w:id="247" w:name="_Toc12330"/>
      <w:r>
        <w:rPr>
          <w:rFonts w:hint="default" w:ascii="Times New Roman" w:hAnsi="Times New Roman" w:eastAsia="宋体" w:cs="Times New Roman"/>
        </w:rPr>
        <w:t>6.2.3检测点位示意图</w:t>
      </w:r>
      <w:bookmarkEnd w:id="244"/>
      <w:bookmarkEnd w:id="245"/>
      <w:bookmarkEnd w:id="246"/>
      <w:bookmarkEnd w:id="247"/>
    </w:p>
    <w:p>
      <w:pPr>
        <w:pStyle w:val="5"/>
        <w:spacing w:line="440" w:lineRule="atLeast"/>
        <w:rPr>
          <w:rFonts w:hint="default" w:ascii="Times New Roman" w:hAnsi="Times New Roman" w:eastAsia="宋体" w:cs="Times New Roman"/>
        </w:rPr>
      </w:pPr>
      <w:bookmarkStart w:id="248" w:name="_Toc4189"/>
      <w:r>
        <w:rPr>
          <w:rFonts w:hint="default" w:ascii="Times New Roman" w:hAnsi="Times New Roman" w:eastAsia="宋体" w:cs="Times New Roman"/>
        </w:rPr>
        <w:drawing>
          <wp:inline distT="0" distB="0" distL="114300" distR="114300">
            <wp:extent cx="4664075" cy="4276090"/>
            <wp:effectExtent l="0" t="0" r="3175" b="1016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3"/>
                    <a:stretch>
                      <a:fillRect/>
                    </a:stretch>
                  </pic:blipFill>
                  <pic:spPr>
                    <a:xfrm>
                      <a:off x="0" y="0"/>
                      <a:ext cx="4664075" cy="4276090"/>
                    </a:xfrm>
                    <a:prstGeom prst="rect">
                      <a:avLst/>
                    </a:prstGeom>
                    <a:noFill/>
                    <a:ln>
                      <a:noFill/>
                    </a:ln>
                  </pic:spPr>
                </pic:pic>
              </a:graphicData>
            </a:graphic>
          </wp:inline>
        </w:drawing>
      </w:r>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49" w:name="_Toc22345"/>
      <w:bookmarkStart w:id="250" w:name="_Toc19136"/>
      <w:bookmarkStart w:id="251" w:name="_Toc2862"/>
      <w:r>
        <w:rPr>
          <w:rFonts w:hint="default" w:ascii="Times New Roman" w:hAnsi="Times New Roman" w:eastAsia="宋体" w:cs="Times New Roman"/>
        </w:rPr>
        <w:t>7验收检测结果及分析</w:t>
      </w:r>
      <w:bookmarkEnd w:id="248"/>
      <w:bookmarkEnd w:id="249"/>
      <w:bookmarkEnd w:id="250"/>
      <w:bookmarkEnd w:id="251"/>
    </w:p>
    <w:p>
      <w:pPr>
        <w:pStyle w:val="6"/>
        <w:spacing w:line="440" w:lineRule="atLeast"/>
        <w:rPr>
          <w:rFonts w:hint="default" w:ascii="Times New Roman" w:hAnsi="Times New Roman" w:eastAsia="宋体" w:cs="Times New Roman"/>
        </w:rPr>
      </w:pPr>
      <w:bookmarkStart w:id="252" w:name="_Toc10665"/>
      <w:bookmarkStart w:id="253" w:name="_Toc20500"/>
      <w:bookmarkStart w:id="254" w:name="_Toc11364"/>
      <w:bookmarkStart w:id="255" w:name="_Toc32720"/>
      <w:r>
        <w:rPr>
          <w:rFonts w:hint="default" w:ascii="Times New Roman" w:hAnsi="Times New Roman" w:eastAsia="宋体" w:cs="Times New Roman"/>
        </w:rPr>
        <w:t>7.1检测结果</w:t>
      </w:r>
      <w:bookmarkEnd w:id="252"/>
      <w:bookmarkEnd w:id="253"/>
      <w:bookmarkEnd w:id="254"/>
      <w:bookmarkEnd w:id="255"/>
    </w:p>
    <w:p>
      <w:pPr>
        <w:pStyle w:val="7"/>
        <w:rPr>
          <w:rFonts w:hint="default" w:ascii="Times New Roman" w:hAnsi="Times New Roman" w:eastAsia="宋体" w:cs="Times New Roman"/>
        </w:rPr>
      </w:pPr>
      <w:bookmarkStart w:id="256" w:name="_Toc32125"/>
      <w:bookmarkStart w:id="257" w:name="_Toc19935"/>
      <w:bookmarkStart w:id="258" w:name="_Toc3464"/>
      <w:bookmarkStart w:id="259" w:name="_Toc6032"/>
      <w:bookmarkStart w:id="260" w:name="_Toc497001488"/>
      <w:r>
        <w:rPr>
          <w:rFonts w:hint="default" w:ascii="Times New Roman" w:hAnsi="Times New Roman" w:eastAsia="宋体" w:cs="Times New Roman"/>
        </w:rPr>
        <w:t>7.1.1废气检测结果</w:t>
      </w:r>
      <w:bookmarkEnd w:id="256"/>
      <w:bookmarkEnd w:id="257"/>
      <w:bookmarkEnd w:id="258"/>
      <w:bookmarkEnd w:id="259"/>
      <w:bookmarkEnd w:id="260"/>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drawing>
          <wp:inline distT="0" distB="0" distL="114300" distR="114300">
            <wp:extent cx="5100955" cy="2301240"/>
            <wp:effectExtent l="0" t="0" r="4445" b="381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4"/>
                    <a:stretch>
                      <a:fillRect/>
                    </a:stretch>
                  </pic:blipFill>
                  <pic:spPr>
                    <a:xfrm>
                      <a:off x="0" y="0"/>
                      <a:ext cx="5100955" cy="230124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190490" cy="6916420"/>
            <wp:effectExtent l="0" t="0" r="10160" b="1778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5"/>
                    <a:stretch>
                      <a:fillRect/>
                    </a:stretch>
                  </pic:blipFill>
                  <pic:spPr>
                    <a:xfrm>
                      <a:off x="0" y="0"/>
                      <a:ext cx="5190490" cy="691642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302885" cy="6933565"/>
            <wp:effectExtent l="0" t="0" r="12065" b="63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6"/>
                    <a:stretch>
                      <a:fillRect/>
                    </a:stretch>
                  </pic:blipFill>
                  <pic:spPr>
                    <a:xfrm>
                      <a:off x="0" y="0"/>
                      <a:ext cx="5302885" cy="6933565"/>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281295" cy="6936740"/>
            <wp:effectExtent l="0" t="0" r="14605" b="1651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7"/>
                    <a:stretch>
                      <a:fillRect/>
                    </a:stretch>
                  </pic:blipFill>
                  <pic:spPr>
                    <a:xfrm>
                      <a:off x="0" y="0"/>
                      <a:ext cx="5281295" cy="693674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396865" cy="7192645"/>
            <wp:effectExtent l="0" t="0" r="13335" b="825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8"/>
                    <a:stretch>
                      <a:fillRect/>
                    </a:stretch>
                  </pic:blipFill>
                  <pic:spPr>
                    <a:xfrm>
                      <a:off x="0" y="0"/>
                      <a:ext cx="5396865" cy="7192645"/>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211445" cy="6791960"/>
            <wp:effectExtent l="0" t="0" r="8255" b="889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9"/>
                    <a:stretch>
                      <a:fillRect/>
                    </a:stretch>
                  </pic:blipFill>
                  <pic:spPr>
                    <a:xfrm>
                      <a:off x="0" y="0"/>
                      <a:ext cx="5211445" cy="6791960"/>
                    </a:xfrm>
                    <a:prstGeom prst="rect">
                      <a:avLst/>
                    </a:prstGeom>
                    <a:noFill/>
                    <a:ln>
                      <a:noFill/>
                    </a:ln>
                  </pic:spPr>
                </pic:pic>
              </a:graphicData>
            </a:graphic>
          </wp:inline>
        </w:drawing>
      </w:r>
      <w:r>
        <w:rPr>
          <w:rFonts w:hint="default" w:ascii="Times New Roman" w:hAnsi="Times New Roman" w:eastAsia="宋体" w:cs="Times New Roman"/>
          <w:b/>
          <w:sz w:val="24"/>
          <w:szCs w:val="24"/>
        </w:rPr>
        <w:drawing>
          <wp:inline distT="0" distB="0" distL="114300" distR="114300">
            <wp:extent cx="5233670" cy="4378960"/>
            <wp:effectExtent l="0" t="0" r="5080" b="254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20"/>
                    <a:stretch>
                      <a:fillRect/>
                    </a:stretch>
                  </pic:blipFill>
                  <pic:spPr>
                    <a:xfrm>
                      <a:off x="0" y="0"/>
                      <a:ext cx="5233670" cy="4378960"/>
                    </a:xfrm>
                    <a:prstGeom prst="rect">
                      <a:avLst/>
                    </a:prstGeom>
                    <a:noFill/>
                    <a:ln>
                      <a:noFill/>
                    </a:ln>
                  </pic:spPr>
                </pic:pic>
              </a:graphicData>
            </a:graphic>
          </wp:inline>
        </w:drawing>
      </w:r>
    </w:p>
    <w:p>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61" w:name="_Toc497001489"/>
      <w:bookmarkStart w:id="262" w:name="_Toc8796"/>
      <w:bookmarkStart w:id="263" w:name="_Toc7541"/>
      <w:bookmarkStart w:id="264" w:name="_Toc3240"/>
      <w:bookmarkStart w:id="265" w:name="_Toc6567"/>
      <w:r>
        <w:drawing>
          <wp:inline distT="0" distB="0" distL="114300" distR="114300">
            <wp:extent cx="5222875" cy="2287905"/>
            <wp:effectExtent l="0" t="0" r="15875" b="17145"/>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21"/>
                    <a:stretch>
                      <a:fillRect/>
                    </a:stretch>
                  </pic:blipFill>
                  <pic:spPr>
                    <a:xfrm>
                      <a:off x="0" y="0"/>
                      <a:ext cx="5222875" cy="2287905"/>
                    </a:xfrm>
                    <a:prstGeom prst="rect">
                      <a:avLst/>
                    </a:prstGeom>
                    <a:noFill/>
                    <a:ln>
                      <a:noFill/>
                    </a:ln>
                  </pic:spPr>
                </pic:pic>
              </a:graphicData>
            </a:graphic>
          </wp:inline>
        </w:drawing>
      </w:r>
      <w:r>
        <w:drawing>
          <wp:inline distT="0" distB="0" distL="114300" distR="114300">
            <wp:extent cx="5360670" cy="7104380"/>
            <wp:effectExtent l="0" t="0" r="11430" b="127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22"/>
                    <a:stretch>
                      <a:fillRect/>
                    </a:stretch>
                  </pic:blipFill>
                  <pic:spPr>
                    <a:xfrm>
                      <a:off x="0" y="0"/>
                      <a:ext cx="5360670" cy="7104380"/>
                    </a:xfrm>
                    <a:prstGeom prst="rect">
                      <a:avLst/>
                    </a:prstGeom>
                    <a:noFill/>
                    <a:ln>
                      <a:noFill/>
                    </a:ln>
                  </pic:spPr>
                </pic:pic>
              </a:graphicData>
            </a:graphic>
          </wp:inline>
        </w:drawing>
      </w:r>
      <w:r>
        <w:drawing>
          <wp:inline distT="0" distB="0" distL="114300" distR="114300">
            <wp:extent cx="5209540" cy="4933315"/>
            <wp:effectExtent l="0" t="0" r="10160" b="635"/>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23"/>
                    <a:stretch>
                      <a:fillRect/>
                    </a:stretch>
                  </pic:blipFill>
                  <pic:spPr>
                    <a:xfrm>
                      <a:off x="0" y="0"/>
                      <a:ext cx="5209540" cy="4933315"/>
                    </a:xfrm>
                    <a:prstGeom prst="rect">
                      <a:avLst/>
                    </a:prstGeom>
                    <a:noFill/>
                    <a:ln>
                      <a:noFill/>
                    </a:ln>
                  </pic:spPr>
                </pic:pic>
              </a:graphicData>
            </a:graphic>
          </wp:inline>
        </w:drawing>
      </w:r>
    </w:p>
    <w:p>
      <w:pPr>
        <w:pStyle w:val="7"/>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61"/>
      <w:bookmarkEnd w:id="262"/>
      <w:bookmarkEnd w:id="263"/>
      <w:bookmarkEnd w:id="264"/>
      <w:bookmarkEnd w:id="265"/>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6" w:name="_Toc5560"/>
      <w:bookmarkStart w:id="267" w:name="_Toc26119"/>
      <w:bookmarkStart w:id="268" w:name="_Toc21685"/>
      <w:bookmarkStart w:id="269" w:name="_Toc5375"/>
      <w:r>
        <w:rPr>
          <w:rFonts w:hint="eastAsia" w:ascii="Times New Roman" w:hAnsi="Times New Roman" w:cs="Times New Roman"/>
          <w:b/>
          <w:sz w:val="24"/>
          <w:szCs w:val="24"/>
          <w:lang w:val="en-US" w:eastAsia="zh-CN"/>
        </w:rPr>
        <w:t>单位：dB（A）</w:t>
      </w:r>
      <w:r>
        <w:rPr>
          <w:rFonts w:hint="eastAsia" w:ascii="Times New Roman" w:hAnsi="Times New Roman" w:cs="Times New Roman"/>
          <w:b/>
          <w:sz w:val="24"/>
          <w:szCs w:val="24"/>
          <w:lang w:val="en-US" w:eastAsia="zh-CN"/>
        </w:rPr>
        <w:drawing>
          <wp:inline distT="0" distB="0" distL="114300" distR="114300">
            <wp:extent cx="5267325" cy="1759585"/>
            <wp:effectExtent l="0" t="0" r="9525" b="1206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24"/>
                    <a:stretch>
                      <a:fillRect/>
                    </a:stretch>
                  </pic:blipFill>
                  <pic:spPr>
                    <a:xfrm>
                      <a:off x="0" y="0"/>
                      <a:ext cx="5267325" cy="1759585"/>
                    </a:xfrm>
                    <a:prstGeom prst="rect">
                      <a:avLst/>
                    </a:prstGeom>
                    <a:noFill/>
                    <a:ln>
                      <a:noFill/>
                    </a:ln>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6"/>
      <w:bookmarkEnd w:id="267"/>
      <w:bookmarkEnd w:id="268"/>
      <w:bookmarkEnd w:id="269"/>
    </w:p>
    <w:p>
      <w:pPr>
        <w:pStyle w:val="7"/>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70" w:name="_Toc9795"/>
      <w:bookmarkStart w:id="271" w:name="_Toc497001493"/>
      <w:bookmarkStart w:id="272" w:name="_Toc30843"/>
      <w:bookmarkStart w:id="273" w:name="_Toc3228"/>
      <w:bookmarkStart w:id="274" w:name="_Toc31512"/>
      <w:r>
        <w:rPr>
          <w:rFonts w:hint="default" w:ascii="Times New Roman" w:hAnsi="Times New Roman" w:eastAsia="宋体" w:cs="Times New Roman"/>
        </w:rPr>
        <w:t>7.2.1废气检测结果</w:t>
      </w:r>
      <w:bookmarkEnd w:id="270"/>
      <w:bookmarkEnd w:id="271"/>
      <w:bookmarkEnd w:id="272"/>
      <w:bookmarkEnd w:id="273"/>
      <w:bookmarkEnd w:id="274"/>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bookmarkStart w:id="275" w:name="_Toc4679"/>
      <w:bookmarkStart w:id="276" w:name="_Toc503884785"/>
      <w:bookmarkStart w:id="277" w:name="_Toc19340"/>
      <w:bookmarkStart w:id="278" w:name="_Toc3266"/>
      <w:r>
        <w:rPr>
          <w:rFonts w:hint="eastAsia" w:ascii="Times New Roman" w:hAnsi="Times New Roman" w:cs="Times New Roman"/>
          <w:color w:val="auto"/>
          <w:spacing w:val="0"/>
          <w:sz w:val="24"/>
          <w:szCs w:val="24"/>
          <w:lang w:val="en-US" w:eastAsia="zh-CN"/>
        </w:rPr>
        <w:t>该项目拉筋布压延工序排气筒（P1）非甲烷总烃折算浓度最大值为9.39mg/m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，满足《橡胶制品工业污染物排放标准》（GB27632-2011）表5排放标准；开炼、捏炼、滤胶、压片、压延、组合成型、硫化成型工序排气筒（P2）颗粒物折算浓度最大值为7.3mg/m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，非甲烷总烃折算浓度最大值为9.01mg/m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，甲苯与二甲苯合计排放浓度最大值为0.399mg/m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，均满足《橡胶制品工业污染物排放标准》（GB27632-2011）表5排放标准；苯排放浓度最大值为0.0808mg/m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 13/2322-2016）表1中有机化工业标准要求；硫化氢排放速率最大值为6.71×10</w:t>
      </w:r>
      <w:r>
        <w:rPr>
          <w:rFonts w:hint="eastAsia" w:ascii="Times New Roman" w:hAnsi="Times New Roman" w:cs="Times New Roman"/>
          <w:color w:val="auto"/>
          <w:spacing w:val="0"/>
          <w:sz w:val="24"/>
          <w:szCs w:val="24"/>
          <w:vertAlign w:val="superscript"/>
          <w:lang w:val="en-US" w:eastAsia="zh-CN"/>
        </w:rPr>
        <w:t>-4</w:t>
      </w:r>
      <w:r>
        <w:rPr>
          <w:rFonts w:hint="eastAsia" w:ascii="Times New Roman" w:hAnsi="Times New Roman" w:cs="Times New Roman"/>
          <w:color w:val="auto"/>
          <w:spacing w:val="0"/>
          <w:sz w:val="24"/>
          <w:szCs w:val="24"/>
          <w:lang w:val="en-US" w:eastAsia="zh-CN"/>
        </w:rPr>
        <w:t>kg/h；臭气浓度排放浓度最大值为1737；均满足《恶臭污染物排放标准》（GB14554-93）表2标准；燃气蒸汽发生器（25%）排气筒出口颗粒物折算浓度最大值为3.1mg/m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，二氧化硫折算浓度最大值为7mg/m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，氮氧化物折算浓度最大值为29mg/m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，燃气蒸汽发生器（50%）排气筒出口颗粒物折算浓度最大值为3.2mg/m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，二氧化硫折算浓度最大值为8mg/m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，氮氧化物折算浓度最大值为33mg/m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，燃气蒸汽发生器（80%）排气筒出口颗粒物折算浓度最大值为3.2mg/m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，二氧化硫折算浓度最大值为7mg/m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，氮氧化物折算浓度最大值为31mg/m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，均满足《锅炉大气污染物排放标准》（DB 13/5161-2020）表1特别排放标准限值要求；无组织颗粒物排放浓度最大值为0.388mg/m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，满足《橡胶制品工业污染物排放标准》（GB27632-2011）表6排放标准要求；苯、甲苯、二甲苯未检出，非甲烷总烃排放浓度最大值为1.04mg/m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，均满足《工业企业挥发性有机物排放控制标准》（DB 13/2322-2016）表2排放标准要求；硫化氢排放浓度最大值为0.003mg/m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，臭气浓度＜10（无量纲），满足《恶臭污染物排放标准》20（GB14554-1993）表1中二级新扩改建标准要求；厂区内无组织非甲烷总烃排放浓度最大值为1.53mg/m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，满足《挥发性有机物无组织排放控制标准》（GB 37822-2019）附录A中表A.1特别排放限值要求。</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7.2.2噪声检测结果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企业夜间不生产，厂界四周昼间噪声范围值为54.0~57.3dB（A），符合《工业企业厂界环境噪声排放标准》（GB 12348-2008）表1中2类标准要求；敏感点后塘村昼间噪声范围值为51.9~52.2dB（A），符合《声环境质量标准》（GB 3096-2008）表1中2类标准。</w:t>
      </w:r>
    </w:p>
    <w:p>
      <w:pPr>
        <w:pStyle w:val="6"/>
        <w:rPr>
          <w:rFonts w:hint="default" w:ascii="Times New Roman" w:hAnsi="Times New Roman" w:eastAsia="宋体" w:cs="Times New Roman"/>
        </w:rPr>
      </w:pPr>
      <w:bookmarkStart w:id="279" w:name="_Toc2782"/>
      <w:r>
        <w:rPr>
          <w:rFonts w:hint="default" w:ascii="Times New Roman" w:hAnsi="Times New Roman" w:eastAsia="宋体" w:cs="Times New Roman"/>
        </w:rPr>
        <w:t>7.3总量控制要求</w:t>
      </w:r>
      <w:bookmarkEnd w:id="275"/>
      <w:bookmarkEnd w:id="276"/>
      <w:bookmarkEnd w:id="277"/>
      <w:bookmarkEnd w:id="27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s="Times New Roman"/>
          <w:sz w:val="24"/>
          <w:szCs w:val="24"/>
          <w:highlight w:val="none"/>
          <w:lang w:val="en-US" w:eastAsia="zh-CN"/>
        </w:rPr>
        <w:t>项目涉及的总量控制因子为二氧化硫、氮氧化物。经检测项目污染物排放总量为SO</w:t>
      </w:r>
      <w:r>
        <w:rPr>
          <w:rFonts w:hint="eastAsia" w:ascii="Times New Roman" w:hAnsi="Times New Roman" w:eastAsia="宋体" w:cs="Times New Roman"/>
          <w:sz w:val="24"/>
          <w:szCs w:val="24"/>
          <w:highlight w:val="none"/>
          <w:vertAlign w:val="subscript"/>
          <w:lang w:val="en-US" w:eastAsia="zh-CN"/>
        </w:rPr>
        <w:t>2</w:t>
      </w:r>
      <w:r>
        <w:rPr>
          <w:rFonts w:hint="eastAsia" w:ascii="Times New Roman" w:hAnsi="Times New Roman" w:eastAsia="宋体" w:cs="Times New Roman"/>
          <w:sz w:val="24"/>
          <w:szCs w:val="24"/>
          <w:highlight w:val="none"/>
          <w:lang w:val="en-US" w:eastAsia="zh-CN"/>
        </w:rPr>
        <w:t>:0.009t/a、NOx:0.040t/a符合项目总量控制批复要求（SO</w:t>
      </w:r>
      <w:r>
        <w:rPr>
          <w:rFonts w:hint="eastAsia" w:ascii="Times New Roman" w:hAnsi="Times New Roman" w:eastAsia="宋体" w:cs="Times New Roman"/>
          <w:sz w:val="24"/>
          <w:szCs w:val="24"/>
          <w:highlight w:val="none"/>
          <w:vertAlign w:val="subscript"/>
          <w:lang w:val="en-US" w:eastAsia="zh-CN"/>
        </w:rPr>
        <w:t>2</w:t>
      </w:r>
      <w:r>
        <w:rPr>
          <w:rFonts w:hint="eastAsia" w:ascii="Times New Roman" w:hAnsi="Times New Roman" w:eastAsia="宋体" w:cs="Times New Roman"/>
          <w:sz w:val="24"/>
          <w:szCs w:val="24"/>
          <w:highlight w:val="none"/>
          <w:lang w:val="en-US" w:eastAsia="zh-CN"/>
        </w:rPr>
        <w:t>:0.024t/a、NOx:0.121t/a、COD:0t/a、NH3-N:0t/a）。</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80" w:name="_Toc3191"/>
      <w:bookmarkStart w:id="281" w:name="_Toc5202"/>
      <w:bookmarkStart w:id="282" w:name="_Toc20214"/>
      <w:r>
        <w:rPr>
          <w:rFonts w:hint="default" w:ascii="Times New Roman" w:hAnsi="Times New Roman" w:eastAsia="宋体" w:cs="Times New Roman"/>
        </w:rPr>
        <w:t>8环境管理检查</w:t>
      </w:r>
      <w:bookmarkEnd w:id="278"/>
      <w:bookmarkEnd w:id="280"/>
      <w:bookmarkEnd w:id="281"/>
      <w:bookmarkEnd w:id="282"/>
    </w:p>
    <w:p>
      <w:pPr>
        <w:pStyle w:val="6"/>
        <w:rPr>
          <w:rFonts w:hint="default" w:ascii="Times New Roman" w:hAnsi="Times New Roman" w:eastAsia="宋体" w:cs="Times New Roman"/>
        </w:rPr>
      </w:pPr>
      <w:bookmarkStart w:id="283" w:name="_Toc32093"/>
      <w:bookmarkStart w:id="284" w:name="_Toc5972"/>
      <w:bookmarkStart w:id="285" w:name="_Toc23769"/>
      <w:bookmarkStart w:id="286" w:name="_Toc17414"/>
      <w:r>
        <w:rPr>
          <w:rFonts w:hint="default" w:ascii="Times New Roman" w:hAnsi="Times New Roman" w:eastAsia="宋体" w:cs="Times New Roman"/>
        </w:rPr>
        <w:t>8.1环保管理机构</w:t>
      </w:r>
      <w:bookmarkEnd w:id="283"/>
      <w:bookmarkEnd w:id="284"/>
      <w:bookmarkEnd w:id="285"/>
      <w:bookmarkEnd w:id="286"/>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河北好睡眠床垫有限公司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87" w:name="_Toc412705194"/>
      <w:bookmarkStart w:id="288" w:name="_Toc294178076"/>
      <w:bookmarkStart w:id="289" w:name="_Toc29686"/>
      <w:bookmarkStart w:id="290" w:name="_Toc25742"/>
      <w:bookmarkStart w:id="291" w:name="_Toc18585"/>
      <w:bookmarkStart w:id="292" w:name="_Toc14656"/>
      <w:r>
        <w:rPr>
          <w:rFonts w:hint="default" w:ascii="Times New Roman" w:hAnsi="Times New Roman" w:eastAsia="宋体" w:cs="Times New Roman"/>
          <w:szCs w:val="22"/>
        </w:rPr>
        <w:t>8.2施工期环境管理</w:t>
      </w:r>
      <w:bookmarkEnd w:id="287"/>
      <w:bookmarkEnd w:id="288"/>
      <w:bookmarkEnd w:id="289"/>
      <w:bookmarkEnd w:id="290"/>
      <w:bookmarkEnd w:id="291"/>
      <w:bookmarkEnd w:id="292"/>
    </w:p>
    <w:p>
      <w:pPr>
        <w:spacing w:line="480" w:lineRule="atLeast"/>
        <w:ind w:firstLine="480" w:firstLineChars="200"/>
        <w:rPr>
          <w:rFonts w:hint="default" w:ascii="Times New Roman" w:hAnsi="Times New Roman" w:eastAsia="宋体" w:cs="Times New Roman"/>
          <w:sz w:val="24"/>
          <w:szCs w:val="24"/>
        </w:rPr>
      </w:pPr>
      <w:bookmarkStart w:id="293" w:name="_Toc412705195"/>
      <w:bookmarkStart w:id="294"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295" w:name="_Toc30001"/>
      <w:bookmarkStart w:id="296" w:name="_Toc20253"/>
      <w:bookmarkStart w:id="297" w:name="_Toc463"/>
      <w:bookmarkStart w:id="298" w:name="_Toc7664"/>
      <w:r>
        <w:rPr>
          <w:rFonts w:hint="default" w:ascii="Times New Roman" w:hAnsi="Times New Roman" w:eastAsia="宋体" w:cs="Times New Roman"/>
        </w:rPr>
        <w:t>8.3运行期环境管理</w:t>
      </w:r>
      <w:bookmarkEnd w:id="293"/>
      <w:bookmarkEnd w:id="294"/>
      <w:bookmarkEnd w:id="295"/>
      <w:bookmarkEnd w:id="296"/>
      <w:bookmarkEnd w:id="297"/>
      <w:bookmarkEnd w:id="298"/>
    </w:p>
    <w:p>
      <w:pPr>
        <w:spacing w:line="480" w:lineRule="atLeast"/>
        <w:ind w:firstLine="480" w:firstLineChars="200"/>
        <w:rPr>
          <w:rFonts w:hint="default" w:ascii="Times New Roman" w:hAnsi="Times New Roman" w:eastAsia="宋体" w:cs="Times New Roman"/>
          <w:sz w:val="24"/>
          <w:szCs w:val="24"/>
        </w:rPr>
      </w:pPr>
      <w:bookmarkStart w:id="299" w:name="_Toc294178078"/>
      <w:r>
        <w:rPr>
          <w:rFonts w:hint="eastAsia" w:ascii="Times New Roman" w:hAnsi="Times New Roman" w:cs="Times New Roman"/>
          <w:sz w:val="24"/>
          <w:szCs w:val="24"/>
          <w:lang w:eastAsia="zh-CN"/>
        </w:rPr>
        <w:t>河北好睡眠床垫有限公司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9"/>
      <w:bookmarkStart w:id="300" w:name="_Toc412705199"/>
      <w:bookmarkStart w:id="301" w:name="_Toc414220604"/>
    </w:p>
    <w:p>
      <w:pPr>
        <w:pStyle w:val="6"/>
        <w:spacing w:line="440" w:lineRule="atLeast"/>
        <w:rPr>
          <w:rFonts w:hint="default" w:ascii="Times New Roman" w:hAnsi="Times New Roman" w:eastAsia="宋体" w:cs="Times New Roman"/>
        </w:rPr>
      </w:pPr>
      <w:bookmarkStart w:id="302" w:name="_Toc28702"/>
      <w:bookmarkStart w:id="303" w:name="_Toc76"/>
      <w:bookmarkStart w:id="304" w:name="_Toc414220602"/>
      <w:bookmarkStart w:id="305" w:name="_Toc412705196"/>
      <w:bookmarkStart w:id="306" w:name="_Toc5087"/>
      <w:bookmarkStart w:id="307" w:name="_Toc8826"/>
      <w:r>
        <w:rPr>
          <w:rFonts w:hint="default" w:ascii="Times New Roman" w:hAnsi="Times New Roman" w:eastAsia="宋体" w:cs="Times New Roman"/>
        </w:rPr>
        <w:t>8.4社会环境影响情况调查</w:t>
      </w:r>
      <w:bookmarkEnd w:id="302"/>
      <w:bookmarkEnd w:id="303"/>
      <w:bookmarkEnd w:id="304"/>
      <w:bookmarkEnd w:id="305"/>
      <w:bookmarkEnd w:id="306"/>
      <w:bookmarkEnd w:id="307"/>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08" w:name="_Toc7270"/>
      <w:bookmarkStart w:id="309" w:name="_Toc9083"/>
      <w:bookmarkStart w:id="310" w:name="_Toc15866"/>
      <w:bookmarkStart w:id="311" w:name="_Toc26985"/>
      <w:r>
        <w:rPr>
          <w:rFonts w:hint="default" w:ascii="Times New Roman" w:hAnsi="Times New Roman" w:eastAsia="宋体" w:cs="Times New Roman"/>
        </w:rPr>
        <w:t>8.5环境管理情况分析</w:t>
      </w:r>
      <w:bookmarkEnd w:id="300"/>
      <w:bookmarkEnd w:id="301"/>
      <w:bookmarkEnd w:id="308"/>
      <w:bookmarkEnd w:id="309"/>
      <w:bookmarkEnd w:id="310"/>
      <w:bookmarkEnd w:id="311"/>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12"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13" w:name="_Toc18158"/>
      <w:bookmarkStart w:id="314" w:name="_Toc12811"/>
      <w:bookmarkStart w:id="315" w:name="_Toc11667"/>
      <w:r>
        <w:rPr>
          <w:rFonts w:hint="default" w:ascii="Times New Roman" w:hAnsi="Times New Roman" w:eastAsia="宋体" w:cs="Times New Roman"/>
        </w:rPr>
        <w:t>9结论和建议</w:t>
      </w:r>
      <w:bookmarkEnd w:id="312"/>
      <w:bookmarkEnd w:id="313"/>
      <w:bookmarkEnd w:id="314"/>
      <w:bookmarkEnd w:id="315"/>
    </w:p>
    <w:p>
      <w:pPr>
        <w:pStyle w:val="6"/>
        <w:rPr>
          <w:rFonts w:hint="default" w:ascii="Times New Roman" w:hAnsi="Times New Roman" w:eastAsia="宋体" w:cs="Times New Roman"/>
        </w:rPr>
      </w:pPr>
      <w:bookmarkStart w:id="316" w:name="_Toc25092"/>
      <w:bookmarkStart w:id="317" w:name="_Toc3234"/>
      <w:bookmarkStart w:id="318" w:name="_Toc6888"/>
      <w:bookmarkStart w:id="319" w:name="_Toc8760"/>
      <w:r>
        <w:rPr>
          <w:rFonts w:hint="default" w:ascii="Times New Roman" w:hAnsi="Times New Roman" w:eastAsia="宋体" w:cs="Times New Roman"/>
        </w:rPr>
        <w:t>9.1验收主要结论</w:t>
      </w:r>
      <w:bookmarkEnd w:id="316"/>
      <w:bookmarkEnd w:id="317"/>
      <w:bookmarkEnd w:id="318"/>
      <w:bookmarkEnd w:id="319"/>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20" w:name="_Hlk496998889"/>
      <w:r>
        <w:rPr>
          <w:rFonts w:hint="default" w:ascii="Times New Roman" w:hAnsi="Times New Roman" w:eastAsia="宋体" w:cs="Times New Roman"/>
          <w:sz w:val="24"/>
          <w:szCs w:val="24"/>
        </w:rPr>
        <w:t>（1）废气</w:t>
      </w:r>
    </w:p>
    <w:bookmarkEnd w:id="320"/>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default" w:ascii="Times New Roman" w:hAnsi="Times New Roman" w:eastAsia="宋体" w:cs="Times New Roman"/>
          <w:color w:val="auto"/>
          <w:sz w:val="24"/>
          <w:szCs w:val="24"/>
          <w:vertAlign w:val="baseline"/>
          <w:lang w:eastAsia="zh-CN"/>
        </w:rPr>
      </w:pPr>
      <w:r>
        <w:rPr>
          <w:rFonts w:hint="eastAsia" w:ascii="Times New Roman" w:hAnsi="Times New Roman" w:cs="Times New Roman"/>
          <w:color w:val="auto"/>
          <w:spacing w:val="0"/>
          <w:sz w:val="24"/>
          <w:szCs w:val="24"/>
          <w:lang w:val="en-US" w:eastAsia="zh-CN"/>
        </w:rPr>
        <w:t>该项目拉筋布压延工序排气筒（P1）非甲烷总烃折算浓度最大值为9.39mg/m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，满足《橡胶制品工业污染物排放标准》（GB27632-2011）表5排放标准；开炼、捏炼、滤胶、压片、压延、组合成型、硫化成型工序排气筒（P2）颗粒物折算浓度最大值为7.3mg/m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，非甲烷总烃折算浓度最大值为9.01mg/m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，甲苯与二甲苯合计排放浓度最大值为0.399mg/m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，均满足《橡胶制品工业污染物排放标准》（GB27632-2011）表5排放标准；苯排放浓度最大值为0.0808mg/m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，满足《工业企业挥发性有机物排放控制标准》（DB 13/2322-2016）表1中有机化工业标准要求；硫化氢排放速率最大值为6.71×10</w:t>
      </w:r>
      <w:r>
        <w:rPr>
          <w:rFonts w:hint="eastAsia" w:ascii="Times New Roman" w:hAnsi="Times New Roman" w:cs="Times New Roman"/>
          <w:color w:val="auto"/>
          <w:spacing w:val="0"/>
          <w:sz w:val="24"/>
          <w:szCs w:val="24"/>
          <w:vertAlign w:val="superscript"/>
          <w:lang w:val="en-US" w:eastAsia="zh-CN"/>
        </w:rPr>
        <w:t>-4</w:t>
      </w:r>
      <w:r>
        <w:rPr>
          <w:rFonts w:hint="eastAsia" w:ascii="Times New Roman" w:hAnsi="Times New Roman" w:cs="Times New Roman"/>
          <w:color w:val="auto"/>
          <w:spacing w:val="0"/>
          <w:sz w:val="24"/>
          <w:szCs w:val="24"/>
          <w:lang w:val="en-US" w:eastAsia="zh-CN"/>
        </w:rPr>
        <w:t>kg/h；臭气浓度排放浓度最大值为1737；均满足《恶臭污染物排放标准》（GB14554-93）表2标准；燃气蒸汽发生器（25%）排气筒出口颗粒物折算浓度最大值为3.1mg/m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，二氧化硫折算浓度最大值为7mg/m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，氮氧化物折算浓度最大值为29mg/m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，燃气蒸汽发生器（50%）排气筒出口颗粒物折算浓度最大值为3.2mg/m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，二氧化硫折算浓度最大值为8mg/m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，氮氧化物折算浓度最大值为33mg/m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，燃气蒸汽发生器（80%）排气筒出口颗粒物折算浓度最大值为3.2mg/m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，二氧化硫折算浓度最大值为7mg/m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，氮氧化物折算浓度最大值为31mg/m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，均满足《锅炉大气污染物排放标准》（DB 13/5161-2020）表1特别排放标准限值要求；无组织颗粒物排放浓度最大值为0.388mg/m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，满足《橡胶制品工业污染物排放标准》（GB27632-2011）表6排放标准要求；苯、甲苯、二甲苯未检出，非甲烷总烃排放浓度最大值为1.04mg/m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，均满足《工业企业挥发性有机物排放控制标准》（DB 13/2322-2016）表2排放标准要求；硫化氢排放浓度最大值为0.003mg/m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，臭气浓度＜10（无量纲），满足《恶臭污染物排放标准》20（GB14554-1993）表1中二级新扩改建标准要求；厂区内无组织非甲烷总烃排放浓度最大值为1.53mg/m</w:t>
      </w:r>
      <w:r>
        <w:rPr>
          <w:rFonts w:hint="eastAsia" w:ascii="Times New Roman" w:hAnsi="Times New Roman" w:cs="Times New Roman"/>
          <w:color w:val="auto"/>
          <w:spacing w:val="0"/>
          <w:sz w:val="24"/>
          <w:szCs w:val="24"/>
          <w:vertAlign w:val="superscript"/>
          <w:lang w:val="en-US" w:eastAsia="zh-CN"/>
        </w:rPr>
        <w:t>3</w:t>
      </w:r>
      <w:r>
        <w:rPr>
          <w:rFonts w:hint="eastAsia" w:ascii="Times New Roman" w:hAnsi="Times New Roman" w:cs="Times New Roman"/>
          <w:color w:val="auto"/>
          <w:spacing w:val="0"/>
          <w:sz w:val="24"/>
          <w:szCs w:val="24"/>
          <w:lang w:val="en-US" w:eastAsia="zh-CN"/>
        </w:rPr>
        <w:t>，满足《挥发性有机物无组织排放控制标准》（GB 37822-2019）附录A中表A.1特别排放限值要求。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21" w:name="_Hlk496998963"/>
      <w:r>
        <w:rPr>
          <w:rFonts w:hint="default" w:ascii="Times New Roman" w:hAnsi="Times New Roman" w:eastAsia="宋体" w:cs="Times New Roman"/>
          <w:color w:val="auto"/>
          <w:kern w:val="0"/>
          <w:sz w:val="24"/>
          <w:szCs w:val="24"/>
          <w:lang w:val="en-US" w:eastAsia="zh-CN" w:bidi="ar-SA"/>
        </w:rPr>
        <w:t>企业夜间不生产，厂界四周昼间噪声范围值为54.0~57.3dB（A），符合《工业企业厂界环境噪声排放标准》（GB 12348-2008）表1中2类标准要求；敏感点后塘村昼间噪声范围值为51.9~52.2dB（A），符合《声环境质量标准》（GB 3096-2008）表1中2类标准。</w:t>
      </w:r>
    </w:p>
    <w:p>
      <w:pPr>
        <w:numPr>
          <w:ilvl w:val="0"/>
          <w:numId w:val="3"/>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21"/>
    <w:p>
      <w:pPr>
        <w:pStyle w:val="7"/>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22" w:name="_Toc6926"/>
      <w:bookmarkStart w:id="323" w:name="_Toc4537"/>
      <w:r>
        <w:rPr>
          <w:rFonts w:hint="eastAsia" w:ascii="Times New Roman" w:hAnsi="Times New Roman" w:eastAsia="宋体" w:cs="Times New Roman"/>
          <w:color w:val="auto"/>
          <w:sz w:val="24"/>
          <w:szCs w:val="24"/>
          <w:lang w:val="en-US" w:eastAsia="zh-CN"/>
        </w:rPr>
        <w:t>本项目设备冷却水循环使用不外排，项目无生产废水排放。厂内生活污水排入化粪池定期清掏，不外排。</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22"/>
      <w:bookmarkEnd w:id="323"/>
    </w:p>
    <w:p>
      <w:pPr>
        <w:pStyle w:val="7"/>
        <w:ind w:firstLine="480" w:firstLineChars="200"/>
        <w:rPr>
          <w:rFonts w:hint="eastAsia" w:ascii="Times New Roman" w:hAnsi="Times New Roman" w:eastAsia="宋体"/>
          <w:sz w:val="24"/>
          <w:szCs w:val="24"/>
          <w:lang w:val="en-US" w:eastAsia="zh-CN"/>
        </w:rPr>
      </w:pPr>
      <w:bookmarkStart w:id="324" w:name="_Toc6395"/>
      <w:bookmarkStart w:id="325" w:name="_Toc24650"/>
      <w:bookmarkStart w:id="326" w:name="_Hlk496999304"/>
      <w:r>
        <w:rPr>
          <w:rFonts w:hint="eastAsia" w:ascii="Times New Roman" w:hAnsi="Times New Roman" w:eastAsia="宋体"/>
          <w:sz w:val="24"/>
          <w:szCs w:val="24"/>
          <w:lang w:val="en-US" w:eastAsia="zh-CN"/>
        </w:rPr>
        <w:t>生产过程产生的杂质及边角料收集后回用；布袋除尘器及车间沉降收集的粉尘经收集后回用；废机油及废机油桶暂存于危废间内，定期交有危废处理资质单位处理；废气处理措施产生的废活性炭，收集至专用容器暂存于危废间内，定期交有危废处理资质单位处理；厂区职工产生的生活垃圾收集后</w:t>
      </w:r>
      <w:bookmarkStart w:id="331" w:name="_GoBack"/>
      <w:bookmarkEnd w:id="331"/>
      <w:r>
        <w:rPr>
          <w:rFonts w:hint="eastAsia" w:ascii="Times New Roman" w:hAnsi="Times New Roman" w:eastAsia="宋体"/>
          <w:sz w:val="24"/>
          <w:szCs w:val="24"/>
          <w:lang w:val="en-US" w:eastAsia="zh-CN"/>
        </w:rPr>
        <w:t>由环卫部门定期清运处理。</w:t>
      </w: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24"/>
      <w:bookmarkEnd w:id="325"/>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6"/>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7" w:name="_Toc30691"/>
      <w:bookmarkStart w:id="328" w:name="_Toc18401"/>
      <w:bookmarkStart w:id="329" w:name="_Toc10340"/>
      <w:bookmarkStart w:id="330" w:name="_Toc21981"/>
      <w:r>
        <w:rPr>
          <w:rFonts w:hint="default" w:ascii="Times New Roman" w:hAnsi="Times New Roman" w:eastAsia="宋体" w:cs="Times New Roman"/>
        </w:rPr>
        <w:t>9.2建议</w:t>
      </w:r>
      <w:bookmarkEnd w:id="327"/>
      <w:bookmarkEnd w:id="328"/>
      <w:bookmarkEnd w:id="329"/>
      <w:bookmarkEnd w:id="330"/>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河北好睡眠床垫有限公司</w:t>
      </w:r>
      <w:r>
        <w:rPr>
          <w:rFonts w:hint="eastAsia" w:ascii="Times New Roman" w:hAnsi="Times New Roman" w:cs="Times New Roman"/>
          <w:lang w:val="en-US" w:eastAsia="zh-CN"/>
        </w:rPr>
        <w:t xml:space="preserve">      </w:t>
      </w:r>
      <w:r>
        <w:rPr>
          <w:rFonts w:hint="default" w:ascii="Times New Roman" w:hAnsi="Times New Roman" w:eastAsia="宋体" w:cs="Times New Roman"/>
        </w:rPr>
        <w:t>填表人（签字）：项目经办人（签字）：</w:t>
      </w:r>
    </w:p>
    <w:tbl>
      <w:tblPr>
        <w:tblStyle w:val="19"/>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46"/>
        <w:gridCol w:w="1719"/>
        <w:gridCol w:w="1028"/>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河北好睡眠床垫有限公司</w:t>
            </w:r>
            <w:r>
              <w:rPr>
                <w:rFonts w:hint="eastAsia" w:ascii="Times New Roman" w:hAnsi="Times New Roman"/>
                <w:b w:val="0"/>
                <w:bCs/>
                <w:sz w:val="15"/>
                <w:szCs w:val="15"/>
                <w:lang w:val="en-US" w:eastAsia="zh-CN"/>
              </w:rPr>
              <w:t>年产 80000 套床垫项目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河北省沧州市沧县仵龙堂乡后唐庄村西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C2190其他家具制造</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4hO81QAAAAUBAAAPAAAAAAAAAAEAIAAAACIAAABkcnMvZG93bnJldi54&#10;bWxQSwECFAAUAAAACACHTuJA1SnjZv0BAAAqBAAADgAAAAAAAAABACAAAAAkAQAAZHJzL2Uyb0Rv&#10;Yy54bWxQSwUGAAAAAAYABgBZAQAAkw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g9LEtUAAAAHAQAADwAAAAAAAAABACAAAAAiAAAAZHJzL2Rv&#10;d25yZXYueG1sUEsBAhQAFAAAAAgAh07iQFLB1mkEAgAAKgQAAA4AAAAAAAAAAQAgAAAAJAEAAGRy&#10;cy9lMm9Eb2MueG1sUEsFBgAAAAAGAAYAWQEAAJoFA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 80000 套床垫项目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665"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 80000 套床垫项目</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河北华睿风翰环保科技有限公司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沧县行政审批局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665"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沧县行审（环）字【2021】113号</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1000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50</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1000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50</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665"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665"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河北好睡眠床垫有限公司</w:t>
            </w:r>
          </w:p>
        </w:tc>
        <w:tc>
          <w:tcPr>
            <w:tcW w:w="330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719"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rPr>
              <w:t>91130921MA0DGAJM4K</w:t>
            </w:r>
          </w:p>
        </w:tc>
        <w:tc>
          <w:tcPr>
            <w:tcW w:w="156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4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7"/>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lang w:val="en-US" w:eastAsia="zh-CN"/>
              </w:rPr>
            </w:pPr>
            <w:r>
              <w:rPr>
                <w:rFonts w:hint="eastAsia" w:ascii="Times New Roman" w:hAnsi="Times New Roman" w:cs="Times New Roman"/>
                <w:b w:val="0"/>
                <w:bCs w:val="0"/>
                <w:color w:val="auto"/>
                <w:sz w:val="15"/>
                <w:szCs w:val="15"/>
                <w:lang w:val="en-US" w:eastAsia="zh-CN"/>
              </w:rPr>
              <w:t>2092</w:t>
            </w: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7"/>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auto"/>
                <w:sz w:val="15"/>
                <w:szCs w:val="15"/>
                <w:lang w:val="en-US" w:eastAsia="zh-CN"/>
              </w:rPr>
            </w:pPr>
            <w:r>
              <w:rPr>
                <w:rFonts w:hint="eastAsia" w:ascii="Times New Roman" w:hAnsi="Times New Roman" w:cs="Times New Roman"/>
                <w:color w:val="auto"/>
                <w:sz w:val="15"/>
                <w:szCs w:val="15"/>
                <w:lang w:val="en-US" w:eastAsia="zh-CN"/>
              </w:rPr>
              <w:t>0.009</w:t>
            </w: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auto"/>
                <w:sz w:val="15"/>
                <w:szCs w:val="15"/>
                <w:lang w:val="en-US" w:eastAsia="zh-CN"/>
              </w:rPr>
            </w:pPr>
            <w:r>
              <w:rPr>
                <w:rFonts w:hint="eastAsia" w:ascii="Times New Roman" w:hAnsi="Times New Roman" w:cs="Times New Roman"/>
                <w:color w:val="auto"/>
                <w:sz w:val="15"/>
                <w:szCs w:val="15"/>
                <w:lang w:val="en-US" w:eastAsia="zh-CN"/>
              </w:rPr>
              <w:t>0.027</w:t>
            </w: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7"/>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r>
              <w:rPr>
                <w:rFonts w:hint="eastAsia" w:ascii="Times New Roman" w:hAnsi="Times New Roman" w:cs="Times New Roman"/>
                <w:color w:val="FF0000"/>
                <w:sz w:val="15"/>
                <w:szCs w:val="15"/>
                <w:lang w:val="en-US" w:eastAsia="zh-CN"/>
              </w:rPr>
              <w:t>0.040</w:t>
            </w: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7"/>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eastAsia="zh-CN"/>
              </w:rPr>
            </w:pPr>
            <w:r>
              <w:rPr>
                <w:rFonts w:hint="eastAsia" w:ascii="Times New Roman" w:hAnsi="Times New Roman" w:cs="Times New Roman"/>
                <w:b w:val="0"/>
                <w:bCs w:val="0"/>
                <w:color w:val="FF0000"/>
                <w:sz w:val="15"/>
                <w:szCs w:val="15"/>
                <w:lang w:val="en-US" w:eastAsia="zh-CN"/>
              </w:rPr>
              <w:t>0.054</w:t>
            </w: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46" w:type="dxa"/>
            <w:tcMar>
              <w:left w:w="6" w:type="dxa"/>
              <w:right w:w="6" w:type="dxa"/>
            </w:tcMar>
          </w:tcPr>
          <w:p>
            <w:pPr>
              <w:spacing w:line="260" w:lineRule="exact"/>
              <w:rPr>
                <w:rFonts w:hint="default" w:ascii="Times New Roman" w:hAnsi="Times New Roman" w:eastAsia="宋体" w:cs="Times New Roman"/>
                <w:sz w:val="15"/>
                <w:szCs w:val="15"/>
              </w:rPr>
            </w:pPr>
          </w:p>
        </w:tc>
        <w:tc>
          <w:tcPr>
            <w:tcW w:w="1719" w:type="dxa"/>
            <w:tcMar>
              <w:left w:w="6" w:type="dxa"/>
              <w:right w:w="6" w:type="dxa"/>
            </w:tcMar>
          </w:tcPr>
          <w:p>
            <w:pPr>
              <w:spacing w:line="260" w:lineRule="exact"/>
              <w:rPr>
                <w:rFonts w:hint="default" w:ascii="Times New Roman" w:hAnsi="Times New Roman" w:eastAsia="宋体" w:cs="Times New Roman"/>
                <w:sz w:val="15"/>
                <w:szCs w:val="15"/>
              </w:rPr>
            </w:pPr>
          </w:p>
        </w:tc>
        <w:tc>
          <w:tcPr>
            <w:tcW w:w="1028"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IAUJG+ËÎÌå">
    <w:altName w:val="Verdana"/>
    <w:panose1 w:val="02010600030101010101"/>
    <w:charset w:val="01"/>
    <w:family w:val="auto"/>
    <w:pitch w:val="default"/>
    <w:sig w:usb0="00000000" w:usb1="00000000" w:usb2="00000000" w:usb3="00000000" w:csb0="00000000" w:csb1="00000000"/>
  </w:font>
  <w:font w:name="Verdana">
    <w:panose1 w:val="020B0604030504040204"/>
    <w:charset w:val="00"/>
    <w:family w:val="auto"/>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河北好睡眠床垫有限公司年产 80000 套床垫项目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2CAA"/>
    <w:multiLevelType w:val="singleLevel"/>
    <w:tmpl w:val="0CC92CAA"/>
    <w:lvl w:ilvl="0" w:tentative="0">
      <w:start w:val="7"/>
      <w:numFmt w:val="decimal"/>
      <w:suff w:val="nothing"/>
      <w:lvlText w:val="%1、"/>
      <w:lvlJc w:val="left"/>
    </w:lvl>
  </w:abstractNum>
  <w:abstractNum w:abstractNumId="1">
    <w:nsid w:val="30C95D39"/>
    <w:multiLevelType w:val="singleLevel"/>
    <w:tmpl w:val="30C95D39"/>
    <w:lvl w:ilvl="0" w:tentative="0">
      <w:start w:val="2"/>
      <w:numFmt w:val="decimal"/>
      <w:suff w:val="nothing"/>
      <w:lvlText w:val="%1、"/>
      <w:lvlJc w:val="left"/>
    </w:lvl>
  </w:abstractNum>
  <w:abstractNum w:abstractNumId="2">
    <w:nsid w:val="5A5B08E9"/>
    <w:multiLevelType w:val="singleLevel"/>
    <w:tmpl w:val="5A5B08E9"/>
    <w:lvl w:ilvl="0" w:tentative="0">
      <w:start w:val="3"/>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CA69D4"/>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4E3F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8510B0"/>
    <w:rsid w:val="2C914E3F"/>
    <w:rsid w:val="2CA22636"/>
    <w:rsid w:val="2CE73E1C"/>
    <w:rsid w:val="2DEB55D6"/>
    <w:rsid w:val="2DFA3B87"/>
    <w:rsid w:val="2E082A95"/>
    <w:rsid w:val="2EF23990"/>
    <w:rsid w:val="2F2473F1"/>
    <w:rsid w:val="2F3A716E"/>
    <w:rsid w:val="2FD14B32"/>
    <w:rsid w:val="30895A8A"/>
    <w:rsid w:val="30AB7CA3"/>
    <w:rsid w:val="31210606"/>
    <w:rsid w:val="3225051F"/>
    <w:rsid w:val="322B6C9D"/>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3F154676"/>
    <w:rsid w:val="4111649F"/>
    <w:rsid w:val="421B5153"/>
    <w:rsid w:val="421E388B"/>
    <w:rsid w:val="422C5F7B"/>
    <w:rsid w:val="4347397F"/>
    <w:rsid w:val="445F75CD"/>
    <w:rsid w:val="447A310C"/>
    <w:rsid w:val="458A0BC7"/>
    <w:rsid w:val="45D31AC8"/>
    <w:rsid w:val="45EE63E9"/>
    <w:rsid w:val="485A65CB"/>
    <w:rsid w:val="4A283569"/>
    <w:rsid w:val="4A8D49E3"/>
    <w:rsid w:val="4AAA6ED1"/>
    <w:rsid w:val="4AAB7C45"/>
    <w:rsid w:val="4B0D2D46"/>
    <w:rsid w:val="4B7E5B15"/>
    <w:rsid w:val="4C1E03F9"/>
    <w:rsid w:val="4C72320F"/>
    <w:rsid w:val="4C902FFF"/>
    <w:rsid w:val="4DC537AE"/>
    <w:rsid w:val="4EAC0405"/>
    <w:rsid w:val="4F1713C5"/>
    <w:rsid w:val="4F3C6A41"/>
    <w:rsid w:val="4FE6264D"/>
    <w:rsid w:val="50173FCB"/>
    <w:rsid w:val="512E7FBA"/>
    <w:rsid w:val="51806F8B"/>
    <w:rsid w:val="53365CEE"/>
    <w:rsid w:val="53B33B1C"/>
    <w:rsid w:val="54482B82"/>
    <w:rsid w:val="54511922"/>
    <w:rsid w:val="54626FB4"/>
    <w:rsid w:val="54713309"/>
    <w:rsid w:val="557A527E"/>
    <w:rsid w:val="5702376B"/>
    <w:rsid w:val="57723443"/>
    <w:rsid w:val="586F124F"/>
    <w:rsid w:val="59EB0033"/>
    <w:rsid w:val="5B916452"/>
    <w:rsid w:val="5B982079"/>
    <w:rsid w:val="5BA01B74"/>
    <w:rsid w:val="5BA85FF5"/>
    <w:rsid w:val="5DF16C64"/>
    <w:rsid w:val="5DFF2C8C"/>
    <w:rsid w:val="5E115ABF"/>
    <w:rsid w:val="5EFA4D6F"/>
    <w:rsid w:val="5F0C1043"/>
    <w:rsid w:val="5FC7299C"/>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6C4418"/>
    <w:rsid w:val="6CE06728"/>
    <w:rsid w:val="6D27087A"/>
    <w:rsid w:val="6DC30E5B"/>
    <w:rsid w:val="6F4B669E"/>
    <w:rsid w:val="6F6C06CA"/>
    <w:rsid w:val="702B2008"/>
    <w:rsid w:val="70FC22C7"/>
    <w:rsid w:val="71C6608B"/>
    <w:rsid w:val="72D179BF"/>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next w:val="1"/>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4">
    <w:name w:val="Body Text"/>
    <w:basedOn w:val="1"/>
    <w:qFormat/>
    <w:uiPriority w:val="0"/>
    <w:pPr>
      <w:spacing w:after="120"/>
    </w:pPr>
  </w:style>
  <w:style w:type="paragraph" w:styleId="8">
    <w:name w:val="Body Text Indent"/>
    <w:basedOn w:val="1"/>
    <w:qFormat/>
    <w:uiPriority w:val="0"/>
    <w:pPr>
      <w:spacing w:after="120" w:afterLines="0" w:afterAutospacing="0"/>
      <w:ind w:left="420" w:leftChars="200"/>
    </w:pPr>
  </w:style>
  <w:style w:type="paragraph" w:styleId="9">
    <w:name w:val="toc 3"/>
    <w:basedOn w:val="1"/>
    <w:next w:val="1"/>
    <w:qFormat/>
    <w:uiPriority w:val="0"/>
    <w:pPr>
      <w:widowControl/>
      <w:spacing w:after="100" w:line="259" w:lineRule="auto"/>
      <w:ind w:left="440"/>
      <w:jc w:val="left"/>
    </w:pPr>
    <w:rPr>
      <w:kern w:val="0"/>
      <w:sz w:val="22"/>
    </w:rPr>
  </w:style>
  <w:style w:type="paragraph" w:styleId="10">
    <w:name w:val="Plain Text"/>
    <w:basedOn w:val="1"/>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4">
    <w:name w:val="List"/>
    <w:basedOn w:val="1"/>
    <w:qFormat/>
    <w:uiPriority w:val="0"/>
    <w:pPr>
      <w:spacing w:line="360" w:lineRule="exact"/>
      <w:ind w:firstLine="38" w:firstLineChars="18"/>
      <w:jc w:val="left"/>
    </w:pPr>
    <w:rPr>
      <w:rFonts w:ascii="宋体" w:hAnsi="Times New Roman"/>
      <w:szCs w:val="21"/>
    </w:rPr>
  </w:style>
  <w:style w:type="paragraph" w:styleId="15">
    <w:name w:val="toc 2"/>
    <w:basedOn w:val="1"/>
    <w:next w:val="1"/>
    <w:qFormat/>
    <w:uiPriority w:val="0"/>
    <w:pPr>
      <w:ind w:left="420" w:leftChars="200"/>
    </w:pPr>
  </w:style>
  <w:style w:type="paragraph" w:styleId="16">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7">
    <w:name w:val="Body Text First Indent"/>
    <w:basedOn w:val="4"/>
    <w:qFormat/>
    <w:uiPriority w:val="0"/>
    <w:pPr>
      <w:ind w:firstLine="420" w:firstLineChars="100"/>
    </w:pPr>
    <w:rPr>
      <w:szCs w:val="24"/>
    </w:rPr>
  </w:style>
  <w:style w:type="paragraph" w:styleId="18">
    <w:name w:val="Body Text First Indent 2"/>
    <w:basedOn w:val="8"/>
    <w:next w:val="1"/>
    <w:qFormat/>
    <w:uiPriority w:val="0"/>
    <w:pPr>
      <w:ind w:firstLine="420" w:firstLineChars="200"/>
    </w:p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样式 样式 样式 四号 左侧:  1.53 厘米 + 首行缩进:  2 字符 + 居中 左侧:  2 字符 首行缩进:  2..."/>
    <w:basedOn w:val="23"/>
    <w:qFormat/>
    <w:uiPriority w:val="0"/>
    <w:pPr>
      <w:ind w:firstLine="0" w:firstLineChars="0"/>
      <w:jc w:val="center"/>
    </w:pPr>
  </w:style>
  <w:style w:type="paragraph" w:customStyle="1" w:styleId="23">
    <w:name w:val="样式 样式 四号 左侧:  1.53 厘米 + 首行缩进:  2 字符"/>
    <w:basedOn w:val="24"/>
    <w:qFormat/>
    <w:uiPriority w:val="0"/>
    <w:pPr>
      <w:ind w:left="200" w:leftChars="200"/>
    </w:pPr>
    <w:rPr>
      <w:szCs w:val="20"/>
    </w:rPr>
  </w:style>
  <w:style w:type="paragraph" w:customStyle="1" w:styleId="24">
    <w:name w:val="样式 四号 左侧:  1.53 厘米"/>
    <w:basedOn w:val="1"/>
    <w:qFormat/>
    <w:uiPriority w:val="0"/>
    <w:pPr>
      <w:adjustRightInd w:val="0"/>
    </w:pPr>
    <w:rPr>
      <w:w w:val="90"/>
      <w:sz w:val="28"/>
      <w:szCs w:val="28"/>
    </w:rPr>
  </w:style>
  <w:style w:type="paragraph" w:customStyle="1" w:styleId="25">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6">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7">
    <w:name w:val="列出段落1"/>
    <w:basedOn w:val="1"/>
    <w:qFormat/>
    <w:uiPriority w:val="99"/>
    <w:pPr>
      <w:ind w:firstLine="420" w:firstLineChars="200"/>
    </w:pPr>
  </w:style>
  <w:style w:type="table" w:customStyle="1" w:styleId="28">
    <w:name w:val="TableGrid"/>
    <w:qFormat/>
    <w:uiPriority w:val="0"/>
    <w:tblPr>
      <w:tblCellMar>
        <w:top w:w="0" w:type="dxa"/>
        <w:left w:w="0" w:type="dxa"/>
        <w:bottom w:w="0" w:type="dxa"/>
        <w:right w:w="0" w:type="dxa"/>
      </w:tblCellMar>
    </w:tblPr>
  </w:style>
  <w:style w:type="paragraph" w:customStyle="1" w:styleId="29">
    <w:name w:val="(1)"/>
    <w:basedOn w:val="1"/>
    <w:qFormat/>
    <w:uiPriority w:val="0"/>
    <w:rPr>
      <w:sz w:val="24"/>
    </w:rPr>
  </w:style>
  <w:style w:type="paragraph" w:customStyle="1" w:styleId="30">
    <w:name w:val="1"/>
    <w:basedOn w:val="1"/>
    <w:next w:val="10"/>
    <w:qFormat/>
    <w:uiPriority w:val="0"/>
    <w:rPr>
      <w:rFonts w:ascii="宋体" w:hAnsi="Courier New"/>
      <w:color w:val="000000"/>
      <w:kern w:val="44"/>
      <w:sz w:val="24"/>
      <w:szCs w:val="20"/>
    </w:rPr>
  </w:style>
  <w:style w:type="paragraph" w:customStyle="1" w:styleId="31">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2">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3">
    <w:name w:val="A-表格文字"/>
    <w:basedOn w:val="1"/>
    <w:next w:val="1"/>
    <w:qFormat/>
    <w:uiPriority w:val="0"/>
    <w:pPr>
      <w:autoSpaceDE w:val="0"/>
      <w:autoSpaceDN w:val="0"/>
      <w:adjustRightInd w:val="0"/>
      <w:jc w:val="center"/>
      <w:textAlignment w:val="center"/>
    </w:pPr>
    <w:rPr>
      <w:szCs w:val="21"/>
    </w:rPr>
  </w:style>
  <w:style w:type="paragraph" w:customStyle="1" w:styleId="34">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只爱你</cp:lastModifiedBy>
  <cp:lastPrinted>2020-05-12T08:15:00Z</cp:lastPrinted>
  <dcterms:modified xsi:type="dcterms:W3CDTF">2021-09-13T06:00:46Z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44A190305FD34BCDA25AEBB12F4BA131</vt:lpwstr>
  </property>
</Properties>
</file>