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eastAsia="宋体"/>
          <w:color w:val="000000" w:themeColor="text1"/>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bookmarkStart w:id="0" w:name="_Hlk496949272"/>
      <w:bookmarkEnd w:id="0"/>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eastAsia" w:ascii="Times New Roman" w:hAnsi="Times New Roman" w:cs="Times New Roman"/>
          <w:color w:val="000000" w:themeColor="text1"/>
          <w:sz w:val="36"/>
          <w:szCs w:val="36"/>
          <w:lang w:eastAsia="zh-CN"/>
          <w14:textFill>
            <w14:solidFill>
              <w14:schemeClr w14:val="tx1"/>
            </w14:solidFill>
          </w14:textFill>
        </w:rPr>
      </w:pPr>
      <w:bookmarkStart w:id="1" w:name="_Hlk496950128"/>
      <w:r>
        <w:rPr>
          <w:rFonts w:hint="eastAsia" w:ascii="Times New Roman" w:hAnsi="Times New Roman" w:cs="Times New Roman"/>
          <w:color w:val="000000" w:themeColor="text1"/>
          <w:sz w:val="36"/>
          <w:szCs w:val="36"/>
          <w:lang w:eastAsia="zh-CN"/>
          <w14:textFill>
            <w14:solidFill>
              <w14:schemeClr w14:val="tx1"/>
            </w14:solidFill>
          </w14:textFill>
        </w:rPr>
        <w:t>沧州东合塑业有限公司</w:t>
      </w:r>
    </w:p>
    <w:p>
      <w:pPr>
        <w:jc w:val="center"/>
        <w:rPr>
          <w:rFonts w:hint="eastAsia" w:ascii="Times New Roman" w:hAnsi="Times New Roman" w:eastAsia="宋体" w:cs="Times New Roman"/>
          <w:color w:val="000000" w:themeColor="text1"/>
          <w:sz w:val="36"/>
          <w:szCs w:val="36"/>
          <w:lang w:eastAsia="zh-CN"/>
          <w14:textFill>
            <w14:solidFill>
              <w14:schemeClr w14:val="tx1"/>
            </w14:solidFill>
          </w14:textFill>
        </w:rPr>
      </w:pPr>
      <w:r>
        <w:rPr>
          <w:rFonts w:hint="eastAsia" w:ascii="Times New Roman" w:hAnsi="Times New Roman" w:cs="Times New Roman"/>
          <w:color w:val="000000" w:themeColor="text1"/>
          <w:sz w:val="36"/>
          <w:szCs w:val="36"/>
          <w:lang w:eastAsia="zh-CN"/>
          <w14:textFill>
            <w14:solidFill>
              <w14:schemeClr w14:val="tx1"/>
            </w14:solidFill>
          </w14:textFill>
        </w:rPr>
        <w:t>塑料制品生产线技术改造项目</w:t>
      </w:r>
    </w:p>
    <w:p>
      <w:pPr>
        <w:jc w:val="center"/>
        <w:rPr>
          <w:rFonts w:hint="default" w:ascii="Times New Roman" w:hAnsi="Times New Roman" w:eastAsia="宋体" w:cs="Times New Roman"/>
          <w:color w:val="000000" w:themeColor="text1"/>
          <w:sz w:val="36"/>
          <w:szCs w:val="36"/>
          <w14:textFill>
            <w14:solidFill>
              <w14:schemeClr w14:val="tx1"/>
            </w14:solidFill>
          </w14:textFill>
        </w:rPr>
      </w:pPr>
      <w:r>
        <w:rPr>
          <w:rFonts w:hint="default" w:ascii="Times New Roman" w:hAnsi="Times New Roman" w:eastAsia="宋体" w:cs="Times New Roman"/>
          <w:color w:val="000000" w:themeColor="text1"/>
          <w:sz w:val="36"/>
          <w:szCs w:val="36"/>
          <w14:textFill>
            <w14:solidFill>
              <w14:schemeClr w14:val="tx1"/>
            </w14:solidFill>
          </w14:textFill>
        </w:rPr>
        <w:t>竣工环境保护验收报告</w:t>
      </w:r>
      <w:bookmarkEnd w:id="1"/>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建设单位：</w:t>
      </w:r>
      <w:r>
        <w:rPr>
          <w:rFonts w:hint="eastAsia" w:ascii="Times New Roman" w:hAnsi="Times New Roman" w:cs="Times New Roman"/>
          <w:color w:val="000000" w:themeColor="text1"/>
          <w:sz w:val="32"/>
          <w:szCs w:val="32"/>
          <w:lang w:eastAsia="zh-CN"/>
          <w14:textFill>
            <w14:solidFill>
              <w14:schemeClr w14:val="tx1"/>
            </w14:solidFill>
          </w14:textFill>
        </w:rPr>
        <w:t>沧州东合塑业有限公司</w:t>
      </w:r>
    </w:p>
    <w:p>
      <w:pPr>
        <w:jc w:val="center"/>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编制单位：</w:t>
      </w:r>
      <w:r>
        <w:rPr>
          <w:rFonts w:hint="eastAsia" w:ascii="Times New Roman" w:hAnsi="Times New Roman" w:cs="Times New Roman"/>
          <w:color w:val="000000" w:themeColor="text1"/>
          <w:sz w:val="32"/>
          <w:szCs w:val="32"/>
          <w:lang w:eastAsia="zh-CN"/>
          <w14:textFill>
            <w14:solidFill>
              <w14:schemeClr w14:val="tx1"/>
            </w14:solidFill>
          </w14:textFill>
        </w:rPr>
        <w:t>沧州东合塑业有限公司</w:t>
      </w: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2"/>
          <w:szCs w:val="32"/>
          <w14:textFill>
            <w14:solidFill>
              <w14:schemeClr w14:val="tx1"/>
            </w14:solidFill>
          </w14:textFill>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color w:val="000000" w:themeColor="text1"/>
          <w:sz w:val="32"/>
          <w:szCs w:val="32"/>
          <w:lang w:val="en-US" w:eastAsia="zh-CN"/>
          <w14:textFill>
            <w14:solidFill>
              <w14:schemeClr w14:val="tx1"/>
            </w14:solidFill>
          </w14:textFill>
        </w:rPr>
        <w:t>2022</w:t>
      </w:r>
      <w:r>
        <w:rPr>
          <w:rFonts w:hint="default" w:ascii="Times New Roman" w:hAnsi="Times New Roman" w:eastAsia="宋体" w:cs="Times New Roman"/>
          <w:color w:val="000000" w:themeColor="text1"/>
          <w:sz w:val="32"/>
          <w:szCs w:val="32"/>
          <w14:textFill>
            <w14:solidFill>
              <w14:schemeClr w14:val="tx1"/>
            </w14:solidFill>
          </w14:textFill>
        </w:rPr>
        <w:t>年</w:t>
      </w:r>
      <w:r>
        <w:rPr>
          <w:rFonts w:hint="eastAsia" w:ascii="Times New Roman" w:hAnsi="Times New Roman" w:cs="Times New Roman"/>
          <w:color w:val="000000" w:themeColor="text1"/>
          <w:sz w:val="32"/>
          <w:szCs w:val="32"/>
          <w:lang w:val="en-US" w:eastAsia="zh-CN"/>
          <w14:textFill>
            <w14:solidFill>
              <w14:schemeClr w14:val="tx1"/>
            </w14:solidFill>
          </w14:textFill>
        </w:rPr>
        <w:t>1</w:t>
      </w:r>
      <w:r>
        <w:rPr>
          <w:rFonts w:hint="default" w:ascii="Times New Roman" w:hAnsi="Times New Roman" w:eastAsia="宋体" w:cs="Times New Roman"/>
          <w:color w:val="000000" w:themeColor="text1"/>
          <w:sz w:val="32"/>
          <w:szCs w:val="32"/>
          <w14:textFill>
            <w14:solidFill>
              <w14:schemeClr w14:val="tx1"/>
            </w14:solidFill>
          </w14:textFill>
        </w:rPr>
        <w:t>月</w:t>
      </w:r>
    </w:p>
    <w:p>
      <w:pPr>
        <w:pStyle w:val="28"/>
        <w:spacing w:before="0" w:line="400" w:lineRule="exact"/>
        <w:jc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lang w:val="zh-CN"/>
          <w14:textFill>
            <w14:solidFill>
              <w14:schemeClr w14:val="tx1"/>
            </w14:solidFill>
          </w14:textFill>
        </w:rPr>
        <w:t>目录</w:t>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TOC \o "1-3" \h \z \u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_Toc13375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前言</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_Toc13375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_Toc25774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1验收编制依据</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_Toc25774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_Toc5229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1.1法律、法规</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_Toc5229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_Toc19837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1.2验收技术规范</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_Toc19837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_Toc26393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1.3工程技术文件及批复文件</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_Toc26393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_Toc13007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2工程概况</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_Toc13007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4</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_Toc4417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2.1项目基本情况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_Toc4417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_Toc20380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2.1.1基本情况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_Toc20380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_Toc27686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2.1.2地理位置及周边情况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_Toc27686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_Toc8614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2.1.3厂区平面布置</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_Toc8614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_Toc27136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2.2建设内容</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_Toc27136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_Toc30677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2.2.1生产规模及产品方案</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_Toc30677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_Toc13472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2.2.2主要原辅材料</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_Toc13472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2.2.3主体设施建设内容</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_Toc27810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2.2.4生产设备</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_Toc27810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6</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_Toc9178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2.3工艺流程</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_Toc9178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6</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_Toc2746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2.4劳动定员及工作制度</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_Toc2746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_Toc18609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2.5公用工程</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_Toc18609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_Toc11895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2.5.1给排水</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_Toc11895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_Toc24223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2.5.2供电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_Toc24223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_Toc2253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2.5.3供暖</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_Toc2253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_Toc14595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2.6环评审批情况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_Toc14595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_Toc31951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2.7项目投资</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_Toc31951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2.8项目变更情况说明</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_Toc18868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2.9环境保护“三同时”落实情况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_Toc18868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_Toc1554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2.10验收范围及内容</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_Toc1554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10</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_Toc2185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3主要污染源及治理措施</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_Toc2185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_Toc12186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3.1施工期主要污染源及治理措施</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_Toc12186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_Toc28537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3.2运行期主要污染源及治理措施</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_Toc28537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_Toc3932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3.2.1废气</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_Toc3932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_Toc18379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w:t>
      </w:r>
      <w:r>
        <w:rPr>
          <w:rFonts w:hint="eastAsia" w:ascii="Times New Roman" w:hAnsi="Times New Roman" w:eastAsia="宋体"/>
          <w:color w:val="000000" w:themeColor="text1"/>
          <w:lang w:val="en-US" w:eastAsia="zh-CN"/>
          <w14:textFill>
            <w14:solidFill>
              <w14:schemeClr w14:val="tx1"/>
            </w14:solidFill>
          </w14:textFill>
        </w:rPr>
        <w:t>2</w:t>
      </w:r>
      <w:r>
        <w:rPr>
          <w:rFonts w:hint="default" w:ascii="Times New Roman" w:hAnsi="Times New Roman" w:eastAsia="宋体"/>
          <w:color w:val="000000" w:themeColor="text1"/>
          <w14:textFill>
            <w14:solidFill>
              <w14:schemeClr w14:val="tx1"/>
            </w14:solidFill>
          </w14:textFill>
        </w:rPr>
        <w:t>废水</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_Toc18379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_Toc32691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w:t>
      </w:r>
      <w:r>
        <w:rPr>
          <w:rFonts w:hint="eastAsia" w:ascii="Times New Roman" w:hAnsi="Times New Roman" w:eastAsia="宋体"/>
          <w:color w:val="000000" w:themeColor="text1"/>
          <w:lang w:val="en-US" w:eastAsia="zh-CN"/>
          <w14:textFill>
            <w14:solidFill>
              <w14:schemeClr w14:val="tx1"/>
            </w14:solidFill>
          </w14:textFill>
        </w:rPr>
        <w:t>3</w:t>
      </w:r>
      <w:r>
        <w:rPr>
          <w:rFonts w:hint="default" w:ascii="Times New Roman" w:hAnsi="Times New Roman" w:eastAsia="宋体"/>
          <w:color w:val="000000" w:themeColor="text1"/>
          <w14:textFill>
            <w14:solidFill>
              <w14:schemeClr w14:val="tx1"/>
            </w14:solidFill>
          </w14:textFill>
        </w:rPr>
        <w:t>噪声</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_Toc32691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_Toc2397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w:t>
      </w:r>
      <w:r>
        <w:rPr>
          <w:rFonts w:hint="eastAsia" w:ascii="Times New Roman" w:hAnsi="Times New Roman" w:eastAsia="宋体"/>
          <w:color w:val="000000" w:themeColor="text1"/>
          <w:lang w:val="en-US" w:eastAsia="zh-CN"/>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t>固体废物</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_Toc2397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_Toc32061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4环评主要结论及环评批复要求</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_Toc32061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_Toc25915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4.1建设项目环评报告表的主要结论与建议</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_Toc25915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_Toc16482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4.2审批部门审批意见</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_Toc16482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_Toc17668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4.3审批意见落实情况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_Toc17668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_Toc5137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5验收评价标准</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_Toc5137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_Toc24574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5.1污染物排放标准</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_Toc24574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20</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_Toc8485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5.1.1废气</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_Toc8485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20</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_Toc5747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5.1.2噪声</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_Toc5747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20</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_Toc18932 </w:instrText>
      </w:r>
      <w:r>
        <w:rPr>
          <w:rFonts w:hint="default" w:ascii="Times New Roman" w:hAnsi="Times New Roman" w:eastAsia="宋体"/>
          <w:color w:val="000000" w:themeColor="text1"/>
          <w14:textFill>
            <w14:solidFill>
              <w14:schemeClr w14:val="tx1"/>
            </w14:solidFill>
          </w14:textFill>
        </w:rPr>
        <w:fldChar w:fldCharType="separate"/>
      </w:r>
      <w:r>
        <w:rPr>
          <w:rFonts w:hint="eastAsia" w:ascii="Times New Roman" w:hAnsi="Times New Roman" w:eastAsia="宋体"/>
          <w:color w:val="000000" w:themeColor="text1"/>
          <w14:textFill>
            <w14:solidFill>
              <w14:schemeClr w14:val="tx1"/>
            </w14:solidFill>
          </w14:textFill>
        </w:rPr>
        <w:t>5.2总量控制指标</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_Toc18932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_Toc23350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6质量保障措施和检测分析方法</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_Toc23350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_Toc18061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6.1质量保障体系</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_Toc18061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_Toc32733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6.2检测分析方法</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_Toc32733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_Toc2862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7验收检测结果及分析</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_Toc2862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25</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_Toc20500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7.1检测结果</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_Toc20500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25</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_Toc5375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7.2检测结果分析</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_Toc5375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28</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_Toc2782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7.3总量控制要求</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_Toc2782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29</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_Toc5202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8环境管理检查</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_Toc5202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_Toc32093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8.1环保管理机构</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_Toc32093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_Toc29686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szCs w:val="22"/>
          <w14:textFill>
            <w14:solidFill>
              <w14:schemeClr w14:val="tx1"/>
            </w14:solidFill>
          </w14:textFill>
        </w:rPr>
        <w:t>8.2施工期环境管理</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_Toc29686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_Toc30001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8.3运行期环境管理</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_Toc30001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_Toc5087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8.4社会环境影响情况调查</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_Toc5087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_Toc7270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8.5环境管理情况分析</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_Toc7270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30</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_Toc12811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9结论和建议</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_Toc12811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_Toc3234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9.1验收主要结论</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_Toc3234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_Toc18401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9.2建议</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_Toc18401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color w:val="000000" w:themeColor="text1"/>
          <w:sz w:val="30"/>
          <w:szCs w:val="30"/>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s="Times New Roman"/>
          <w:b/>
          <w:color w:val="000000" w:themeColor="text1"/>
          <w:sz w:val="30"/>
          <w:szCs w:val="30"/>
          <w14:textFill>
            <w14:solidFill>
              <w14:schemeClr w14:val="tx1"/>
            </w14:solidFill>
          </w14:textFill>
        </w:rPr>
        <w:t>附图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1、项目地理位置图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企业周边关系图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、项目平面布置图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项目卫生防护距离包络线图</w:t>
      </w:r>
    </w:p>
    <w:p>
      <w:pPr>
        <w:pStyle w:val="20"/>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color w:val="000000" w:themeColor="text1"/>
          <w:sz w:val="30"/>
          <w:szCs w:val="30"/>
          <w14:textFill>
            <w14:solidFill>
              <w14:schemeClr w14:val="tx1"/>
            </w14:solidFill>
          </w14:textFill>
        </w:rPr>
      </w:pPr>
      <w:r>
        <w:rPr>
          <w:rFonts w:hint="default" w:ascii="Times New Roman" w:hAnsi="Times New Roman" w:eastAsia="宋体" w:cs="Times New Roman"/>
          <w:b/>
          <w:color w:val="000000" w:themeColor="text1"/>
          <w:sz w:val="30"/>
          <w:szCs w:val="30"/>
          <w14:textFill>
            <w14:solidFill>
              <w14:schemeClr w14:val="tx1"/>
            </w14:solidFill>
          </w14:textFill>
        </w:rPr>
        <w:t>附件</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1、环评审批意见</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2、营业执照</w:t>
      </w:r>
    </w:p>
    <w:p>
      <w:pPr>
        <w:spacing w:line="480" w:lineRule="atLeast"/>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3、备案信息</w:t>
      </w:r>
    </w:p>
    <w:p>
      <w:pPr>
        <w:spacing w:line="480" w:lineRule="atLeast"/>
        <w:rPr>
          <w:rFonts w:hint="default" w:ascii="Times New Roman" w:hAnsi="Times New Roman" w:eastAsia="宋体" w:cs="Times New Roman"/>
          <w:color w:val="000000" w:themeColor="text1"/>
          <w:sz w:val="24"/>
          <w:szCs w:val="24"/>
          <w:highlight w:val="red"/>
          <w14:textFill>
            <w14:solidFill>
              <w14:schemeClr w14:val="tx1"/>
            </w14:solidFill>
          </w14:textFill>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3"/>
        <w:jc w:val="center"/>
        <w:rPr>
          <w:rFonts w:hint="default" w:ascii="Times New Roman" w:hAnsi="Times New Roman" w:eastAsia="宋体" w:cs="Times New Roman"/>
          <w:color w:val="000000" w:themeColor="text1"/>
          <w14:textFill>
            <w14:solidFill>
              <w14:schemeClr w14:val="tx1"/>
            </w14:solidFill>
          </w14:textFill>
        </w:rPr>
      </w:pPr>
      <w:bookmarkStart w:id="2" w:name="_Toc20373"/>
      <w:bookmarkStart w:id="3" w:name="_Toc10004"/>
      <w:bookmarkStart w:id="4" w:name="_Toc13375"/>
      <w:bookmarkStart w:id="5" w:name="_Toc9675"/>
      <w:r>
        <w:rPr>
          <w:rFonts w:hint="default" w:ascii="Times New Roman" w:hAnsi="Times New Roman" w:eastAsia="宋体" w:cs="Times New Roman"/>
          <w:color w:val="000000" w:themeColor="text1"/>
          <w14:textFill>
            <w14:solidFill>
              <w14:schemeClr w14:val="tx1"/>
            </w14:solidFill>
          </w14:textFill>
        </w:rPr>
        <w:t>前言</w:t>
      </w:r>
      <w:bookmarkEnd w:id="2"/>
      <w:bookmarkEnd w:id="3"/>
      <w:bookmarkEnd w:id="4"/>
      <w:bookmarkEnd w:id="5"/>
    </w:p>
    <w:p>
      <w:pPr>
        <w:spacing w:line="440" w:lineRule="atLeast"/>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沧州东合塑业有限公司位于沧县风化店乡东曹庄子村北，企业投资48.00万元建设沧州东合塑业有限公司塑料制品生产线技术改造项目，沧州东合塑业有限公司于2021年6月委托河北尚锐环保科技有限公司编制完成了《沧州东合塑业有限公司塑料制品生产线技术改造项目环境影响报告表》，于2021年9月3日取得了沧县行政审批局的批复，审批文号为沧县行审（环）字【2021】076号。企业已于2021年11月26日进行排污登记变更，登记编号为91130921MA07Q5009H001W。</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2022年1月，沧州东合塑业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州东合塑业有限公司委托河北如是环境检测服务有限公司于</w:t>
      </w:r>
      <w:bookmarkStart w:id="6" w:name="_Hlk496985984"/>
      <w:r>
        <w:rPr>
          <w:rFonts w:hint="eastAsia" w:ascii="Times New Roman" w:hAnsi="Times New Roman" w:cs="Times New Roman"/>
          <w:color w:val="000000" w:themeColor="text1"/>
          <w:sz w:val="24"/>
          <w:szCs w:val="24"/>
          <w:lang w:val="en-US" w:eastAsia="zh-CN"/>
          <w14:textFill>
            <w14:solidFill>
              <w14:schemeClr w14:val="tx1"/>
            </w14:solidFill>
          </w14:textFill>
        </w:rPr>
        <w:t>2021年12月16日至12月17日</w:t>
      </w:r>
      <w:bookmarkEnd w:id="6"/>
      <w:r>
        <w:rPr>
          <w:rFonts w:hint="eastAsia" w:ascii="Times New Roman" w:hAnsi="Times New Roman" w:cs="Times New Roman"/>
          <w:color w:val="000000" w:themeColor="text1"/>
          <w:sz w:val="24"/>
          <w:szCs w:val="24"/>
          <w:lang w:val="en-US" w:eastAsia="zh-CN"/>
          <w14:textFill>
            <w14:solidFill>
              <w14:schemeClr w14:val="tx1"/>
            </w14:solidFill>
          </w14:textFill>
        </w:rPr>
        <w:t>进行了竣工验收检测并出具检测报告，报告编号为：如环（委）字〔2021〕第11171（A）号。沧州东合塑业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3"/>
        <w:rPr>
          <w:rFonts w:hint="default" w:ascii="Times New Roman" w:hAnsi="Times New Roman" w:eastAsia="宋体" w:cs="Times New Roman"/>
          <w:color w:val="000000" w:themeColor="text1"/>
          <w14:textFill>
            <w14:solidFill>
              <w14:schemeClr w14:val="tx1"/>
            </w14:solidFill>
          </w14:textFill>
        </w:rPr>
      </w:pPr>
      <w:bookmarkStart w:id="7" w:name="_Toc17755"/>
      <w:bookmarkStart w:id="8" w:name="_Toc23777"/>
      <w:bookmarkStart w:id="9" w:name="_Toc25774"/>
      <w:bookmarkStart w:id="10" w:name="_Toc14085"/>
      <w:r>
        <w:rPr>
          <w:rFonts w:hint="default" w:ascii="Times New Roman" w:hAnsi="Times New Roman" w:eastAsia="宋体" w:cs="Times New Roman"/>
          <w:color w:val="000000" w:themeColor="text1"/>
          <w14:textFill>
            <w14:solidFill>
              <w14:schemeClr w14:val="tx1"/>
            </w14:solidFill>
          </w14:textFill>
        </w:rPr>
        <w:t>1验收编制依据</w:t>
      </w:r>
      <w:bookmarkEnd w:id="7"/>
      <w:bookmarkEnd w:id="8"/>
      <w:bookmarkEnd w:id="9"/>
      <w:bookmarkEnd w:id="10"/>
    </w:p>
    <w:p>
      <w:pPr>
        <w:pStyle w:val="4"/>
        <w:rPr>
          <w:rFonts w:hint="default" w:ascii="Times New Roman" w:hAnsi="Times New Roman" w:eastAsia="宋体" w:cs="Times New Roman"/>
          <w:color w:val="000000" w:themeColor="text1"/>
          <w14:textFill>
            <w14:solidFill>
              <w14:schemeClr w14:val="tx1"/>
            </w14:solidFill>
          </w14:textFill>
        </w:rPr>
      </w:pPr>
      <w:bookmarkStart w:id="11" w:name="_Toc5229"/>
      <w:bookmarkStart w:id="12" w:name="_Toc30258"/>
      <w:bookmarkStart w:id="13" w:name="_Toc12399"/>
      <w:bookmarkStart w:id="14" w:name="_Toc32325"/>
      <w:r>
        <w:rPr>
          <w:rFonts w:hint="default" w:ascii="Times New Roman" w:hAnsi="Times New Roman" w:eastAsia="宋体" w:cs="Times New Roman"/>
          <w:color w:val="000000" w:themeColor="text1"/>
          <w14:textFill>
            <w14:solidFill>
              <w14:schemeClr w14:val="tx1"/>
            </w14:solidFill>
          </w14:textFill>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（1）《中华人民共和国环境保护法》，（2015年1月1日起施行）；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（2）《中华人民共和国环境影响评价法》，（2016年9月1日起施行）；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（3）《中华人民共和国水污染防治法》（20</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8年</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（4）《中华人民共和国大气污染防治法》，（2016年1月1日施行）；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（5）《中华人民共和国环境噪声污染防治法》，（1997年3月1日起施行）；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（6）《中华人民共和国固体废物污染环境防治法》，</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2015年4月1日起施行）；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（7）《建设项目环境保护管理条例》，（2017年10月1日起施行）；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（8）《建设项目环境影响评价分类管理名录》（2017年9月1日起施行）；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（9）《河北省环境保护条例》，（2005年5月1日起施行）。</w:t>
      </w:r>
    </w:p>
    <w:p>
      <w:pPr>
        <w:pStyle w:val="4"/>
        <w:rPr>
          <w:rFonts w:hint="default" w:ascii="Times New Roman" w:hAnsi="Times New Roman" w:eastAsia="宋体" w:cs="Times New Roman"/>
          <w:color w:val="000000" w:themeColor="text1"/>
          <w14:textFill>
            <w14:solidFill>
              <w14:schemeClr w14:val="tx1"/>
            </w14:solidFill>
          </w14:textFill>
        </w:rPr>
      </w:pPr>
      <w:bookmarkStart w:id="15" w:name="_Toc17067"/>
      <w:bookmarkStart w:id="16" w:name="_Toc19988"/>
      <w:bookmarkStart w:id="17" w:name="_Toc19837"/>
      <w:bookmarkStart w:id="18" w:name="_Toc11240"/>
      <w:r>
        <w:rPr>
          <w:rFonts w:hint="default" w:ascii="Times New Roman" w:hAnsi="Times New Roman" w:eastAsia="宋体" w:cs="Times New Roman"/>
          <w:color w:val="000000" w:themeColor="text1"/>
          <w14:textFill>
            <w14:solidFill>
              <w14:schemeClr w14:val="tx1"/>
            </w14:solidFill>
          </w14:textFill>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（1）《环境影响评价技术导则总纲》（HJ2.1-2016）；</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（2）《环境影响评价技术导则大气环境》（HJ2.2-20</w:t>
      </w:r>
      <w:r>
        <w:rPr>
          <w:rFonts w:hint="eastAsia" w:ascii="Times New Roman" w:hAnsi="Times New Roman" w:cs="Times New Roman"/>
          <w:color w:val="000000" w:themeColor="text1"/>
          <w:sz w:val="24"/>
          <w:szCs w:val="24"/>
          <w:lang w:val="en-US" w:eastAsia="zh-CN"/>
          <w14:textFill>
            <w14:solidFill>
              <w14:schemeClr w14:val="tx1"/>
            </w14:solidFill>
          </w14:textFill>
        </w:rPr>
        <w:t>18</w:t>
      </w:r>
      <w:r>
        <w:rPr>
          <w:rFonts w:hint="default"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（3）《环境影响评价技术导则地</w:t>
      </w:r>
      <w:r>
        <w:rPr>
          <w:rFonts w:hint="eastAsia" w:ascii="Times New Roman" w:hAnsi="Times New Roman" w:cs="Times New Roman"/>
          <w:color w:val="000000" w:themeColor="text1"/>
          <w:sz w:val="24"/>
          <w:szCs w:val="24"/>
          <w:lang w:val="en-US" w:eastAsia="zh-CN"/>
          <w14:textFill>
            <w14:solidFill>
              <w14:schemeClr w14:val="tx1"/>
            </w14:solidFill>
          </w14:textFill>
        </w:rPr>
        <w:t>表</w:t>
      </w:r>
      <w:r>
        <w:rPr>
          <w:rFonts w:hint="default" w:ascii="Times New Roman" w:hAnsi="Times New Roman" w:eastAsia="宋体" w:cs="Times New Roman"/>
          <w:color w:val="000000" w:themeColor="text1"/>
          <w:sz w:val="24"/>
          <w:szCs w:val="24"/>
          <w14:textFill>
            <w14:solidFill>
              <w14:schemeClr w14:val="tx1"/>
            </w14:solidFill>
          </w14:textFill>
        </w:rPr>
        <w:t>水环境》（HJ/T2.3-</w:t>
      </w:r>
      <w:r>
        <w:rPr>
          <w:rFonts w:hint="eastAsia" w:ascii="Times New Roman" w:hAnsi="Times New Roman" w:cs="Times New Roman"/>
          <w:color w:val="000000" w:themeColor="text1"/>
          <w:sz w:val="24"/>
          <w:szCs w:val="24"/>
          <w:lang w:val="en-US" w:eastAsia="zh-CN"/>
          <w14:textFill>
            <w14:solidFill>
              <w14:schemeClr w14:val="tx1"/>
            </w14:solidFill>
          </w14:textFill>
        </w:rPr>
        <w:t>2018</w:t>
      </w:r>
      <w:r>
        <w:rPr>
          <w:rFonts w:hint="default"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（4）《环境影响评价技术导则地下水环境》（HJ610-2016）；</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（5）《环境影响评价技术导则声环境》（HJ2.4-2009）；</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（6）《环境影响评价技术导则生态影响》（HJ19-2011）；</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8</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《声环境质量标准》（GB3096-2008）</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eastAsia" w:ascii="Times New Roman" w:hAnsi="Times New Roman" w:cs="Times New Roman"/>
          <w:color w:val="000000" w:themeColor="text1"/>
          <w:sz w:val="24"/>
          <w:szCs w:val="24"/>
          <w:lang w:eastAsia="zh-CN"/>
          <w14:textFill>
            <w14:solidFill>
              <w14:schemeClr w14:val="tx1"/>
            </w14:solidFill>
          </w14:textFill>
        </w:rPr>
        <w:t>）《烧碱、聚氯乙烯工业污染物排放标准》（GB15581-2016）；</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10</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《工业企业挥发性有机物排放控制标准》（DB13/2322-2016）</w:t>
      </w:r>
      <w:r>
        <w:rPr>
          <w:rFonts w:hint="eastAsia" w:ascii="Times New Roman" w:hAnsi="Times New Roman"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11</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《挥发性有机物无组织排放控制标准》（GB37822-2019）</w:t>
      </w:r>
      <w:r>
        <w:rPr>
          <w:rFonts w:hint="eastAsia" w:ascii="Times New Roman" w:hAnsi="Times New Roman" w:cs="Times New Roman"/>
          <w:color w:val="000000" w:themeColor="text1"/>
          <w:sz w:val="24"/>
          <w:szCs w:val="24"/>
          <w:lang w:eastAsia="zh-CN"/>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color w:val="000000" w:themeColor="text1"/>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12</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大气污染物综合排放</w:t>
      </w:r>
      <w:r>
        <w:rPr>
          <w:rFonts w:hint="default" w:ascii="Times New Roman" w:hAnsi="Times New Roman" w:eastAsia="宋体" w:cs="Times New Roman"/>
          <w:color w:val="000000" w:themeColor="text1"/>
          <w:sz w:val="24"/>
          <w:szCs w:val="24"/>
          <w14:textFill>
            <w14:solidFill>
              <w14:schemeClr w14:val="tx1"/>
            </w14:solidFill>
          </w14:textFill>
        </w:rPr>
        <w:t>标准》（</w:t>
      </w:r>
      <w:r>
        <w:rPr>
          <w:rFonts w:hint="eastAsia" w:ascii="Times New Roman" w:hAnsi="Times New Roman" w:cs="Times New Roman"/>
          <w:color w:val="000000" w:themeColor="text1"/>
          <w:sz w:val="24"/>
          <w:szCs w:val="24"/>
          <w:lang w:val="en-US" w:eastAsia="zh-CN"/>
          <w14:textFill>
            <w14:solidFill>
              <w14:schemeClr w14:val="tx1"/>
            </w14:solidFill>
          </w14:textFill>
        </w:rPr>
        <w:t>G</w:t>
      </w:r>
      <w:r>
        <w:rPr>
          <w:rFonts w:hint="default" w:ascii="Times New Roman" w:hAnsi="Times New Roman" w:eastAsia="宋体" w:cs="Times New Roman"/>
          <w:color w:val="000000" w:themeColor="text1"/>
          <w:sz w:val="24"/>
          <w:szCs w:val="24"/>
          <w14:textFill>
            <w14:solidFill>
              <w14:schemeClr w14:val="tx1"/>
            </w14:solidFill>
          </w14:textFill>
        </w:rPr>
        <w:t>B1</w:t>
      </w:r>
      <w:r>
        <w:rPr>
          <w:rFonts w:hint="eastAsia" w:ascii="Times New Roman" w:hAnsi="Times New Roman" w:cs="Times New Roman"/>
          <w:color w:val="000000" w:themeColor="text1"/>
          <w:sz w:val="24"/>
          <w:szCs w:val="24"/>
          <w:lang w:val="en-US" w:eastAsia="zh-CN"/>
          <w14:textFill>
            <w14:solidFill>
              <w14:schemeClr w14:val="tx1"/>
            </w14:solidFill>
          </w14:textFill>
        </w:rPr>
        <w:t>6297</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1996</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40" w:lineRule="atLeast"/>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13</w:t>
      </w:r>
      <w:r>
        <w:rPr>
          <w:rFonts w:hint="default" w:ascii="Times New Roman" w:hAnsi="Times New Roman" w:eastAsia="宋体" w:cs="Times New Roman"/>
          <w:color w:val="000000" w:themeColor="text1"/>
          <w:sz w:val="24"/>
          <w:szCs w:val="24"/>
          <w:lang w:eastAsia="zh-CN"/>
          <w14:textFill>
            <w14:solidFill>
              <w14:schemeClr w14:val="tx1"/>
            </w14:solidFill>
          </w14:textFill>
        </w:rPr>
        <w:t>）《工业企业厂界环境噪声排放标准》（GB12348-2008）；</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14</w:t>
      </w:r>
      <w:r>
        <w:rPr>
          <w:rFonts w:hint="default" w:ascii="Times New Roman" w:hAnsi="Times New Roman" w:eastAsia="宋体" w:cs="Times New Roman"/>
          <w:color w:val="000000" w:themeColor="text1"/>
          <w:sz w:val="24"/>
          <w:szCs w:val="24"/>
          <w14:textFill>
            <w14:solidFill>
              <w14:schemeClr w14:val="tx1"/>
            </w14:solidFill>
          </w14:textFill>
        </w:rPr>
        <w:t>）《一般工业固体废物贮存、处置场污染控制标准》（GB18599-2001）</w:t>
      </w:r>
      <w:r>
        <w:rPr>
          <w:rFonts w:hint="eastAsia" w:ascii="Times New Roman" w:hAnsi="Times New Roman" w:eastAsia="宋体" w:cs="Times New Roman"/>
          <w:color w:val="000000" w:themeColor="text1"/>
          <w:sz w:val="24"/>
          <w:szCs w:val="24"/>
          <w:lang w:eastAsia="zh-CN"/>
          <w14:textFill>
            <w14:solidFill>
              <w14:schemeClr w14:val="tx1"/>
            </w14:solidFill>
          </w14:textFill>
        </w:rPr>
        <w:t>及</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修改单；</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15</w:t>
      </w:r>
      <w:r>
        <w:rPr>
          <w:rFonts w:hint="default" w:ascii="Times New Roman" w:hAnsi="Times New Roman" w:eastAsia="宋体" w:cs="Times New Roman"/>
          <w:color w:val="000000" w:themeColor="text1"/>
          <w:sz w:val="24"/>
          <w:szCs w:val="24"/>
          <w14:textFill>
            <w14:solidFill>
              <w14:schemeClr w14:val="tx1"/>
            </w14:solidFill>
          </w14:textFill>
        </w:rPr>
        <w:t>）《关于规范建设单位自主开展建设项目竣工环</w:t>
      </w:r>
      <w:r>
        <w:rPr>
          <w:rFonts w:hint="default" w:ascii="Times New Roman" w:hAnsi="Times New Roman" w:eastAsia="宋体" w:cs="Times New Roman"/>
          <w:color w:val="000000" w:themeColor="text1"/>
          <w:kern w:val="0"/>
          <w:sz w:val="24"/>
          <w:szCs w:val="24"/>
          <w14:textFill>
            <w14:solidFill>
              <w14:schemeClr w14:val="tx1"/>
            </w14:solidFill>
          </w14:textFill>
        </w:rPr>
        <w:t>境保护验收的通知》</w:t>
      </w:r>
      <w:r>
        <w:rPr>
          <w:rFonts w:hint="default" w:ascii="Times New Roman" w:hAnsi="Times New Roman" w:eastAsia="宋体" w:cs="Times New Roman"/>
          <w:color w:val="000000" w:themeColor="text1"/>
          <w:sz w:val="24"/>
          <w:szCs w:val="24"/>
          <w14:textFill>
            <w14:solidFill>
              <w14:schemeClr w14:val="tx1"/>
            </w14:solidFill>
          </w14:textFill>
        </w:rPr>
        <w:t>（环境保护部）</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2017年11月22日</w:t>
      </w:r>
      <w:r>
        <w:rPr>
          <w:rFonts w:hint="default" w:ascii="Times New Roman" w:hAnsi="Times New Roman" w:eastAsia="宋体" w:cs="Times New Roman"/>
          <w:color w:val="000000" w:themeColor="text1"/>
          <w:sz w:val="24"/>
          <w:szCs w:val="24"/>
          <w14:textFill>
            <w14:solidFill>
              <w14:schemeClr w14:val="tx1"/>
            </w14:solidFill>
          </w14:textFill>
        </w:rPr>
        <w:t>起施行</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80" w:lineRule="atLeast"/>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16</w:t>
      </w:r>
      <w:r>
        <w:rPr>
          <w:rFonts w:hint="default" w:ascii="Times New Roman" w:hAnsi="Times New Roman" w:eastAsia="宋体" w:cs="Times New Roman"/>
          <w:color w:val="000000" w:themeColor="text1"/>
          <w:sz w:val="24"/>
          <w:szCs w:val="24"/>
          <w14:textFill>
            <w14:solidFill>
              <w14:schemeClr w14:val="tx1"/>
            </w14:solidFill>
          </w14:textFill>
        </w:rPr>
        <w:t>）《建设项目环境影响评价文件审批及建设单位自主开展环境保护设施验收工作指引（试行）》（河北省环境保护厅）</w:t>
      </w:r>
      <w:r>
        <w:rPr>
          <w:rFonts w:hint="eastAsia" w:ascii="Times New Roman" w:hAnsi="Times New Roman" w:eastAsia="宋体" w:cs="Times New Roman"/>
          <w:color w:val="000000" w:themeColor="text1"/>
          <w:sz w:val="24"/>
          <w:szCs w:val="24"/>
          <w:lang w:eastAsia="zh-CN"/>
          <w14:textFill>
            <w14:solidFill>
              <w14:schemeClr w14:val="tx1"/>
            </w14:solidFill>
          </w14:textFill>
        </w:rPr>
        <w:t>，冀环办字函</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[2017]727号，2017.11.23</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40" w:lineRule="atLeast"/>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17</w:t>
      </w:r>
      <w:r>
        <w:rPr>
          <w:rFonts w:hint="default" w:ascii="Times New Roman" w:hAnsi="Times New Roman" w:eastAsia="宋体" w:cs="Times New Roman"/>
          <w:color w:val="000000" w:themeColor="text1"/>
          <w:sz w:val="24"/>
          <w:szCs w:val="24"/>
          <w14:textFill>
            <w14:solidFill>
              <w14:schemeClr w14:val="tx1"/>
            </w14:solidFill>
          </w14:textFill>
        </w:rPr>
        <w:t>）《建设项目竣工环境保护验收技术指南污染影响类》</w:t>
      </w:r>
      <w:r>
        <w:rPr>
          <w:rFonts w:hint="default" w:ascii="Times New Roman" w:hAnsi="Times New Roman" w:eastAsia="宋体" w:cs="Times New Roman"/>
          <w:color w:val="000000" w:themeColor="text1"/>
          <w:sz w:val="24"/>
          <w:szCs w:val="24"/>
          <w:lang w:eastAsia="zh-CN"/>
          <w14:textFill>
            <w14:solidFill>
              <w14:schemeClr w14:val="tx1"/>
            </w14:solidFill>
          </w14:textFill>
        </w:rPr>
        <w:t>（生态</w:t>
      </w:r>
      <w:r>
        <w:rPr>
          <w:rFonts w:hint="eastAsia" w:ascii="Times New Roman" w:hAnsi="Times New Roman" w:cs="Times New Roman"/>
          <w:color w:val="000000" w:themeColor="text1"/>
          <w:sz w:val="24"/>
          <w:szCs w:val="24"/>
          <w:lang w:eastAsia="zh-CN"/>
          <w14:textFill>
            <w14:solidFill>
              <w14:schemeClr w14:val="tx1"/>
            </w14:solidFill>
          </w14:textFill>
        </w:rPr>
        <w:t>环境</w:t>
      </w:r>
      <w:r>
        <w:rPr>
          <w:rFonts w:hint="default" w:ascii="Times New Roman" w:hAnsi="Times New Roman" w:eastAsia="宋体" w:cs="Times New Roman"/>
          <w:color w:val="000000" w:themeColor="text1"/>
          <w:sz w:val="24"/>
          <w:szCs w:val="24"/>
          <w:lang w:eastAsia="zh-CN"/>
          <w14:textFill>
            <w14:solidFill>
              <w14:schemeClr w14:val="tx1"/>
            </w14:solidFill>
          </w14:textFill>
        </w:rPr>
        <w:t>部）</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eastAsia="zh-CN"/>
          <w14:textFill>
            <w14:solidFill>
              <w14:schemeClr w14:val="tx1"/>
            </w14:solidFill>
          </w14:textFill>
        </w:rPr>
        <w:t>公告</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2018年第9号</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2018.05.1</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9" w:name="_Toc31818"/>
      <w:bookmarkStart w:id="20" w:name="_Toc25083"/>
      <w:bookmarkStart w:id="21" w:name="_Toc25756"/>
      <w:bookmarkStart w:id="22" w:name="_Toc26393"/>
      <w:r>
        <w:rPr>
          <w:rFonts w:hint="default" w:ascii="Times New Roman" w:hAnsi="Times New Roman" w:eastAsia="宋体" w:cs="Times New Roman"/>
          <w:color w:val="000000" w:themeColor="text1"/>
          <w14:textFill>
            <w14:solidFill>
              <w14:schemeClr w14:val="tx1"/>
            </w14:solidFill>
          </w14:textFill>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w:t>
      </w:r>
      <w:r>
        <w:rPr>
          <w:rFonts w:hint="eastAsia" w:ascii="Times New Roman" w:hAnsi="Times New Roman"/>
          <w:color w:val="000000" w:themeColor="text1"/>
          <w:sz w:val="24"/>
          <w:lang w:val="en-US" w:eastAsia="zh-CN"/>
          <w14:textFill>
            <w14:solidFill>
              <w14:schemeClr w14:val="tx1"/>
            </w14:solidFill>
          </w14:textFill>
        </w:rPr>
        <w:t>河北尚锐环保科技有限公司</w:t>
      </w:r>
      <w:r>
        <w:rPr>
          <w:rFonts w:hint="eastAsia" w:ascii="Times New Roman" w:hAnsi="Times New Roman" w:eastAsia="宋体"/>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pacing w:val="0"/>
          <w:kern w:val="0"/>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沧州东合塑业有限公司塑料制品生产线技术改造项目</w:t>
      </w:r>
      <w:r>
        <w:rPr>
          <w:rFonts w:hint="eastAsia" w:ascii="Times New Roman" w:hAnsi="Times New Roman" w:cs="Times New Roman"/>
          <w:color w:val="000000" w:themeColor="text1"/>
          <w:kern w:val="0"/>
          <w:sz w:val="24"/>
          <w:szCs w:val="24"/>
          <w:lang w:val="en-US" w:eastAsia="zh-CN"/>
          <w14:textFill>
            <w14:solidFill>
              <w14:schemeClr w14:val="tx1"/>
            </w14:solidFill>
          </w14:textFill>
        </w:rPr>
        <w:t>环境影响报告表</w:t>
      </w:r>
      <w:r>
        <w:rPr>
          <w:rFonts w:hint="eastAsia" w:ascii="Times New Roman" w:hAnsi="Times New Roman" w:eastAsia="宋体" w:cs="Times New Roman"/>
          <w:color w:val="000000" w:themeColor="text1"/>
          <w:spacing w:val="0"/>
          <w:kern w:val="0"/>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2021</w:t>
      </w:r>
      <w:r>
        <w:rPr>
          <w:rFonts w:hint="default" w:ascii="Times New Roman" w:hAnsi="Times New Roman" w:eastAsia="宋体"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14:textFill>
            <w14:solidFill>
              <w14:schemeClr w14:val="tx1"/>
            </w14:solidFill>
          </w14:textFill>
        </w:rPr>
        <w:t>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kern w:val="0"/>
          <w:sz w:val="24"/>
          <w:szCs w:val="24"/>
          <w:lang w:val="en-US" w:eastAsia="zh-CN"/>
          <w14:textFill>
            <w14:solidFill>
              <w14:schemeClr w14:val="tx1"/>
            </w14:solidFill>
          </w14:textFill>
        </w:rPr>
        <w:t>沧县行政审批局的批复</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沧县行审（环）字【2021】076号</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关于《</w:t>
      </w:r>
      <w:r>
        <w:rPr>
          <w:rFonts w:hint="eastAsia" w:ascii="Times New Roman" w:hAnsi="Times New Roman" w:cs="Times New Roman"/>
          <w:color w:val="000000" w:themeColor="text1"/>
          <w:sz w:val="24"/>
          <w:szCs w:val="24"/>
          <w:lang w:val="en-US" w:eastAsia="zh-CN"/>
          <w14:textFill>
            <w14:solidFill>
              <w14:schemeClr w14:val="tx1"/>
            </w14:solidFill>
          </w14:textFill>
        </w:rPr>
        <w:t>沧州东合塑业有限公司塑料制品生产线技术改造项目</w:t>
      </w:r>
      <w:r>
        <w:rPr>
          <w:rFonts w:hint="default" w:ascii="Times New Roman" w:hAnsi="Times New Roman" w:eastAsia="宋体" w:cs="Times New Roman"/>
          <w:color w:val="000000" w:themeColor="text1"/>
          <w:sz w:val="24"/>
          <w:szCs w:val="24"/>
          <w14:textFill>
            <w14:solidFill>
              <w14:schemeClr w14:val="tx1"/>
            </w14:solidFill>
          </w14:textFill>
        </w:rPr>
        <w:t>》的审批意见，</w:t>
      </w:r>
      <w:r>
        <w:rPr>
          <w:rFonts w:hint="eastAsia" w:ascii="Times New Roman" w:hAnsi="Times New Roman" w:cs="Times New Roman"/>
          <w:color w:val="000000" w:themeColor="text1"/>
          <w:sz w:val="24"/>
          <w:szCs w:val="24"/>
          <w:lang w:val="en-US" w:eastAsia="zh-CN"/>
          <w14:textFill>
            <w14:solidFill>
              <w14:schemeClr w14:val="tx1"/>
            </w14:solidFill>
          </w14:textFill>
        </w:rPr>
        <w:t>2021</w:t>
      </w:r>
      <w:r>
        <w:rPr>
          <w:rFonts w:hint="default" w:ascii="Times New Roman" w:hAnsi="Times New Roman" w:eastAsia="宋体"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default" w:ascii="Times New Roman" w:hAnsi="Times New Roman" w:eastAsia="宋体" w:cs="Times New Roman"/>
          <w:color w:val="000000" w:themeColor="text1"/>
          <w:sz w:val="24"/>
          <w:szCs w:val="24"/>
          <w14:textFill>
            <w14:solidFill>
              <w14:schemeClr w14:val="tx1"/>
            </w14:solidFill>
          </w14:textFill>
        </w:rPr>
        <w:t>月</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w:t>
      </w:r>
      <w:r>
        <w:rPr>
          <w:rFonts w:hint="eastAsia" w:ascii="Times New Roman" w:hAnsi="Times New Roman" w:cs="Times New Roman"/>
          <w:color w:val="000000" w:themeColor="text1"/>
          <w:sz w:val="24"/>
          <w:szCs w:val="24"/>
          <w:lang w:val="en-US" w:eastAsia="zh-CN"/>
          <w14:textFill>
            <w14:solidFill>
              <w14:schemeClr w14:val="tx1"/>
            </w14:solidFill>
          </w14:textFill>
        </w:rPr>
        <w:t>沧州东合塑业有限公司</w:t>
      </w:r>
      <w:r>
        <w:rPr>
          <w:rFonts w:hint="default" w:ascii="Times New Roman" w:hAnsi="Times New Roman" w:eastAsia="宋体" w:cs="Times New Roman"/>
          <w:color w:val="000000" w:themeColor="text1"/>
          <w:sz w:val="24"/>
          <w:szCs w:val="24"/>
          <w14:textFill>
            <w14:solidFill>
              <w14:schemeClr w14:val="tx1"/>
            </w14:solidFill>
          </w14:textFill>
        </w:rPr>
        <w:t>验收监测报告</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如环（委）字〔2021〕第11171（A）号</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color w:val="000000" w:themeColor="text1"/>
          <w:sz w:val="24"/>
          <w:szCs w:val="24"/>
          <w14:textFill>
            <w14:solidFill>
              <w14:schemeClr w14:val="tx1"/>
            </w14:solidFill>
          </w14:textFill>
        </w:rPr>
        <w:t>（4）</w:t>
      </w:r>
      <w:r>
        <w:rPr>
          <w:rFonts w:hint="eastAsia" w:ascii="Times New Roman" w:hAnsi="Times New Roman" w:cs="Times New Roman"/>
          <w:color w:val="000000" w:themeColor="text1"/>
          <w:sz w:val="24"/>
          <w:szCs w:val="24"/>
          <w:lang w:val="en-US" w:eastAsia="zh-CN"/>
          <w14:textFill>
            <w14:solidFill>
              <w14:schemeClr w14:val="tx1"/>
            </w14:solidFill>
          </w14:textFill>
        </w:rPr>
        <w:t>沧州东合塑业有限公司</w:t>
      </w:r>
      <w:r>
        <w:rPr>
          <w:rFonts w:hint="default" w:ascii="Times New Roman" w:hAnsi="Times New Roman" w:eastAsia="宋体" w:cs="Times New Roman"/>
          <w:color w:val="000000" w:themeColor="text1"/>
          <w:sz w:val="24"/>
          <w:szCs w:val="24"/>
          <w14:textFill>
            <w14:solidFill>
              <w14:schemeClr w14:val="tx1"/>
            </w14:solidFill>
          </w14:textFill>
        </w:rPr>
        <w:t>提供的其它相关资料。</w:t>
      </w:r>
    </w:p>
    <w:p>
      <w:pPr>
        <w:pStyle w:val="3"/>
        <w:rPr>
          <w:rFonts w:hint="default" w:ascii="Times New Roman" w:hAnsi="Times New Roman" w:eastAsia="宋体" w:cs="Times New Roman"/>
          <w:color w:val="000000" w:themeColor="text1"/>
          <w14:textFill>
            <w14:solidFill>
              <w14:schemeClr w14:val="tx1"/>
            </w14:solidFill>
          </w14:textFill>
        </w:rPr>
      </w:pPr>
      <w:bookmarkStart w:id="23" w:name="_Toc5367"/>
      <w:bookmarkStart w:id="24" w:name="_Toc26991"/>
      <w:bookmarkStart w:id="25" w:name="_Toc20655"/>
      <w:bookmarkStart w:id="26" w:name="_Toc13007"/>
      <w:r>
        <w:rPr>
          <w:rFonts w:hint="default" w:ascii="Times New Roman" w:hAnsi="Times New Roman" w:eastAsia="宋体" w:cs="Times New Roman"/>
          <w:color w:val="000000" w:themeColor="text1"/>
          <w14:textFill>
            <w14:solidFill>
              <w14:schemeClr w14:val="tx1"/>
            </w14:solidFill>
          </w14:textFill>
        </w:rPr>
        <w:t>2工程概况</w:t>
      </w:r>
      <w:bookmarkEnd w:id="23"/>
      <w:bookmarkEnd w:id="24"/>
      <w:bookmarkEnd w:id="25"/>
      <w:bookmarkEnd w:id="26"/>
    </w:p>
    <w:p>
      <w:pPr>
        <w:pStyle w:val="4"/>
        <w:rPr>
          <w:rFonts w:hint="default" w:ascii="Times New Roman" w:hAnsi="Times New Roman" w:eastAsia="宋体" w:cs="Times New Roman"/>
          <w:color w:val="000000" w:themeColor="text1"/>
          <w14:textFill>
            <w14:solidFill>
              <w14:schemeClr w14:val="tx1"/>
            </w14:solidFill>
          </w14:textFill>
        </w:rPr>
      </w:pPr>
      <w:bookmarkStart w:id="27" w:name="_Toc22753"/>
      <w:bookmarkStart w:id="28" w:name="_Toc4417"/>
      <w:bookmarkStart w:id="29" w:name="_Toc11367"/>
      <w:bookmarkStart w:id="30" w:name="_Toc29334"/>
      <w:r>
        <w:rPr>
          <w:rFonts w:hint="default" w:ascii="Times New Roman" w:hAnsi="Times New Roman" w:eastAsia="宋体" w:cs="Times New Roman"/>
          <w:color w:val="000000" w:themeColor="text1"/>
          <w14:textFill>
            <w14:solidFill>
              <w14:schemeClr w14:val="tx1"/>
            </w14:solidFill>
          </w14:textFill>
        </w:rPr>
        <w:t>2.1项目基本情况</w:t>
      </w:r>
      <w:bookmarkEnd w:id="27"/>
      <w:bookmarkEnd w:id="28"/>
      <w:bookmarkEnd w:id="29"/>
      <w:bookmarkEnd w:id="30"/>
    </w:p>
    <w:p>
      <w:pPr>
        <w:pStyle w:val="5"/>
        <w:rPr>
          <w:rFonts w:hint="default" w:ascii="Times New Roman" w:hAnsi="Times New Roman" w:eastAsia="宋体" w:cs="Times New Roman"/>
          <w:color w:val="000000" w:themeColor="text1"/>
          <w14:textFill>
            <w14:solidFill>
              <w14:schemeClr w14:val="tx1"/>
            </w14:solidFill>
          </w14:textFill>
        </w:rPr>
      </w:pPr>
      <w:bookmarkStart w:id="31" w:name="_Toc1800"/>
      <w:bookmarkStart w:id="32" w:name="_Toc1249"/>
      <w:bookmarkStart w:id="33" w:name="_Toc20380"/>
      <w:bookmarkStart w:id="34" w:name="_Toc497001436"/>
      <w:bookmarkStart w:id="35" w:name="_Toc19257"/>
      <w:bookmarkStart w:id="36" w:name="_Toc496979000"/>
      <w:bookmarkStart w:id="37" w:name="_Hlk496952384"/>
      <w:r>
        <w:rPr>
          <w:rFonts w:hint="default" w:ascii="Times New Roman" w:hAnsi="Times New Roman" w:eastAsia="宋体" w:cs="Times New Roman"/>
          <w:color w:val="000000" w:themeColor="text1"/>
          <w14:textFill>
            <w14:solidFill>
              <w14:schemeClr w14:val="tx1"/>
            </w14:solidFill>
          </w14:textFill>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项目基本情况介绍见下表2-1。</w:t>
      </w:r>
    </w:p>
    <w:p>
      <w:pPr>
        <w:spacing w:line="440" w:lineRule="atLeast"/>
        <w:ind w:firstLine="482" w:firstLineChars="200"/>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表2-1项目基本情况</w:t>
      </w:r>
    </w:p>
    <w:tbl>
      <w:tblPr>
        <w:tblStyle w:val="21"/>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kern w:val="0"/>
                <w:sz w:val="24"/>
                <w:szCs w:val="24"/>
                <w:lang w:eastAsia="zh-CN"/>
                <w14:textFill>
                  <w14:solidFill>
                    <w14:schemeClr w14:val="tx1"/>
                  </w14:solidFill>
                </w14:textFill>
              </w:rPr>
              <w:t>塑料制品生产线技术改造项目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kern w:val="0"/>
                <w:sz w:val="24"/>
                <w:szCs w:val="24"/>
                <w:lang w:eastAsia="zh-CN"/>
                <w14:textFill>
                  <w14:solidFill>
                    <w14:schemeClr w14:val="tx1"/>
                  </w14:solidFill>
                </w14:textFill>
              </w:rPr>
              <w:t>沧州东合塑业有限公司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张旭东</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孙志强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河北省沧州市沧县风华店乡曹庄子村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13785784672</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扩建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塑料制品业</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C292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环保投资</w:t>
            </w:r>
          </w:p>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河北省沧州市沧县风华店乡曹庄子村</w:t>
            </w:r>
          </w:p>
        </w:tc>
      </w:tr>
    </w:tbl>
    <w:p>
      <w:pPr>
        <w:pStyle w:val="5"/>
        <w:rPr>
          <w:rFonts w:hint="default" w:ascii="Times New Roman" w:hAnsi="Times New Roman" w:eastAsia="宋体" w:cs="Times New Roman"/>
          <w:color w:val="000000" w:themeColor="text1"/>
          <w14:textFill>
            <w14:solidFill>
              <w14:schemeClr w14:val="tx1"/>
            </w14:solidFill>
          </w14:textFill>
        </w:rPr>
      </w:pPr>
      <w:bookmarkStart w:id="38" w:name="_Toc20144"/>
      <w:bookmarkStart w:id="39" w:name="_Toc496979001"/>
      <w:bookmarkStart w:id="40" w:name="_Toc5505"/>
      <w:bookmarkStart w:id="41" w:name="_Toc497001437"/>
      <w:bookmarkStart w:id="42" w:name="_Toc17116"/>
      <w:bookmarkStart w:id="43" w:name="_Toc27686"/>
      <w:r>
        <w:rPr>
          <w:rFonts w:hint="default" w:ascii="Times New Roman" w:hAnsi="Times New Roman" w:eastAsia="宋体" w:cs="Times New Roman"/>
          <w:color w:val="000000" w:themeColor="text1"/>
          <w14:textFill>
            <w14:solidFill>
              <w14:schemeClr w14:val="tx1"/>
            </w14:solidFill>
          </w14:textFill>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项目位于沧县风化店乡东曹庄子村北，项目厂址中心地理坐标为东经117°01′55.55″，北纬38°16′25.39″。项目厂界南侧为空地，东侧为钣金喷漆厂，北侧隔风望路为德胜膨化制品有限公司，厂界西侧隔李寨线为沿街门市。项目周围环境敏感点为项目东南侧440米处的东曹庄子村。项目所在地周围没有自然保护区、风景名胜区、生活饮用水水源地等敏感目标。</w:t>
      </w:r>
      <w:r>
        <w:rPr>
          <w:rFonts w:hint="default" w:ascii="Times New Roman" w:hAnsi="Times New Roman" w:eastAsia="宋体" w:cs="Times New Roman"/>
          <w:color w:val="000000" w:themeColor="text1"/>
          <w:sz w:val="24"/>
          <w:szCs w:val="24"/>
          <w14:textFill>
            <w14:solidFill>
              <w14:schemeClr w14:val="tx1"/>
            </w14:solidFill>
          </w14:textFill>
        </w:rPr>
        <w:t>项目地理位置示意图见附图1，项目周边关系示意图见附图2。</w:t>
      </w:r>
    </w:p>
    <w:p>
      <w:pPr>
        <w:pStyle w:val="5"/>
        <w:rPr>
          <w:rFonts w:hint="default" w:ascii="Times New Roman" w:hAnsi="Times New Roman" w:eastAsia="宋体" w:cs="Times New Roman"/>
          <w:color w:val="000000" w:themeColor="text1"/>
          <w14:textFill>
            <w14:solidFill>
              <w14:schemeClr w14:val="tx1"/>
            </w14:solidFill>
          </w14:textFill>
        </w:rPr>
      </w:pPr>
      <w:bookmarkStart w:id="44" w:name="_Toc20079"/>
      <w:bookmarkStart w:id="45" w:name="_Toc496979002"/>
      <w:bookmarkStart w:id="46" w:name="_Toc32226"/>
      <w:bookmarkStart w:id="47" w:name="_Toc29219"/>
      <w:bookmarkStart w:id="48" w:name="_Toc497001438"/>
      <w:bookmarkStart w:id="49" w:name="_Toc8614"/>
      <w:r>
        <w:rPr>
          <w:rFonts w:hint="default" w:ascii="Times New Roman" w:hAnsi="Times New Roman" w:eastAsia="宋体" w:cs="Times New Roman"/>
          <w:color w:val="000000" w:themeColor="text1"/>
          <w14:textFill>
            <w14:solidFill>
              <w14:schemeClr w14:val="tx1"/>
            </w14:solidFill>
          </w14:textFill>
        </w:rPr>
        <w:t>2.1.3厂区平面布置</w:t>
      </w:r>
      <w:bookmarkEnd w:id="44"/>
      <w:bookmarkEnd w:id="45"/>
      <w:bookmarkEnd w:id="46"/>
      <w:bookmarkEnd w:id="47"/>
      <w:bookmarkEnd w:id="48"/>
      <w:bookmarkEnd w:id="49"/>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本项目主出入口位于厂区西南侧，厂区南侧为成品库，西侧为办公室，东侧为生产车间，北侧为原料库。</w:t>
      </w:r>
    </w:p>
    <w:p>
      <w:pPr>
        <w:pStyle w:val="4"/>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50" w:name="_Toc23208"/>
      <w:bookmarkStart w:id="51" w:name="_Toc32048"/>
      <w:bookmarkStart w:id="52" w:name="_Toc27136"/>
      <w:bookmarkStart w:id="53" w:name="_Toc23037"/>
      <w:r>
        <w:rPr>
          <w:rFonts w:hint="default" w:ascii="Times New Roman" w:hAnsi="Times New Roman" w:eastAsia="宋体" w:cs="Times New Roman"/>
          <w:color w:val="000000" w:themeColor="text1"/>
          <w14:textFill>
            <w14:solidFill>
              <w14:schemeClr w14:val="tx1"/>
            </w14:solidFill>
          </w14:textFill>
        </w:rPr>
        <w:t>2.2建设内容</w:t>
      </w:r>
      <w:bookmarkEnd w:id="50"/>
      <w:bookmarkEnd w:id="51"/>
      <w:bookmarkEnd w:id="52"/>
      <w:bookmarkEnd w:id="53"/>
    </w:p>
    <w:p>
      <w:pPr>
        <w:pStyle w:val="5"/>
        <w:spacing w:line="440" w:lineRule="atLeast"/>
        <w:rPr>
          <w:rFonts w:hint="default" w:ascii="Times New Roman" w:hAnsi="Times New Roman" w:eastAsia="宋体" w:cs="Times New Roman"/>
          <w:color w:val="000000" w:themeColor="text1"/>
          <w14:textFill>
            <w14:solidFill>
              <w14:schemeClr w14:val="tx1"/>
            </w14:solidFill>
          </w14:textFill>
        </w:rPr>
      </w:pPr>
      <w:bookmarkStart w:id="54" w:name="_Toc10787"/>
      <w:bookmarkStart w:id="55" w:name="_Toc496979004"/>
      <w:bookmarkStart w:id="56" w:name="_Toc27539"/>
      <w:bookmarkStart w:id="57" w:name="_Toc26634"/>
      <w:bookmarkStart w:id="58" w:name="_Toc497001440"/>
      <w:bookmarkStart w:id="59" w:name="_Toc30677"/>
      <w:r>
        <w:rPr>
          <w:rFonts w:hint="default" w:ascii="Times New Roman" w:hAnsi="Times New Roman" w:eastAsia="宋体" w:cs="Times New Roman"/>
          <w:color w:val="000000" w:themeColor="text1"/>
          <w14:textFill>
            <w14:solidFill>
              <w14:schemeClr w14:val="tx1"/>
            </w14:solidFill>
          </w14:textFill>
        </w:rPr>
        <w:t>2.2.1生产规模及产品方案</w:t>
      </w:r>
      <w:bookmarkEnd w:id="54"/>
      <w:bookmarkEnd w:id="55"/>
      <w:bookmarkEnd w:id="56"/>
      <w:bookmarkEnd w:id="57"/>
      <w:bookmarkEnd w:id="58"/>
      <w:bookmarkEnd w:id="59"/>
    </w:p>
    <w:p>
      <w:pPr>
        <w:pStyle w:val="5"/>
        <w:spacing w:beforeLines="50" w:line="360" w:lineRule="auto"/>
        <w:ind w:firstLine="480" w:firstLineChars="200"/>
        <w:rPr>
          <w:rFonts w:hint="default" w:ascii="Times New Roman" w:hAnsi="Times New Roman" w:eastAsia="宋体" w:cs="Times New Roman"/>
          <w:color w:val="000000" w:themeColor="text1"/>
          <w14:textFill>
            <w14:solidFill>
              <w14:schemeClr w14:val="tx1"/>
            </w14:solidFill>
          </w14:textFill>
        </w:rPr>
      </w:pPr>
      <w:bookmarkStart w:id="60" w:name="_Toc9009"/>
      <w:bookmarkStart w:id="61" w:name="_Toc25732"/>
      <w:bookmarkStart w:id="62" w:name="_Toc26546"/>
      <w:bookmarkStart w:id="63" w:name="_Toc26138"/>
      <w:bookmarkStart w:id="64" w:name="_Toc30045"/>
      <w:bookmarkStart w:id="65" w:name="_Toc496979005"/>
      <w:bookmarkStart w:id="66" w:name="_Toc497001441"/>
      <w:r>
        <w:rPr>
          <w:rFonts w:hint="default" w:ascii="Times New Roman" w:hAnsi="Times New Roman" w:eastAsia="宋体" w:cs="Times New Roman"/>
          <w:color w:val="000000" w:themeColor="text1"/>
          <w:lang w:val="en-US" w:eastAsia="zh-CN"/>
          <w14:textFill>
            <w14:solidFill>
              <w14:schemeClr w14:val="tx1"/>
            </w14:solidFill>
          </w14:textFill>
        </w:rPr>
        <w:t>年生产1000吨塑料制品</w:t>
      </w:r>
      <w:r>
        <w:rPr>
          <w:rFonts w:hint="eastAsia" w:ascii="Times New Roman" w:hAnsi="Times New Roman" w:cs="Times New Roman"/>
          <w:color w:val="000000" w:themeColor="text1"/>
          <w:lang w:val="en-US" w:eastAsia="zh-CN"/>
          <w14:textFill>
            <w14:solidFill>
              <w14:schemeClr w14:val="tx1"/>
            </w14:solidFill>
          </w14:textFill>
        </w:rPr>
        <w:t>。</w:t>
      </w:r>
      <w:bookmarkEnd w:id="60"/>
      <w:bookmarkEnd w:id="61"/>
      <w:bookmarkEnd w:id="62"/>
      <w:bookmarkEnd w:id="63"/>
      <w:bookmarkEnd w:id="64"/>
    </w:p>
    <w:p>
      <w:pPr>
        <w:pStyle w:val="5"/>
        <w:spacing w:line="440" w:lineRule="atLeast"/>
        <w:rPr>
          <w:rFonts w:hint="eastAsia" w:ascii="Times New Roman" w:hAnsi="Times New Roman" w:eastAsia="宋体" w:cs="Times New Roman"/>
          <w:color w:val="000000" w:themeColor="text1"/>
          <w:sz w:val="24"/>
          <w:szCs w:val="24"/>
          <w:lang w:eastAsia="zh-CN"/>
          <w14:textFill>
            <w14:solidFill>
              <w14:schemeClr w14:val="tx1"/>
            </w14:solidFill>
          </w14:textFill>
        </w:rPr>
      </w:pPr>
      <w:bookmarkStart w:id="67" w:name="_Toc20908"/>
      <w:bookmarkStart w:id="68" w:name="_Toc23799"/>
      <w:bookmarkStart w:id="69" w:name="_Toc13472"/>
      <w:bookmarkStart w:id="70" w:name="_Toc21731"/>
      <w:r>
        <w:rPr>
          <w:rFonts w:hint="default" w:ascii="Times New Roman" w:hAnsi="Times New Roman" w:eastAsia="宋体" w:cs="Times New Roman"/>
          <w:color w:val="000000" w:themeColor="text1"/>
          <w14:textFill>
            <w14:solidFill>
              <w14:schemeClr w14:val="tx1"/>
            </w14:solidFill>
          </w14:textFill>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原辅材料及能源消耗表见表2-2。</w:t>
      </w:r>
    </w:p>
    <w:p>
      <w:pPr>
        <w:adjustRightInd w:val="0"/>
        <w:snapToGrid w:val="0"/>
        <w:spacing w:line="480" w:lineRule="atLeast"/>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表2-2原辅材料及能源消耗表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bookmarkStart w:id="71" w:name="_Toc2160"/>
            <w:bookmarkStart w:id="72" w:name="_Toc496979006"/>
            <w:bookmarkStart w:id="73" w:name="_Toc497001442"/>
            <w:bookmarkStart w:id="74" w:name="_Toc4853"/>
            <w:bookmarkStart w:id="75" w:name="_Toc5968"/>
            <w:bookmarkStart w:id="76" w:name="_Toc26045"/>
            <w:r>
              <w:rPr>
                <w:rFonts w:hint="default" w:ascii="Times New Roman" w:hAnsi="Times New Roman" w:eastAsia="宋体" w:cs="Times New Roman"/>
                <w:b/>
                <w:bCs/>
                <w:color w:val="000000" w:themeColor="text1"/>
                <w:kern w:val="0"/>
                <w:sz w:val="21"/>
                <w:szCs w:val="21"/>
                <w14:textFill>
                  <w14:solidFill>
                    <w14:schemeClr w14:val="tx1"/>
                  </w14:solidFill>
                </w14:textFill>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14:textFill>
                  <w14:solidFill>
                    <w14:schemeClr w14:val="tx1"/>
                  </w14:solidFill>
                </w14:textFill>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14:textFill>
                  <w14:solidFill>
                    <w14:schemeClr w14:val="tx1"/>
                  </w14:solidFill>
                </w14:textFill>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eastAsia" w:ascii="Times New Roman" w:hAnsi="Times New Roman" w:eastAsia="宋体" w:cs="Times New Roman"/>
                <w:b/>
                <w:bCs/>
                <w:color w:val="000000" w:themeColor="text1"/>
                <w:kern w:val="0"/>
                <w:sz w:val="21"/>
                <w:szCs w:val="21"/>
                <w:lang w:eastAsia="zh-CN"/>
                <w14:textFill>
                  <w14:solidFill>
                    <w14:schemeClr w14:val="tx1"/>
                  </w14:solidFill>
                </w14:textFill>
              </w:rPr>
              <w:t>环评年</w:t>
            </w:r>
            <w:r>
              <w:rPr>
                <w:rFonts w:hint="default" w:ascii="Times New Roman" w:hAnsi="Times New Roman" w:eastAsia="宋体" w:cs="Times New Roman"/>
                <w:b/>
                <w:bCs/>
                <w:color w:val="000000" w:themeColor="text1"/>
                <w:kern w:val="0"/>
                <w:sz w:val="21"/>
                <w:szCs w:val="21"/>
                <w14:textFill>
                  <w14:solidFill>
                    <w14:schemeClr w14:val="tx1"/>
                  </w14:solidFill>
                </w14:textFill>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eastAsia" w:ascii="Times New Roman" w:hAnsi="Times New Roman" w:eastAsia="宋体" w:cs="Times New Roman"/>
                <w:b/>
                <w:bCs/>
                <w:color w:val="000000" w:themeColor="text1"/>
                <w:kern w:val="0"/>
                <w:sz w:val="21"/>
                <w:szCs w:val="21"/>
                <w:lang w:eastAsia="zh-CN"/>
                <w14:textFill>
                  <w14:solidFill>
                    <w14:schemeClr w14:val="tx1"/>
                  </w14:solidFill>
                </w14:textFill>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1</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rPr>
              <w:t>聚乙烯</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kern w:val="2"/>
                <w:sz w:val="21"/>
                <w:szCs w:val="24"/>
                <w:highlight w:val="none"/>
                <w:lang w:val="en-US" w:eastAsia="zh-CN" w:bidi="ar-SA"/>
              </w:rPr>
            </w:pPr>
            <w:r>
              <w:rPr>
                <w:rFonts w:hint="eastAsia"/>
                <w:sz w:val="21"/>
                <w:szCs w:val="24"/>
                <w:highlight w:val="none"/>
                <w:lang w:val="en-US" w:eastAsia="zh-CN"/>
              </w:rPr>
              <w:t>200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2</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highlight w:val="none"/>
              </w:rPr>
              <w:t>色母</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4"/>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kern w:val="2"/>
                <w:sz w:val="21"/>
                <w:szCs w:val="24"/>
                <w:highlight w:val="none"/>
                <w:lang w:val="en-US" w:eastAsia="zh-CN" w:bidi="ar-SA"/>
              </w:rPr>
            </w:pPr>
            <w:r>
              <w:rPr>
                <w:rFonts w:hint="eastAsia"/>
                <w:sz w:val="21"/>
                <w:szCs w:val="24"/>
                <w:highlight w:val="none"/>
                <w:lang w:val="en-US" w:eastAsia="zh-CN"/>
              </w:rPr>
              <w:t>15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3</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rPr>
              <w:t>聚氯乙烯</w:t>
            </w:r>
            <w:r>
              <w:rPr>
                <w:rFonts w:hint="eastAsia" w:cs="Times New Roman"/>
                <w:szCs w:val="21"/>
                <w:highlight w:val="none"/>
                <w:lang w:eastAsia="zh-CN"/>
              </w:rPr>
              <w:t>（</w:t>
            </w:r>
            <w:r>
              <w:rPr>
                <w:rFonts w:hint="eastAsia" w:cs="Times New Roman"/>
                <w:szCs w:val="21"/>
                <w:highlight w:val="none"/>
                <w:lang w:val="en-US" w:eastAsia="zh-CN"/>
              </w:rPr>
              <w:t>PVC树脂</w:t>
            </w:r>
            <w:r>
              <w:rPr>
                <w:rFonts w:hint="eastAsia" w:cs="Times New Roman"/>
                <w:szCs w:val="21"/>
                <w:highlight w:val="none"/>
                <w:lang w:eastAsia="zh-CN"/>
              </w:rPr>
              <w:t>）</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kern w:val="2"/>
                <w:sz w:val="21"/>
                <w:szCs w:val="24"/>
                <w:highlight w:val="none"/>
                <w:lang w:val="en-US" w:eastAsia="zh-CN" w:bidi="ar-SA"/>
              </w:rPr>
            </w:pPr>
            <w:r>
              <w:rPr>
                <w:rFonts w:hint="eastAsia"/>
                <w:sz w:val="21"/>
                <w:szCs w:val="24"/>
                <w:highlight w:val="none"/>
                <w:lang w:val="en-US" w:eastAsia="zh-CN"/>
              </w:rPr>
              <w:t>200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4</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rPr>
              <w:t>聚乙烯加工助剂</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color w:val="000000"/>
                <w:kern w:val="2"/>
                <w:sz w:val="21"/>
                <w:szCs w:val="24"/>
                <w:highlight w:val="none"/>
                <w:lang w:val="en-US" w:eastAsia="zh-CN" w:bidi="ar-SA"/>
              </w:rPr>
            </w:pPr>
            <w:r>
              <w:rPr>
                <w:rFonts w:hint="eastAsia"/>
                <w:color w:val="000000"/>
                <w:sz w:val="21"/>
                <w:szCs w:val="24"/>
                <w:highlight w:val="none"/>
                <w:lang w:val="en-US" w:eastAsia="zh-CN"/>
              </w:rPr>
              <w:t>65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5</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碳酸氢钙</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color w:val="000000"/>
                <w:kern w:val="2"/>
                <w:sz w:val="21"/>
                <w:szCs w:val="24"/>
                <w:highlight w:val="none"/>
                <w:lang w:val="en-US" w:eastAsia="zh-CN" w:bidi="ar-SA"/>
              </w:rPr>
            </w:pPr>
            <w:r>
              <w:rPr>
                <w:rFonts w:hint="eastAsia"/>
                <w:color w:val="000000"/>
                <w:sz w:val="21"/>
                <w:szCs w:val="24"/>
                <w:highlight w:val="none"/>
                <w:lang w:val="en-US" w:eastAsia="zh-CN"/>
              </w:rPr>
              <w:t>65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color w:val="000000" w:themeColor="text1"/>
                <w:szCs w:val="21"/>
                <w:shd w:val="clear" w:color="auto" w:fill="auto"/>
                <w14:textFill>
                  <w14:solidFill>
                    <w14:schemeClr w14:val="tx1"/>
                  </w14:solidFill>
                </w14:textFill>
              </w:rPr>
              <w:t>6</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highlight w:val="none"/>
              </w:rPr>
              <w:t>水</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highlight w:val="none"/>
              </w:rPr>
              <w:t>m</w:t>
            </w:r>
            <w:r>
              <w:rPr>
                <w:rFonts w:hint="default" w:ascii="Times New Roman" w:hAnsi="Times New Roman" w:eastAsia="宋体" w:cs="Times New Roman"/>
                <w:highlight w:val="none"/>
                <w:vertAlign w:val="superscript"/>
              </w:rPr>
              <w:t>3</w:t>
            </w:r>
            <w:r>
              <w:rPr>
                <w:rFonts w:hint="default" w:ascii="Times New Roman" w:hAnsi="Times New Roman" w:eastAsia="宋体" w:cs="Times New Roman"/>
                <w:highlight w:val="none"/>
              </w:rPr>
              <w:t>/a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color w:val="000000"/>
                <w:kern w:val="2"/>
                <w:sz w:val="21"/>
                <w:szCs w:val="24"/>
                <w:highlight w:val="none"/>
                <w:lang w:val="en-US" w:eastAsia="zh-CN" w:bidi="ar-SA"/>
              </w:rPr>
            </w:pPr>
            <w:r>
              <w:rPr>
                <w:rFonts w:hint="eastAsia" w:cs="Times New Roman"/>
                <w:color w:val="000000"/>
                <w:kern w:val="2"/>
                <w:sz w:val="21"/>
                <w:szCs w:val="24"/>
                <w:highlight w:val="none"/>
                <w:lang w:val="en-US" w:eastAsia="zh-CN" w:bidi="ar-SA"/>
              </w:rPr>
              <w:t>12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7</w:t>
            </w:r>
          </w:p>
        </w:tc>
        <w:tc>
          <w:tcPr>
            <w:tcW w:w="244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highlight w:val="none"/>
              </w:rPr>
              <w:t>电</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highlight w:val="none"/>
                <w:lang w:eastAsia="zh-CN"/>
              </w:rPr>
              <w:t>万</w:t>
            </w:r>
            <w:r>
              <w:rPr>
                <w:rFonts w:hint="default" w:ascii="Times New Roman" w:hAnsi="Times New Roman" w:eastAsia="宋体" w:cs="Times New Roman"/>
                <w:color w:val="auto"/>
                <w:highlight w:val="none"/>
              </w:rPr>
              <w:t>kw·h/a</w:t>
            </w:r>
          </w:p>
        </w:tc>
        <w:tc>
          <w:tcPr>
            <w:tcW w:w="1881" w:type="dxa"/>
            <w:tcBorders>
              <w:tl2br w:val="nil"/>
              <w:tr2bl w:val="nil"/>
            </w:tcBorders>
            <w:vAlign w:val="center"/>
          </w:tcPr>
          <w:p>
            <w:pPr>
              <w:keepNext w:val="0"/>
              <w:keepLines w:val="0"/>
              <w:suppressLineNumbers w:val="0"/>
              <w:snapToGrid w:val="0"/>
              <w:spacing w:before="0" w:beforeLines="0" w:beforeAutospacing="0" w:after="0" w:afterLines="0" w:afterAutospacing="0" w:line="280" w:lineRule="exact"/>
              <w:ind w:left="0" w:leftChars="0" w:right="0" w:rightChars="0"/>
              <w:jc w:val="center"/>
              <w:rPr>
                <w:rFonts w:hint="default" w:ascii="Times New Roman" w:hAnsi="Times New Roman" w:eastAsia="宋体" w:cs="Times New Roman"/>
                <w:color w:val="000000"/>
                <w:kern w:val="2"/>
                <w:sz w:val="21"/>
                <w:szCs w:val="24"/>
                <w:highlight w:val="none"/>
                <w:lang w:val="en-US" w:eastAsia="zh-CN" w:bidi="ar-SA"/>
              </w:rPr>
            </w:pPr>
            <w:r>
              <w:rPr>
                <w:rFonts w:hint="eastAsia" w:cs="Times New Roman"/>
                <w:color w:val="000000"/>
                <w:kern w:val="2"/>
                <w:sz w:val="21"/>
                <w:szCs w:val="24"/>
                <w:highlight w:val="none"/>
                <w:lang w:val="en-US" w:eastAsia="zh-CN" w:bidi="ar-SA"/>
              </w:rPr>
              <w:t>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bl>
    <w:p>
      <w:pPr>
        <w:pStyle w:val="5"/>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项目将新增混料罐3个、180型号造粒机组1套、80型号磨粉机2台，共计设备6台（套）。主要原材料为聚乙烯、碳酸氢钙、色母粒、加工助剂、PVC树脂等，项目投产后公司年生产1000吨塑料制品。公用工程为项目供排水、供电、供热等；环保工程为废气处理措施、降噪措施等。项目工程内容</w:t>
      </w:r>
      <w:r>
        <w:rPr>
          <w:rFonts w:hint="default" w:ascii="Times New Roman" w:hAnsi="Times New Roman" w:eastAsia="宋体" w:cs="Times New Roman"/>
          <w:color w:val="000000" w:themeColor="text1"/>
          <w:sz w:val="24"/>
          <w:szCs w:val="24"/>
          <w14:textFill>
            <w14:solidFill>
              <w14:schemeClr w14:val="tx1"/>
            </w14:solidFill>
          </w14:textFill>
        </w:rPr>
        <w:t>一览表见表2-3</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80" w:lineRule="atLeast"/>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表2-3工程内容一览表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 w:val="21"/>
                <w:szCs w:val="21"/>
                <w:lang w:val="en-US" w:eastAsia="zh-CN"/>
                <w14:textFill>
                  <w14:solidFill>
                    <w14:schemeClr w14:val="tx1"/>
                  </w14:solidFill>
                </w14:textFill>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t>环评</w:t>
            </w:r>
            <w:r>
              <w:rPr>
                <w:rFonts w:hint="default" w:ascii="Times New Roman" w:hAnsi="Times New Roman" w:eastAsia="宋体" w:cs="Times New Roman"/>
                <w:b/>
                <w:bCs/>
                <w:color w:val="000000" w:themeColor="text1"/>
                <w:kern w:val="0"/>
                <w:sz w:val="21"/>
                <w:szCs w:val="21"/>
                <w14:textFill>
                  <w14:solidFill>
                    <w14:schemeClr w14:val="tx1"/>
                  </w14:solidFill>
                </w14:textFill>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898"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主体工程</w:t>
            </w:r>
          </w:p>
        </w:tc>
        <w:tc>
          <w:tcPr>
            <w:tcW w:w="6265" w:type="dxa"/>
            <w:gridSpan w:val="2"/>
            <w:tcBorders>
              <w:tl2br w:val="nil"/>
              <w:tr2bl w:val="nil"/>
            </w:tcBorders>
            <w:tcMar>
              <w:top w:w="0" w:type="dxa"/>
              <w:left w:w="0" w:type="dxa"/>
              <w:bottom w:w="0" w:type="dxa"/>
              <w:right w:w="0" w:type="dxa"/>
            </w:tcMar>
            <w:vAlign w:val="center"/>
          </w:tcPr>
          <w:p>
            <w:pPr>
              <w:spacing w:line="340" w:lineRule="exact"/>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lang w:val="zh-CN" w:eastAsia="zh-CN"/>
                <w14:textFill>
                  <w14:solidFill>
                    <w14:schemeClr w14:val="tx1"/>
                  </w14:solidFill>
                </w14:textFill>
              </w:rPr>
              <w:t>新增</w:t>
            </w:r>
            <w:r>
              <w:rPr>
                <w:rFonts w:hint="eastAsia"/>
                <w:color w:val="000000" w:themeColor="text1"/>
                <w:szCs w:val="21"/>
                <w:shd w:val="clear" w:color="auto" w:fill="auto"/>
                <w:lang w:val="en-US" w:eastAsia="zh-CN"/>
                <w14:textFill>
                  <w14:solidFill>
                    <w14:schemeClr w14:val="tx1"/>
                  </w14:solidFill>
                </w14:textFill>
              </w:rPr>
              <w:t>混料罐3个、180型号造粒机组1套、80型号磨粉机2台，</w:t>
            </w:r>
            <w:r>
              <w:rPr>
                <w:rFonts w:hint="eastAsia"/>
                <w:color w:val="000000" w:themeColor="text1"/>
                <w:szCs w:val="21"/>
                <w:shd w:val="clear" w:color="auto" w:fill="auto"/>
                <w:lang w:val="zh-CN" w:eastAsia="zh-CN"/>
                <w14:textFill>
                  <w14:solidFill>
                    <w14:schemeClr w14:val="tx1"/>
                  </w14:solidFill>
                </w14:textFill>
              </w:rPr>
              <w:t>共计设备</w:t>
            </w:r>
            <w:r>
              <w:rPr>
                <w:rFonts w:hint="eastAsia"/>
                <w:color w:val="000000" w:themeColor="text1"/>
                <w:szCs w:val="21"/>
                <w:shd w:val="clear" w:color="auto" w:fill="auto"/>
                <w:lang w:val="en-US" w:eastAsia="zh-CN"/>
                <w14:textFill>
                  <w14:solidFill>
                    <w14:schemeClr w14:val="tx1"/>
                  </w14:solidFill>
                </w14:textFill>
              </w:rPr>
              <w:t>6</w:t>
            </w:r>
            <w:r>
              <w:rPr>
                <w:rFonts w:hint="eastAsia"/>
                <w:color w:val="000000" w:themeColor="text1"/>
                <w:szCs w:val="21"/>
                <w:shd w:val="clear" w:color="auto" w:fill="auto"/>
                <w:lang w:val="zh-CN" w:eastAsia="zh-CN"/>
                <w14:textFill>
                  <w14:solidFill>
                    <w14:schemeClr w14:val="tx1"/>
                  </w14:solidFill>
                </w14:textFill>
              </w:rPr>
              <w:t>台</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898"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color w:val="000000" w:themeColor="text1"/>
                <w:szCs w:val="21"/>
                <w:shd w:val="clear" w:color="auto" w:fill="auto"/>
                <w14:textFill>
                  <w14:solidFill>
                    <w14:schemeClr w14:val="tx1"/>
                  </w14:solidFill>
                </w14:textFill>
              </w:rPr>
              <w:t>辅助工程</w:t>
            </w:r>
          </w:p>
        </w:tc>
        <w:tc>
          <w:tcPr>
            <w:tcW w:w="6265" w:type="dxa"/>
            <w:gridSpan w:val="2"/>
            <w:tcBorders>
              <w:tl2br w:val="nil"/>
              <w:tr2bl w:val="nil"/>
            </w:tcBorders>
            <w:tcMar>
              <w:top w:w="0" w:type="dxa"/>
              <w:left w:w="0" w:type="dxa"/>
              <w:bottom w:w="0" w:type="dxa"/>
              <w:right w:w="0" w:type="dxa"/>
            </w:tcMar>
            <w:vAlign w:val="center"/>
          </w:tcPr>
          <w:p>
            <w:pPr>
              <w:spacing w:line="340" w:lineRule="exac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r>
              <w:rPr>
                <w:color w:val="000000" w:themeColor="text1"/>
                <w:szCs w:val="21"/>
                <w:shd w:val="clear" w:color="auto" w:fill="auto"/>
                <w14:textFill>
                  <w14:solidFill>
                    <w14:schemeClr w14:val="tx1"/>
                  </w14:solidFill>
                </w14:textFill>
              </w:rPr>
              <w:t>公用工程</w:t>
            </w: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kern w:val="0"/>
                <w:szCs w:val="21"/>
                <w:u w:val="none" w:color="000000"/>
                <w:shd w:val="clear" w:color="auto" w:fill="auto"/>
                <w14:textFill>
                  <w14:solidFill>
                    <w14:schemeClr w14:val="tx1"/>
                  </w14:solidFill>
                </w14:textFill>
              </w:rPr>
              <w:t>供水</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由</w:t>
            </w:r>
            <w:r>
              <w:rPr>
                <w:rFonts w:hint="eastAsia"/>
                <w:color w:val="000000" w:themeColor="text1"/>
                <w:szCs w:val="21"/>
                <w:shd w:val="clear" w:color="auto" w:fill="auto"/>
                <w:lang w:eastAsia="zh-CN"/>
                <w14:textFill>
                  <w14:solidFill>
                    <w14:schemeClr w14:val="tx1"/>
                  </w14:solidFill>
                </w14:textFill>
              </w:rPr>
              <w:t>风化店</w:t>
            </w:r>
            <w:r>
              <w:rPr>
                <w:rFonts w:hint="eastAsia"/>
                <w:color w:val="000000" w:themeColor="text1"/>
                <w:szCs w:val="21"/>
                <w:shd w:val="clear" w:color="auto" w:fill="auto"/>
                <w14:textFill>
                  <w14:solidFill>
                    <w14:schemeClr w14:val="tx1"/>
                  </w14:solidFill>
                </w14:textFill>
              </w:rPr>
              <w:t>乡供水管网供水</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kern w:val="0"/>
                <w:szCs w:val="21"/>
                <w:u w:val="none" w:color="000000"/>
                <w:shd w:val="clear" w:color="auto" w:fill="auto"/>
                <w14:textFill>
                  <w14:solidFill>
                    <w14:schemeClr w14:val="tx1"/>
                  </w14:solidFill>
                </w14:textFill>
              </w:rPr>
              <w:t>供电</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依托现有工程</w:t>
            </w:r>
            <w:r>
              <w:rPr>
                <w:rFonts w:hint="eastAsia"/>
                <w:color w:val="000000" w:themeColor="text1"/>
                <w:szCs w:val="21"/>
                <w:shd w:val="clear" w:color="auto" w:fill="auto"/>
                <w:lang w:val="zh-CN"/>
                <w14:textFill>
                  <w14:solidFill>
                    <w14:schemeClr w14:val="tx1"/>
                  </w14:solidFill>
                </w14:textFill>
              </w:rPr>
              <w:t>，</w:t>
            </w:r>
            <w:r>
              <w:rPr>
                <w:rFonts w:hint="eastAsia"/>
                <w:color w:val="000000" w:themeColor="text1"/>
                <w:szCs w:val="21"/>
                <w:shd w:val="clear" w:color="auto" w:fill="auto"/>
                <w14:textFill>
                  <w14:solidFill>
                    <w14:schemeClr w14:val="tx1"/>
                  </w14:solidFill>
                </w14:textFill>
              </w:rPr>
              <w:t>新增</w:t>
            </w:r>
            <w:r>
              <w:rPr>
                <w:rFonts w:hint="eastAsia"/>
                <w:color w:val="000000" w:themeColor="text1"/>
                <w:szCs w:val="21"/>
                <w:shd w:val="clear" w:color="auto" w:fill="auto"/>
                <w:lang w:val="zh-CN"/>
                <w14:textFill>
                  <w14:solidFill>
                    <w14:schemeClr w14:val="tx1"/>
                  </w14:solidFill>
                </w14:textFill>
              </w:rPr>
              <w:t>年用电量</w:t>
            </w:r>
            <w:r>
              <w:rPr>
                <w:rFonts w:hint="eastAsia"/>
                <w:color w:val="000000" w:themeColor="text1"/>
                <w:szCs w:val="21"/>
                <w:shd w:val="clear" w:color="auto" w:fill="auto"/>
                <w:lang w:val="en-US" w:eastAsia="zh-CN"/>
                <w14:textFill>
                  <w14:solidFill>
                    <w14:schemeClr w14:val="tx1"/>
                  </w14:solidFill>
                </w14:textFill>
              </w:rPr>
              <w:t>6</w:t>
            </w:r>
            <w:r>
              <w:rPr>
                <w:rFonts w:hint="eastAsia"/>
                <w:color w:val="000000" w:themeColor="text1"/>
                <w:szCs w:val="21"/>
                <w:shd w:val="clear" w:color="auto" w:fill="auto"/>
                <w14:textFill>
                  <w14:solidFill>
                    <w14:schemeClr w14:val="tx1"/>
                  </w14:solidFill>
                </w14:textFill>
              </w:rPr>
              <w:t>万</w:t>
            </w:r>
            <w:r>
              <w:rPr>
                <w:rFonts w:hint="eastAsia"/>
                <w:color w:val="000000" w:themeColor="text1"/>
                <w:szCs w:val="21"/>
                <w:shd w:val="clear" w:color="auto" w:fill="auto"/>
                <w:lang w:val="zh-CN"/>
                <w14:textFill>
                  <w14:solidFill>
                    <w14:schemeClr w14:val="tx1"/>
                  </w14:solidFill>
                </w14:textFill>
              </w:rPr>
              <w:t>kWh</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kern w:val="0"/>
                <w:szCs w:val="21"/>
                <w:u w:val="none" w:color="000000"/>
                <w:shd w:val="clear" w:color="auto" w:fill="auto"/>
                <w14:textFill>
                  <w14:solidFill>
                    <w14:schemeClr w14:val="tx1"/>
                  </w14:solidFill>
                </w14:textFill>
              </w:rPr>
              <w:t>供热</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环保工程</w:t>
            </w: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废气</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lang w:val="en-US" w:eastAsia="zh-CN"/>
                <w14:textFill>
                  <w14:solidFill>
                    <w14:schemeClr w14:val="tx1"/>
                  </w14:solidFill>
                </w14:textFill>
              </w:rPr>
              <w:t>造粒工序、注塑成型工序均共用一根排气筒：废气经集气罩收集后+喷淋塔+二级活性炭吸附装置+15m排气筒P1排放；磨粉工序：布袋除尘器（机器自带）+15m排气筒排放P2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2"/>
                <w:sz w:val="21"/>
                <w:szCs w:val="21"/>
                <w:lang w:val="en-US" w:eastAsia="zh-CN" w:bidi="ar-SA"/>
                <w14:textFill>
                  <w14:solidFill>
                    <w14:schemeClr w14:val="tx1"/>
                  </w14:solidFill>
                </w14:textFill>
              </w:rPr>
              <w:t>现场实际建设为造粒工序产生废气采取集气罩收集后由喷淋塔+二级活性炭吸附装置处理后、磨粉工序废气采取集气罩收集后由布袋除尘处理后由1根15m排气筒排放P1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废水</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无生产废水产生，生活污水泼洒厂区抑尘，厂区设化粪池，定期清掏，不外排</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固废</w:t>
            </w:r>
          </w:p>
        </w:tc>
        <w:tc>
          <w:tcPr>
            <w:tcW w:w="5464" w:type="dxa"/>
            <w:tcBorders>
              <w:tl2br w:val="nil"/>
              <w:tr2bl w:val="nil"/>
            </w:tcBorders>
            <w:tcMar>
              <w:top w:w="0" w:type="dxa"/>
              <w:left w:w="0" w:type="dxa"/>
              <w:bottom w:w="0" w:type="dxa"/>
              <w:right w:w="0" w:type="dxa"/>
            </w:tcMar>
            <w:vAlign w:val="center"/>
          </w:tcPr>
          <w:p>
            <w:pPr>
              <w:jc w:val="center"/>
              <w:rPr>
                <w:rFonts w:hint="eastAsia"/>
                <w:color w:val="000000" w:themeColor="text1"/>
                <w:szCs w:val="21"/>
                <w:shd w:val="clear" w:color="auto" w:fill="auto"/>
                <w14:textFill>
                  <w14:solidFill>
                    <w14:schemeClr w14:val="tx1"/>
                  </w14:solidFill>
                </w14:textFill>
              </w:rPr>
            </w:pPr>
            <w:r>
              <w:rPr>
                <w:rFonts w:hint="eastAsia"/>
                <w:color w:val="000000" w:themeColor="text1"/>
                <w:szCs w:val="21"/>
                <w:shd w:val="clear" w:color="auto" w:fill="auto"/>
                <w14:textFill>
                  <w14:solidFill>
                    <w14:schemeClr w14:val="tx1"/>
                  </w14:solidFill>
                </w14:textFill>
              </w:rPr>
              <w:t>一般固废：不合格产品和边角料回收利用，粉尘回收利用，职工生活垃圾收集由环卫部门统一处理。</w:t>
            </w:r>
          </w:p>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危险废物：废活性炭，专用容器收集密封后储存于危废暂存间，委托有资质的单位处理。</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噪声</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选用低噪声设备，设备加减振装置等措施，布局合理，高噪声设备远离厂界</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bl>
    <w:p>
      <w:pPr>
        <w:pStyle w:val="5"/>
        <w:rPr>
          <w:rFonts w:hint="default" w:ascii="Times New Roman" w:hAnsi="Times New Roman" w:eastAsia="宋体" w:cs="Times New Roman"/>
          <w:color w:val="000000" w:themeColor="text1"/>
          <w14:textFill>
            <w14:solidFill>
              <w14:schemeClr w14:val="tx1"/>
            </w14:solidFill>
          </w14:textFill>
        </w:rPr>
      </w:pPr>
      <w:bookmarkStart w:id="77" w:name="_Toc17854"/>
      <w:bookmarkStart w:id="78" w:name="_Toc497001443"/>
      <w:bookmarkStart w:id="79" w:name="_Toc496979007"/>
      <w:bookmarkStart w:id="80" w:name="_Toc30584"/>
      <w:bookmarkStart w:id="81" w:name="_Toc27810"/>
      <w:bookmarkStart w:id="82" w:name="_Toc1691"/>
      <w:r>
        <w:rPr>
          <w:rFonts w:hint="default" w:ascii="Times New Roman" w:hAnsi="Times New Roman" w:eastAsia="宋体" w:cs="Times New Roman"/>
          <w:color w:val="000000" w:themeColor="text1"/>
          <w14:textFill>
            <w14:solidFill>
              <w14:schemeClr w14:val="tx1"/>
            </w14:solidFill>
          </w14:textFill>
        </w:rPr>
        <w:t>2.2.4生产设备</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w:t>
      </w:r>
      <w:r>
        <w:rPr>
          <w:rFonts w:hint="eastAsia" w:ascii="Times New Roman" w:hAnsi="Times New Roman" w:eastAsia="宋体" w:cs="Times New Roman"/>
          <w:color w:val="000000" w:themeColor="text1"/>
          <w:sz w:val="24"/>
          <w:szCs w:val="24"/>
          <w:lang w:eastAsia="zh-CN"/>
          <w14:textFill>
            <w14:solidFill>
              <w14:schemeClr w14:val="tx1"/>
            </w14:solidFill>
          </w14:textFill>
        </w:rPr>
        <w:t>主要生产</w:t>
      </w:r>
      <w:r>
        <w:rPr>
          <w:rFonts w:hint="default" w:ascii="Times New Roman" w:hAnsi="Times New Roman" w:eastAsia="宋体" w:cs="Times New Roman"/>
          <w:color w:val="000000" w:themeColor="text1"/>
          <w:sz w:val="24"/>
          <w:szCs w:val="24"/>
          <w14:textFill>
            <w14:solidFill>
              <w14:schemeClr w14:val="tx1"/>
            </w14:solidFill>
          </w14:textFill>
        </w:rPr>
        <w:t>设备一览表见表2-4</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80" w:lineRule="atLeast"/>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表2-4</w:t>
      </w:r>
      <w:r>
        <w:rPr>
          <w:rFonts w:hint="eastAsia" w:ascii="Times New Roman" w:hAnsi="Times New Roman" w:eastAsia="宋体" w:cs="Times New Roman"/>
          <w:b/>
          <w:color w:val="000000" w:themeColor="text1"/>
          <w:sz w:val="24"/>
          <w:szCs w:val="24"/>
          <w:lang w:eastAsia="zh-CN"/>
          <w14:textFill>
            <w14:solidFill>
              <w14:schemeClr w14:val="tx1"/>
            </w14:solidFill>
          </w14:textFill>
        </w:rPr>
        <w:t>主要</w:t>
      </w:r>
      <w:r>
        <w:rPr>
          <w:rFonts w:hint="default" w:ascii="Times New Roman" w:hAnsi="Times New Roman" w:eastAsia="宋体" w:cs="Times New Roman"/>
          <w:b/>
          <w:color w:val="000000" w:themeColor="text1"/>
          <w:sz w:val="24"/>
          <w:szCs w:val="24"/>
          <w14:textFill>
            <w14:solidFill>
              <w14:schemeClr w14:val="tx1"/>
            </w14:solidFill>
          </w14:textFill>
        </w:rPr>
        <w:t>设备一览表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1650"/>
        <w:gridCol w:w="780"/>
        <w:gridCol w:w="1130"/>
        <w:gridCol w:w="1215"/>
        <w:gridCol w:w="1374"/>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Cs w:val="21"/>
                <w14:textFill>
                  <w14:solidFill>
                    <w14:schemeClr w14:val="tx1"/>
                  </w14:solidFill>
                </w14:textFill>
              </w:rPr>
            </w:pPr>
            <w:bookmarkStart w:id="83" w:name="_Toc23184"/>
            <w:bookmarkStart w:id="84" w:name="_Toc376"/>
            <w:bookmarkStart w:id="85" w:name="_Toc25900"/>
            <w:bookmarkStart w:id="86" w:name="_Toc9178"/>
            <w:r>
              <w:rPr>
                <w:rFonts w:hint="default" w:ascii="Times New Roman" w:hAnsi="Times New Roman" w:eastAsia="宋体" w:cs="Times New Roman"/>
                <w:b/>
                <w:bCs/>
                <w:color w:val="000000" w:themeColor="text1"/>
                <w:kern w:val="0"/>
                <w:szCs w:val="21"/>
                <w14:textFill>
                  <w14:solidFill>
                    <w14:schemeClr w14:val="tx1"/>
                  </w14:solidFill>
                </w14:textFill>
              </w:rPr>
              <w:t>序号</w:t>
            </w:r>
          </w:p>
        </w:tc>
        <w:tc>
          <w:tcPr>
            <w:tcW w:w="1650"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Cs w:val="21"/>
                <w14:textFill>
                  <w14:solidFill>
                    <w14:schemeClr w14:val="tx1"/>
                  </w14:solidFill>
                </w14:textFill>
              </w:rPr>
            </w:pPr>
            <w:r>
              <w:rPr>
                <w:rFonts w:hint="default" w:ascii="Times New Roman" w:hAnsi="Times New Roman" w:eastAsia="宋体" w:cs="Times New Roman"/>
                <w:b/>
                <w:bCs/>
                <w:color w:val="000000" w:themeColor="text1"/>
                <w:kern w:val="0"/>
                <w:szCs w:val="21"/>
                <w14:textFill>
                  <w14:solidFill>
                    <w14:schemeClr w14:val="tx1"/>
                  </w14:solidFill>
                </w14:textFill>
              </w:rPr>
              <w:t>设备名称</w:t>
            </w:r>
          </w:p>
        </w:tc>
        <w:tc>
          <w:tcPr>
            <w:tcW w:w="780"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单位</w:t>
            </w:r>
          </w:p>
        </w:tc>
        <w:tc>
          <w:tcPr>
            <w:tcW w:w="1130"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原项目数量</w:t>
            </w:r>
          </w:p>
        </w:tc>
        <w:tc>
          <w:tcPr>
            <w:tcW w:w="1215"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本项目数量</w:t>
            </w:r>
          </w:p>
        </w:tc>
        <w:tc>
          <w:tcPr>
            <w:tcW w:w="1374"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扩建后数量</w:t>
            </w:r>
          </w:p>
        </w:tc>
        <w:tc>
          <w:tcPr>
            <w:tcW w:w="1778"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扩建后</w:t>
            </w: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14:textFill>
                  <w14:solidFill>
                    <w14:schemeClr w14:val="tx1"/>
                  </w14:solidFill>
                </w14:textFill>
              </w:rPr>
              <w:t>1</w:t>
            </w:r>
          </w:p>
        </w:tc>
        <w:tc>
          <w:tcPr>
            <w:tcW w:w="1650" w:type="dxa"/>
            <w:tcBorders>
              <w:tl2br w:val="nil"/>
              <w:tr2bl w:val="nil"/>
            </w:tcBorders>
            <w:vAlign w:val="center"/>
          </w:tcPr>
          <w:p>
            <w:pPr>
              <w:jc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混料机</w:t>
            </w:r>
          </w:p>
        </w:tc>
        <w:tc>
          <w:tcPr>
            <w:tcW w:w="780" w:type="dxa"/>
            <w:tcBorders>
              <w:tl2br w:val="nil"/>
              <w:tr2bl w:val="nil"/>
            </w:tcBorders>
            <w:vAlign w:val="center"/>
          </w:tcPr>
          <w:p>
            <w:pPr>
              <w:pStyle w:val="39"/>
              <w:spacing w:line="240" w:lineRule="auto"/>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t>台</w:t>
            </w:r>
          </w:p>
        </w:tc>
        <w:tc>
          <w:tcPr>
            <w:tcW w:w="1130" w:type="dxa"/>
            <w:tcBorders>
              <w:tl2br w:val="nil"/>
              <w:tr2bl w:val="nil"/>
            </w:tcBorders>
            <w:vAlign w:val="center"/>
          </w:tcPr>
          <w:p>
            <w:pPr>
              <w:pStyle w:val="39"/>
              <w:spacing w:line="240" w:lineRule="auto"/>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2</w:t>
            </w:r>
          </w:p>
        </w:tc>
        <w:tc>
          <w:tcPr>
            <w:tcW w:w="1215" w:type="dxa"/>
            <w:tcBorders>
              <w:tl2br w:val="nil"/>
              <w:tr2bl w:val="nil"/>
            </w:tcBorders>
            <w:vAlign w:val="center"/>
          </w:tcPr>
          <w:p>
            <w:pPr>
              <w:pStyle w:val="39"/>
              <w:spacing w:line="240" w:lineRule="auto"/>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0</w:t>
            </w:r>
          </w:p>
        </w:tc>
        <w:tc>
          <w:tcPr>
            <w:tcW w:w="1374" w:type="dxa"/>
            <w:tcBorders>
              <w:tl2br w:val="nil"/>
              <w:tr2bl w:val="nil"/>
            </w:tcBorders>
            <w:vAlign w:val="center"/>
          </w:tcPr>
          <w:p>
            <w:pPr>
              <w:pStyle w:val="39"/>
              <w:spacing w:line="240" w:lineRule="auto"/>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实际为</w:t>
            </w:r>
            <w:r>
              <w:rPr>
                <w:rFonts w:hint="eastAsia" w:ascii="Times New Roman" w:hAnsi="Times New Roman" w:cs="Times New Roman"/>
                <w:color w:val="000000" w:themeColor="text1"/>
                <w:kern w:val="0"/>
                <w:szCs w:val="21"/>
                <w:lang w:val="en-US" w:eastAsia="zh-CN"/>
                <w14:textFill>
                  <w14:solidFill>
                    <w14:schemeClr w14:val="tx1"/>
                  </w14:solidFill>
                </w14:textFill>
              </w:rPr>
              <w:t>2</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14:textFill>
                  <w14:solidFill>
                    <w14:schemeClr w14:val="tx1"/>
                  </w14:solidFill>
                </w14:textFill>
              </w:rPr>
              <w:t>2</w:t>
            </w:r>
          </w:p>
        </w:tc>
        <w:tc>
          <w:tcPr>
            <w:tcW w:w="1650" w:type="dxa"/>
            <w:tcBorders>
              <w:tl2br w:val="nil"/>
              <w:tr2bl w:val="nil"/>
            </w:tcBorders>
            <w:vAlign w:val="center"/>
          </w:tcPr>
          <w:p>
            <w:pPr>
              <w:jc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混料罐</w:t>
            </w:r>
          </w:p>
        </w:tc>
        <w:tc>
          <w:tcPr>
            <w:tcW w:w="780" w:type="dxa"/>
            <w:tcBorders>
              <w:tl2br w:val="nil"/>
              <w:tr2bl w:val="nil"/>
            </w:tcBorders>
            <w:vAlign w:val="center"/>
          </w:tcPr>
          <w:p>
            <w:pPr>
              <w:pStyle w:val="39"/>
              <w:spacing w:line="240" w:lineRule="auto"/>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台</w:t>
            </w:r>
          </w:p>
        </w:tc>
        <w:tc>
          <w:tcPr>
            <w:tcW w:w="1130" w:type="dxa"/>
            <w:tcBorders>
              <w:tl2br w:val="nil"/>
              <w:tr2bl w:val="nil"/>
            </w:tcBorders>
            <w:vAlign w:val="center"/>
          </w:tcPr>
          <w:p>
            <w:pPr>
              <w:pStyle w:val="39"/>
              <w:spacing w:line="240" w:lineRule="auto"/>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0</w:t>
            </w:r>
          </w:p>
        </w:tc>
        <w:tc>
          <w:tcPr>
            <w:tcW w:w="1215" w:type="dxa"/>
            <w:tcBorders>
              <w:tl2br w:val="nil"/>
              <w:tr2bl w:val="nil"/>
            </w:tcBorders>
            <w:vAlign w:val="center"/>
          </w:tcPr>
          <w:p>
            <w:pPr>
              <w:pStyle w:val="39"/>
              <w:spacing w:line="240" w:lineRule="auto"/>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3</w:t>
            </w:r>
          </w:p>
        </w:tc>
        <w:tc>
          <w:tcPr>
            <w:tcW w:w="1374" w:type="dxa"/>
            <w:tcBorders>
              <w:tl2br w:val="nil"/>
              <w:tr2bl w:val="nil"/>
            </w:tcBorders>
            <w:vAlign w:val="center"/>
          </w:tcPr>
          <w:p>
            <w:pPr>
              <w:pStyle w:val="39"/>
              <w:spacing w:line="240" w:lineRule="auto"/>
              <w:rPr>
                <w:rFonts w:hint="default"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实际为</w:t>
            </w:r>
            <w:r>
              <w:rPr>
                <w:rFonts w:hint="eastAsia" w:ascii="Times New Roman" w:hAnsi="Times New Roman" w:cs="Times New Roman"/>
                <w:color w:val="000000" w:themeColor="text1"/>
                <w:kern w:val="0"/>
                <w:szCs w:val="21"/>
                <w:lang w:val="en-US" w:eastAsia="zh-CN"/>
                <w14:textFill>
                  <w14:solidFill>
                    <w14:schemeClr w14:val="tx1"/>
                  </w14:solidFill>
                </w14:textFill>
              </w:rPr>
              <w:t>0</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3</w:t>
            </w:r>
          </w:p>
        </w:tc>
        <w:tc>
          <w:tcPr>
            <w:tcW w:w="1650" w:type="dxa"/>
            <w:tcBorders>
              <w:tl2br w:val="nil"/>
              <w:tr2bl w:val="nil"/>
            </w:tcBorders>
            <w:vAlign w:val="center"/>
          </w:tcPr>
          <w:p>
            <w:pPr>
              <w:jc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自动上料机</w:t>
            </w:r>
          </w:p>
        </w:tc>
        <w:tc>
          <w:tcPr>
            <w:tcW w:w="780" w:type="dxa"/>
            <w:tcBorders>
              <w:tl2br w:val="nil"/>
              <w:tr2bl w:val="nil"/>
            </w:tcBorders>
            <w:vAlign w:val="center"/>
          </w:tcPr>
          <w:p>
            <w:pPr>
              <w:pStyle w:val="39"/>
              <w:spacing w:line="240" w:lineRule="auto"/>
              <w:rPr>
                <w:rFonts w:hint="default" w:ascii="Times New Roman" w:hAnsi="Times New Roman" w:eastAsia="宋体" w:cs="Times New Roman"/>
                <w:b w:val="0"/>
                <w:bCs w:val="0"/>
                <w:color w:val="000000" w:themeColor="text1"/>
                <w:kern w:val="0"/>
                <w:szCs w:val="21"/>
                <w14:textFill>
                  <w14:solidFill>
                    <w14:schemeClr w14:val="tx1"/>
                  </w14:solidFill>
                </w14:textFill>
              </w:rPr>
            </w:pPr>
            <w:r>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t>台</w:t>
            </w:r>
          </w:p>
        </w:tc>
        <w:tc>
          <w:tcPr>
            <w:tcW w:w="1130"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w:t>
            </w:r>
          </w:p>
        </w:tc>
        <w:tc>
          <w:tcPr>
            <w:tcW w:w="1215"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w:t>
            </w:r>
          </w:p>
        </w:tc>
        <w:tc>
          <w:tcPr>
            <w:tcW w:w="1374"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实际为</w:t>
            </w:r>
            <w:r>
              <w:rPr>
                <w:rFonts w:hint="eastAsia" w:ascii="Times New Roman" w:hAnsi="Times New Roman" w:cs="Times New Roman"/>
                <w:color w:val="000000" w:themeColor="text1"/>
                <w:kern w:val="0"/>
                <w:szCs w:val="21"/>
                <w:lang w:val="en-US" w:eastAsia="zh-CN"/>
                <w14:textFill>
                  <w14:solidFill>
                    <w14:schemeClr w14:val="tx1"/>
                  </w14:solidFill>
                </w14:textFill>
              </w:rPr>
              <w:t>1</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4</w:t>
            </w:r>
          </w:p>
        </w:tc>
        <w:tc>
          <w:tcPr>
            <w:tcW w:w="1650" w:type="dxa"/>
            <w:tcBorders>
              <w:tl2br w:val="nil"/>
              <w:tr2bl w:val="nil"/>
            </w:tcBorders>
            <w:vAlign w:val="center"/>
          </w:tcPr>
          <w:p>
            <w:pPr>
              <w:jc w:val="center"/>
              <w:rPr>
                <w:rFonts w:hint="eastAsia"/>
                <w:color w:val="000000" w:themeColor="text1"/>
                <w:szCs w:val="21"/>
                <w:shd w:val="clear" w:color="auto" w:fill="auto"/>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造粒机</w:t>
            </w:r>
          </w:p>
        </w:tc>
        <w:tc>
          <w:tcPr>
            <w:tcW w:w="780" w:type="dxa"/>
            <w:tcBorders>
              <w:tl2br w:val="nil"/>
              <w:tr2bl w:val="nil"/>
            </w:tcBorders>
            <w:vAlign w:val="center"/>
          </w:tcPr>
          <w:p>
            <w:pPr>
              <w:pStyle w:val="39"/>
              <w:spacing w:line="240" w:lineRule="auto"/>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pPr>
            <w:r>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t>套</w:t>
            </w:r>
          </w:p>
        </w:tc>
        <w:tc>
          <w:tcPr>
            <w:tcW w:w="1130"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w:t>
            </w:r>
          </w:p>
        </w:tc>
        <w:tc>
          <w:tcPr>
            <w:tcW w:w="1215"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w:t>
            </w:r>
          </w:p>
        </w:tc>
        <w:tc>
          <w:tcPr>
            <w:tcW w:w="1374"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实际为</w:t>
            </w:r>
            <w:r>
              <w:rPr>
                <w:rFonts w:hint="eastAsia" w:ascii="Times New Roman" w:hAnsi="Times New Roman" w:cs="Times New Roman"/>
                <w:color w:val="000000" w:themeColor="text1"/>
                <w:kern w:val="0"/>
                <w:szCs w:val="21"/>
                <w:lang w:val="en-US" w:eastAsia="zh-CN"/>
                <w14:textFill>
                  <w14:solidFill>
                    <w14:schemeClr w14:val="tx1"/>
                  </w14:solidFill>
                </w14:textFill>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5</w:t>
            </w:r>
          </w:p>
        </w:tc>
        <w:tc>
          <w:tcPr>
            <w:tcW w:w="1650" w:type="dxa"/>
            <w:tcBorders>
              <w:tl2br w:val="nil"/>
              <w:tr2bl w:val="nil"/>
            </w:tcBorders>
            <w:vAlign w:val="center"/>
          </w:tcPr>
          <w:p>
            <w:pPr>
              <w:jc w:val="center"/>
              <w:rPr>
                <w:rFonts w:hint="eastAsia"/>
                <w:color w:val="000000" w:themeColor="text1"/>
                <w:szCs w:val="21"/>
                <w:shd w:val="clear" w:color="auto" w:fill="auto"/>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注塑机</w:t>
            </w:r>
          </w:p>
        </w:tc>
        <w:tc>
          <w:tcPr>
            <w:tcW w:w="780" w:type="dxa"/>
            <w:tcBorders>
              <w:tl2br w:val="nil"/>
              <w:tr2bl w:val="nil"/>
            </w:tcBorders>
            <w:vAlign w:val="center"/>
          </w:tcPr>
          <w:p>
            <w:pPr>
              <w:pStyle w:val="39"/>
              <w:spacing w:line="240" w:lineRule="auto"/>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pPr>
            <w:r>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t>台</w:t>
            </w:r>
          </w:p>
        </w:tc>
        <w:tc>
          <w:tcPr>
            <w:tcW w:w="1130"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w:t>
            </w:r>
          </w:p>
        </w:tc>
        <w:tc>
          <w:tcPr>
            <w:tcW w:w="1215"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w:t>
            </w:r>
          </w:p>
        </w:tc>
        <w:tc>
          <w:tcPr>
            <w:tcW w:w="1374"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实际为</w:t>
            </w:r>
            <w:r>
              <w:rPr>
                <w:rFonts w:hint="eastAsia" w:ascii="Times New Roman" w:hAnsi="Times New Roman" w:cs="Times New Roman"/>
                <w:color w:val="000000" w:themeColor="text1"/>
                <w:kern w:val="0"/>
                <w:szCs w:val="21"/>
                <w:lang w:val="en-US" w:eastAsia="zh-CN"/>
                <w14:textFill>
                  <w14:solidFill>
                    <w14:schemeClr w14:val="tx1"/>
                  </w14:solidFill>
                </w14:textFill>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6</w:t>
            </w:r>
          </w:p>
        </w:tc>
        <w:tc>
          <w:tcPr>
            <w:tcW w:w="1650" w:type="dxa"/>
            <w:tcBorders>
              <w:tl2br w:val="nil"/>
              <w:tr2bl w:val="nil"/>
            </w:tcBorders>
            <w:vAlign w:val="center"/>
          </w:tcPr>
          <w:p>
            <w:pPr>
              <w:jc w:val="center"/>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磨粉机</w:t>
            </w:r>
          </w:p>
        </w:tc>
        <w:tc>
          <w:tcPr>
            <w:tcW w:w="780" w:type="dxa"/>
            <w:tcBorders>
              <w:tl2br w:val="nil"/>
              <w:tr2bl w:val="nil"/>
            </w:tcBorders>
            <w:vAlign w:val="center"/>
          </w:tcPr>
          <w:p>
            <w:pPr>
              <w:pStyle w:val="39"/>
              <w:spacing w:line="240" w:lineRule="auto"/>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pPr>
            <w:r>
              <w:rPr>
                <w:rFonts w:hint="eastAsia" w:ascii="Times New Roman" w:hAnsi="Times New Roman" w:eastAsia="宋体"/>
                <w:color w:val="000000" w:themeColor="text1"/>
                <w:szCs w:val="21"/>
                <w:shd w:val="clear" w:color="auto" w:fill="auto"/>
                <w:lang w:val="en-US" w:eastAsia="zh-CN"/>
                <w14:textFill>
                  <w14:solidFill>
                    <w14:schemeClr w14:val="tx1"/>
                  </w14:solidFill>
                </w14:textFill>
              </w:rPr>
              <w:t>台</w:t>
            </w:r>
          </w:p>
        </w:tc>
        <w:tc>
          <w:tcPr>
            <w:tcW w:w="1130"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0</w:t>
            </w:r>
          </w:p>
        </w:tc>
        <w:tc>
          <w:tcPr>
            <w:tcW w:w="1215"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2</w:t>
            </w:r>
          </w:p>
        </w:tc>
        <w:tc>
          <w:tcPr>
            <w:tcW w:w="1374" w:type="dxa"/>
            <w:tcBorders>
              <w:tl2br w:val="nil"/>
              <w:tr2bl w:val="nil"/>
            </w:tcBorders>
            <w:vAlign w:val="center"/>
          </w:tcPr>
          <w:p>
            <w:pPr>
              <w:pStyle w:val="39"/>
              <w:spacing w:line="240" w:lineRule="auto"/>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实际为2台</w:t>
            </w:r>
          </w:p>
        </w:tc>
      </w:tr>
    </w:tbl>
    <w:p>
      <w:pPr>
        <w:pStyle w:val="4"/>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2.3工艺流程</w:t>
      </w:r>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drawing>
          <wp:inline distT="0" distB="0" distL="114300" distR="114300">
            <wp:extent cx="5272405" cy="2004060"/>
            <wp:effectExtent l="0" t="0" r="4445" b="1524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5272405" cy="2004060"/>
                    </a:xfrm>
                    <a:prstGeom prst="rect">
                      <a:avLst/>
                    </a:prstGeom>
                    <a:noFill/>
                    <a:ln>
                      <a:noFill/>
                    </a:ln>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bookmarkStart w:id="87" w:name="_Toc12284"/>
      <w:bookmarkStart w:id="88" w:name="_Toc29955"/>
      <w:bookmarkStart w:id="89" w:name="_Toc12629"/>
      <w:bookmarkStart w:id="90" w:name="_Toc2746"/>
      <w:r>
        <w:rPr>
          <w:rFonts w:hint="default" w:ascii="Times New Roman" w:hAnsi="Times New Roman" w:eastAsia="宋体" w:cs="Times New Roman"/>
          <w:color w:val="000000" w:themeColor="text1"/>
          <w:sz w:val="24"/>
          <w:szCs w:val="24"/>
          <w14:textFill>
            <w14:solidFill>
              <w14:schemeClr w14:val="tx1"/>
            </w14:solidFill>
          </w14:textFill>
        </w:rPr>
        <w:t>图2-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1生产工艺流程图</w:t>
      </w:r>
    </w:p>
    <w:p>
      <w:pPr>
        <w:pStyle w:val="6"/>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工艺流</w:t>
      </w:r>
      <w:r>
        <w:rPr>
          <w:rFonts w:hint="eastAsia" w:ascii="Times New Roman" w:hAnsi="Times New Roman" w:eastAsia="宋体" w:cs="Times New Roman"/>
          <w:color w:val="000000" w:themeColor="text1"/>
          <w:kern w:val="28"/>
          <w:sz w:val="24"/>
          <w:szCs w:val="22"/>
          <w:lang w:val="en-US" w:eastAsia="zh-CN" w:bidi="ar-SA"/>
          <w14:textFill>
            <w14:solidFill>
              <w14:schemeClr w14:val="tx1"/>
            </w14:solidFill>
          </w14:textFill>
        </w:rPr>
        <w:t>程</w:t>
      </w:r>
      <w:r>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t>简述：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原料：聚乙烯、聚氯乙烯、碳酸氢钙、色母粒等原包料；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混料：混料工序设备为混料罐，混料工序外协；</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造粒：混配好的料进入造粒机组，经过加热高温挤压切割成为颗粒状，此工序会产生废气（G1）：非甲烷总烃、氯化氢，氯乙烯。不需要循环水进行冷却。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磨粉：将造好的颗粒进行磨粉，磨粉机自带布袋除尘收集粉尘（$1），粉尘（$1）</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回收到造粒工序再利用，磨粉工序会产生废气（G2）。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检验：检验合格即为成品。检验工序的不合格品和边角料（</w:t>
      </w:r>
      <w:r>
        <w:rPr>
          <w:rFonts w:hint="eastAsia" w:ascii="Times New Roman" w:hAnsi="Times New Roman" w:cs="Times New Roman"/>
          <w:color w:val="000000" w:themeColor="text1"/>
          <w:kern w:val="0"/>
          <w:sz w:val="24"/>
          <w:szCs w:val="24"/>
          <w:shd w:val="clear" w:color="auto" w:fill="auto"/>
          <w:lang w:val="en-US" w:eastAsia="zh-CN"/>
          <w14:textFill>
            <w14:solidFill>
              <w14:schemeClr w14:val="tx1"/>
            </w14:solidFill>
          </w14:textFill>
        </w:rPr>
        <w:t>S2</w:t>
      </w: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）回到造粒工序重新进行生产。</w:t>
      </w:r>
    </w:p>
    <w:p>
      <w:pPr>
        <w:pStyle w:val="4"/>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2.4劳动定员及工作制度</w:t>
      </w:r>
      <w:bookmarkEnd w:id="87"/>
      <w:bookmarkEnd w:id="88"/>
      <w:bookmarkEnd w:id="89"/>
      <w:bookmarkEnd w:id="90"/>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厂内原有劳动定员4人，本项目新增劳动定员4名，扩建后劳动定员8人，每天2班，每班8小时，年工作300天。</w:t>
      </w:r>
    </w:p>
    <w:p>
      <w:pPr>
        <w:pStyle w:val="4"/>
        <w:rPr>
          <w:rFonts w:hint="default" w:ascii="Times New Roman" w:hAnsi="Times New Roman" w:eastAsia="宋体" w:cs="Times New Roman"/>
          <w:color w:val="000000" w:themeColor="text1"/>
          <w14:textFill>
            <w14:solidFill>
              <w14:schemeClr w14:val="tx1"/>
            </w14:solidFill>
          </w14:textFill>
        </w:rPr>
      </w:pPr>
      <w:bookmarkStart w:id="91" w:name="_Toc18609"/>
      <w:bookmarkStart w:id="92" w:name="_Toc23560"/>
      <w:bookmarkStart w:id="93" w:name="_Toc4180"/>
      <w:bookmarkStart w:id="94" w:name="_Toc172"/>
      <w:r>
        <w:rPr>
          <w:rFonts w:hint="default" w:ascii="Times New Roman" w:hAnsi="Times New Roman" w:eastAsia="宋体" w:cs="Times New Roman"/>
          <w:color w:val="000000" w:themeColor="text1"/>
          <w14:textFill>
            <w14:solidFill>
              <w14:schemeClr w14:val="tx1"/>
            </w14:solidFill>
          </w14:textFill>
        </w:rPr>
        <w:t>2.5公用工程</w:t>
      </w:r>
      <w:bookmarkEnd w:id="91"/>
      <w:bookmarkEnd w:id="92"/>
      <w:bookmarkEnd w:id="93"/>
      <w:bookmarkEnd w:id="94"/>
    </w:p>
    <w:p>
      <w:pPr>
        <w:pStyle w:val="5"/>
        <w:spacing w:line="440" w:lineRule="atLeast"/>
        <w:rPr>
          <w:rFonts w:hint="default" w:ascii="Times New Roman" w:hAnsi="Times New Roman" w:eastAsia="宋体" w:cs="Times New Roman"/>
          <w:color w:val="000000" w:themeColor="text1"/>
          <w14:textFill>
            <w14:solidFill>
              <w14:schemeClr w14:val="tx1"/>
            </w14:solidFill>
          </w14:textFill>
        </w:rPr>
      </w:pPr>
      <w:bookmarkStart w:id="95" w:name="_Toc497001447"/>
      <w:bookmarkStart w:id="96" w:name="_Toc23987"/>
      <w:bookmarkStart w:id="97" w:name="_Toc30587"/>
      <w:bookmarkStart w:id="98" w:name="_Toc11895"/>
      <w:bookmarkStart w:id="99" w:name="_Toc496979011"/>
      <w:bookmarkStart w:id="100" w:name="_Toc30661"/>
      <w:r>
        <w:rPr>
          <w:rFonts w:hint="default" w:ascii="Times New Roman" w:hAnsi="Times New Roman" w:eastAsia="宋体" w:cs="Times New Roman"/>
          <w:color w:val="000000" w:themeColor="text1"/>
          <w14:textFill>
            <w14:solidFill>
              <w14:schemeClr w14:val="tx1"/>
            </w14:solidFill>
          </w14:textFill>
        </w:rPr>
        <w:t>2.5.1给排水</w:t>
      </w:r>
      <w:bookmarkEnd w:id="95"/>
      <w:bookmarkEnd w:id="96"/>
      <w:bookmarkEnd w:id="97"/>
      <w:bookmarkEnd w:id="98"/>
      <w:bookmarkEnd w:id="99"/>
      <w:bookmarkEnd w:id="100"/>
    </w:p>
    <w:p>
      <w:pPr>
        <w:pStyle w:val="5"/>
        <w:spacing w:line="440" w:lineRule="atLeast"/>
        <w:ind w:firstLine="480" w:firstLineChars="200"/>
        <w:rPr>
          <w:rFonts w:hint="eastAsia" w:ascii="Times New Roman" w:hAnsi="Times New Roman" w:eastAsia="宋体" w:cs="Times New Roman"/>
          <w:color w:val="000000" w:themeColor="text1"/>
          <w:lang w:eastAsia="zh-CN"/>
          <w14:textFill>
            <w14:solidFill>
              <w14:schemeClr w14:val="tx1"/>
            </w14:solidFill>
          </w14:textFill>
        </w:rPr>
      </w:pPr>
      <w:bookmarkStart w:id="101" w:name="_Toc497001448"/>
      <w:bookmarkStart w:id="102" w:name="_Toc496979012"/>
      <w:bookmarkStart w:id="103" w:name="_Toc922"/>
      <w:r>
        <w:rPr>
          <w:rFonts w:hint="default" w:ascii="Times New Roman" w:hAnsi="Times New Roman" w:eastAsia="宋体" w:cs="Times New Roman"/>
          <w:color w:val="000000" w:themeColor="text1"/>
          <w14:textFill>
            <w14:solidFill>
              <w14:schemeClr w14:val="tx1"/>
            </w14:solidFill>
          </w14:textFill>
        </w:rPr>
        <w:t>1）给水：</w:t>
      </w:r>
      <w:r>
        <w:rPr>
          <w:rFonts w:hint="default" w:ascii="Times New Roman" w:hAnsi="Times New Roman" w:eastAsia="宋体" w:cs="Times New Roman"/>
          <w:color w:val="000000" w:themeColor="text1"/>
          <w:lang w:val="en-US" w:eastAsia="zh-CN"/>
          <w14:textFill>
            <w14:solidFill>
              <w14:schemeClr w14:val="tx1"/>
            </w14:solidFill>
          </w14:textFill>
        </w:rPr>
        <w:t>由当地供水管网提供。</w:t>
      </w:r>
    </w:p>
    <w:p>
      <w:pPr>
        <w:pStyle w:val="5"/>
        <w:spacing w:line="440" w:lineRule="atLeast"/>
        <w:ind w:firstLine="480" w:firstLineChars="200"/>
        <w:rPr>
          <w:rFonts w:ascii="Times New Roman" w:hAnsi="Times New Roman" w:eastAsia="宋体"/>
          <w:color w:val="000000" w:themeColor="text1"/>
          <w:kern w:val="28"/>
          <w:sz w:val="24"/>
          <w14:textFill>
            <w14:solidFill>
              <w14:schemeClr w14:val="tx1"/>
            </w14:solidFill>
          </w14:textFill>
        </w:rPr>
      </w:pPr>
      <w:bookmarkStart w:id="104" w:name="_Toc30676"/>
      <w:r>
        <w:rPr>
          <w:rFonts w:hint="default" w:ascii="Times New Roman" w:hAnsi="Times New Roman" w:eastAsia="宋体" w:cs="Times New Roman"/>
          <w:color w:val="000000" w:themeColor="text1"/>
          <w14:textFill>
            <w14:solidFill>
              <w14:schemeClr w14:val="tx1"/>
            </w14:solidFill>
          </w14:textFill>
        </w:rPr>
        <w:t>2）排水</w:t>
      </w:r>
      <w:r>
        <w:rPr>
          <w:rFonts w:ascii="Times New Roman" w:hAnsi="Times New Roman" w:eastAsia="宋体"/>
          <w:color w:val="000000" w:themeColor="text1"/>
          <w:kern w:val="28"/>
          <w:sz w:val="24"/>
          <w14:textFill>
            <w14:solidFill>
              <w14:schemeClr w14:val="tx1"/>
            </w14:solidFill>
          </w14:textFill>
        </w:rPr>
        <w:t>：</w:t>
      </w:r>
      <w:bookmarkEnd w:id="104"/>
      <w:r>
        <w:rPr>
          <w:rFonts w:hint="eastAsia" w:ascii="Times New Roman" w:hAnsi="Times New Roman" w:eastAsia="宋体"/>
          <w:color w:val="000000" w:themeColor="text1"/>
          <w:kern w:val="28"/>
          <w:sz w:val="24"/>
          <w:lang w:eastAsia="zh-CN"/>
          <w14:textFill>
            <w14:solidFill>
              <w14:schemeClr w14:val="tx1"/>
            </w14:solidFill>
          </w14:textFill>
        </w:rPr>
        <w:t>项目冷却塔用水循环使用不外排；生活污水排入化粪池，定时清掏</w:t>
      </w:r>
      <w:r>
        <w:rPr>
          <w:rFonts w:hint="eastAsia" w:ascii="Times New Roman" w:hAnsi="Times New Roman" w:eastAsia="宋体"/>
          <w:color w:val="000000" w:themeColor="text1"/>
          <w:kern w:val="28"/>
          <w:sz w:val="24"/>
          <w:lang w:val="en-US" w:eastAsia="zh-CN"/>
          <w14:textFill>
            <w14:solidFill>
              <w14:schemeClr w14:val="tx1"/>
            </w14:solidFill>
          </w14:textFill>
        </w:rPr>
        <w:t>。</w:t>
      </w:r>
    </w:p>
    <w:p>
      <w:pPr>
        <w:pStyle w:val="5"/>
        <w:spacing w:line="440" w:lineRule="atLeast"/>
        <w:rPr>
          <w:rFonts w:hint="default" w:ascii="Times New Roman" w:hAnsi="Times New Roman" w:eastAsia="宋体" w:cs="Times New Roman"/>
          <w:color w:val="000000" w:themeColor="text1"/>
          <w14:textFill>
            <w14:solidFill>
              <w14:schemeClr w14:val="tx1"/>
            </w14:solidFill>
          </w14:textFill>
        </w:rPr>
      </w:pPr>
      <w:bookmarkStart w:id="105" w:name="_Toc26592"/>
      <w:bookmarkStart w:id="106" w:name="_Toc21823"/>
      <w:bookmarkStart w:id="107" w:name="_Toc24223"/>
      <w:r>
        <w:rPr>
          <w:rFonts w:hint="default" w:ascii="Times New Roman" w:hAnsi="Times New Roman" w:eastAsia="宋体" w:cs="Times New Roman"/>
          <w:color w:val="000000" w:themeColor="text1"/>
          <w14:textFill>
            <w14:solidFill>
              <w14:schemeClr w14:val="tx1"/>
            </w14:solidFill>
          </w14:textFill>
        </w:rPr>
        <w:t>2.5.2供电</w:t>
      </w:r>
      <w:bookmarkEnd w:id="101"/>
      <w:bookmarkEnd w:id="102"/>
      <w:bookmarkEnd w:id="103"/>
      <w:bookmarkEnd w:id="105"/>
      <w:bookmarkEnd w:id="106"/>
      <w:bookmarkEnd w:id="107"/>
    </w:p>
    <w:p>
      <w:pPr>
        <w:spacing w:line="440" w:lineRule="atLeast"/>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由当地供电电网供给</w:t>
      </w:r>
      <w:r>
        <w:rPr>
          <w:rFonts w:hint="eastAsia" w:ascii="Times New Roman" w:hAnsi="Times New Roman" w:cs="Times New Roman"/>
          <w:color w:val="000000" w:themeColor="text1"/>
          <w:sz w:val="24"/>
          <w:szCs w:val="24"/>
          <w:lang w:eastAsia="zh-CN"/>
          <w14:textFill>
            <w14:solidFill>
              <w14:schemeClr w14:val="tx1"/>
            </w14:solidFill>
          </w14:textFill>
        </w:rPr>
        <w:t>。</w:t>
      </w:r>
    </w:p>
    <w:p>
      <w:pPr>
        <w:pStyle w:val="5"/>
        <w:rPr>
          <w:rFonts w:hint="default" w:ascii="Times New Roman" w:hAnsi="Times New Roman" w:eastAsia="宋体" w:cs="Times New Roman"/>
          <w:color w:val="000000" w:themeColor="text1"/>
          <w14:textFill>
            <w14:solidFill>
              <w14:schemeClr w14:val="tx1"/>
            </w14:solidFill>
          </w14:textFill>
        </w:rPr>
      </w:pPr>
      <w:bookmarkStart w:id="108" w:name="_Toc11980"/>
      <w:bookmarkStart w:id="109" w:name="_Toc138"/>
      <w:bookmarkStart w:id="110" w:name="_Toc27473"/>
      <w:bookmarkStart w:id="111" w:name="_Toc2253"/>
      <w:r>
        <w:rPr>
          <w:rFonts w:hint="default" w:ascii="Times New Roman" w:hAnsi="Times New Roman" w:eastAsia="宋体" w:cs="Times New Roman"/>
          <w:color w:val="000000" w:themeColor="text1"/>
          <w14:textFill>
            <w14:solidFill>
              <w14:schemeClr w14:val="tx1"/>
            </w14:solidFill>
          </w14:textFill>
        </w:rPr>
        <w:t>2.5.3供暖</w:t>
      </w:r>
      <w:bookmarkEnd w:id="108"/>
      <w:bookmarkEnd w:id="109"/>
      <w:bookmarkEnd w:id="110"/>
      <w:bookmarkEnd w:id="111"/>
    </w:p>
    <w:p>
      <w:pPr>
        <w:spacing w:line="360" w:lineRule="auto"/>
        <w:ind w:firstLine="480" w:firstLineChars="200"/>
        <w:rPr>
          <w:rFonts w:hint="eastAsia" w:ascii="Times New Roman" w:hAnsi="Times New Roman" w:eastAsia="宋体" w:cs="Times New Roman"/>
          <w:color w:val="000000" w:themeColor="text1"/>
          <w:lang w:eastAsia="zh-CN"/>
          <w14:textFill>
            <w14:solidFill>
              <w14:schemeClr w14:val="tx1"/>
            </w14:solidFill>
          </w14:textFill>
        </w:rPr>
      </w:pPr>
      <w:bookmarkStart w:id="112" w:name="_Toc14595"/>
      <w:bookmarkStart w:id="113" w:name="_Toc12064"/>
      <w:bookmarkStart w:id="114" w:name="_Toc21958"/>
      <w:bookmarkStart w:id="115" w:name="_Toc23930"/>
      <w:r>
        <w:rPr>
          <w:rFonts w:hint="default" w:ascii="Times New Roman" w:hAnsi="Times New Roman" w:eastAsia="宋体" w:cs="Times New Roman"/>
          <w:color w:val="000000" w:themeColor="text1"/>
          <w:sz w:val="24"/>
          <w:szCs w:val="24"/>
          <w:lang w:val="en-US" w:eastAsia="zh-CN"/>
          <w14:textFill>
            <w14:solidFill>
              <w14:schemeClr w14:val="tx1"/>
            </w14:solidFill>
          </w14:textFill>
        </w:rPr>
        <w:t>项目生产用热采用电加热供给，办公生活取暖采用空调</w:t>
      </w:r>
      <w:r>
        <w:rPr>
          <w:rFonts w:hint="eastAsia" w:ascii="Times New Roman" w:hAnsi="Times New Roman" w:cs="Times New Roman"/>
          <w:color w:val="000000" w:themeColor="text1"/>
          <w:sz w:val="24"/>
          <w:szCs w:val="24"/>
          <w:lang w:val="en-US" w:eastAsia="zh-CN"/>
          <w14:textFill>
            <w14:solidFill>
              <w14:schemeClr w14:val="tx1"/>
            </w14:solidFill>
          </w14:textFill>
        </w:rPr>
        <w:t>。</w:t>
      </w:r>
    </w:p>
    <w:p>
      <w:pPr>
        <w:pStyle w:val="4"/>
        <w:spacing w:line="440" w:lineRule="atLeast"/>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2.6环评审批情况</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olor w:val="000000" w:themeColor="text1"/>
          <w:sz w:val="24"/>
          <w:lang w:val="en-US" w:eastAsia="zh-CN"/>
          <w14:textFill>
            <w14:solidFill>
              <w14:schemeClr w14:val="tx1"/>
            </w14:solidFill>
          </w14:textFill>
        </w:rPr>
        <w:t>河北尚锐环保科技有限公司2021年6月编制完成了《沧州东合塑业有限公司塑料制品生产线技术改造项目环境影响报告表》，于2021年9月3日取得了沧县行政审批局的批复，审批文号为沧县行审（环）字【2021】076号。</w:t>
      </w:r>
    </w:p>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szCs w:val="22"/>
          <w14:textFill>
            <w14:solidFill>
              <w14:schemeClr w14:val="tx1"/>
            </w14:solidFill>
          </w14:textFill>
        </w:rPr>
      </w:pPr>
      <w:bookmarkStart w:id="116" w:name="_Toc31951"/>
      <w:bookmarkStart w:id="117" w:name="_Toc29987"/>
      <w:bookmarkStart w:id="118" w:name="_Toc27205"/>
      <w:bookmarkStart w:id="119" w:name="_Toc6019"/>
      <w:r>
        <w:rPr>
          <w:rFonts w:hint="default" w:ascii="Times New Roman" w:hAnsi="Times New Roman" w:eastAsia="宋体" w:cs="Times New Roman"/>
          <w:color w:val="000000" w:themeColor="text1"/>
          <w:szCs w:val="22"/>
          <w14:textFill>
            <w14:solidFill>
              <w14:schemeClr w14:val="tx1"/>
            </w14:solidFill>
          </w14:textFill>
        </w:rPr>
        <w:t>2.7项目投资</w:t>
      </w:r>
      <w:bookmarkEnd w:id="116"/>
      <w:bookmarkEnd w:id="117"/>
      <w:bookmarkEnd w:id="118"/>
      <w:bookmarkEnd w:id="119"/>
    </w:p>
    <w:p>
      <w:pPr>
        <w:pStyle w:val="4"/>
        <w:ind w:firstLine="480" w:firstLineChars="200"/>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pPr>
      <w:bookmarkStart w:id="120" w:name="_Toc3229"/>
      <w:bookmarkStart w:id="121" w:name="_Toc21008"/>
      <w:bookmarkStart w:id="122" w:name="_Toc15687"/>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本项目</w:t>
      </w:r>
      <w:r>
        <w:rPr>
          <w:rFonts w:hint="eastAsia"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设计</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总投资为</w:t>
      </w:r>
      <w:r>
        <w:rPr>
          <w:rFonts w:hint="eastAsia" w:ascii="Times New Roman" w:hAnsi="Times New Roman" w:cs="Times New Roman"/>
          <w:b w:val="0"/>
          <w:bCs/>
          <w:color w:val="000000" w:themeColor="text1"/>
          <w:kern w:val="2"/>
          <w:sz w:val="24"/>
          <w:szCs w:val="24"/>
          <w:lang w:val="en-US" w:eastAsia="zh-CN" w:bidi="ar-SA"/>
          <w14:textFill>
            <w14:solidFill>
              <w14:schemeClr w14:val="tx1"/>
            </w14:solidFill>
          </w14:textFill>
        </w:rPr>
        <w:t>20</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万元，其中</w:t>
      </w:r>
      <w:r>
        <w:rPr>
          <w:rFonts w:hint="eastAsia"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设计</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环境保护总投资</w:t>
      </w:r>
      <w:r>
        <w:rPr>
          <w:rFonts w:hint="eastAsia" w:ascii="Times New Roman" w:hAnsi="Times New Roman" w:cs="Times New Roman"/>
          <w:b w:val="0"/>
          <w:bCs/>
          <w:color w:val="000000" w:themeColor="text1"/>
          <w:kern w:val="2"/>
          <w:sz w:val="24"/>
          <w:szCs w:val="24"/>
          <w:lang w:val="en-US" w:eastAsia="zh-CN" w:bidi="ar-SA"/>
          <w14:textFill>
            <w14:solidFill>
              <w14:schemeClr w14:val="tx1"/>
            </w14:solidFill>
          </w14:textFill>
        </w:rPr>
        <w:t>2</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万元，占总投资的</w:t>
      </w:r>
      <w:r>
        <w:rPr>
          <w:rFonts w:hint="eastAsia" w:ascii="Times New Roman" w:hAnsi="Times New Roman" w:cs="Times New Roman"/>
          <w:b w:val="0"/>
          <w:bCs/>
          <w:color w:val="000000" w:themeColor="text1"/>
          <w:kern w:val="2"/>
          <w:sz w:val="24"/>
          <w:szCs w:val="24"/>
          <w:lang w:val="en-US" w:eastAsia="zh-CN" w:bidi="ar-SA"/>
          <w14:textFill>
            <w14:solidFill>
              <w14:schemeClr w14:val="tx1"/>
            </w14:solidFill>
          </w14:textFill>
        </w:rPr>
        <w:t>10</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w:t>
      </w:r>
      <w:bookmarkStart w:id="123" w:name="_Toc15491"/>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实际总投资为</w:t>
      </w:r>
      <w:r>
        <w:rPr>
          <w:rFonts w:hint="eastAsia" w:ascii="Times New Roman" w:hAnsi="Times New Roman" w:cs="Times New Roman"/>
          <w:b w:val="0"/>
          <w:bCs/>
          <w:i w:val="0"/>
          <w:iCs w:val="0"/>
          <w:color w:val="000000" w:themeColor="text1"/>
          <w:kern w:val="2"/>
          <w:sz w:val="24"/>
          <w:szCs w:val="24"/>
          <w:lang w:val="en-US" w:eastAsia="zh-CN" w:bidi="ar-SA"/>
          <w14:textFill>
            <w14:solidFill>
              <w14:schemeClr w14:val="tx1"/>
            </w14:solidFill>
          </w14:textFill>
        </w:rPr>
        <w:t>20</w:t>
      </w:r>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万元，其中环境保护总投资</w:t>
      </w:r>
      <w:r>
        <w:rPr>
          <w:rFonts w:hint="eastAsia" w:ascii="Times New Roman" w:hAnsi="Times New Roman" w:cs="Times New Roman"/>
          <w:b w:val="0"/>
          <w:bCs/>
          <w:i w:val="0"/>
          <w:iCs w:val="0"/>
          <w:color w:val="000000" w:themeColor="text1"/>
          <w:kern w:val="2"/>
          <w:sz w:val="24"/>
          <w:szCs w:val="24"/>
          <w:lang w:val="en-US" w:eastAsia="zh-CN" w:bidi="ar-SA"/>
          <w14:textFill>
            <w14:solidFill>
              <w14:schemeClr w14:val="tx1"/>
            </w14:solidFill>
          </w14:textFill>
        </w:rPr>
        <w:t>2</w:t>
      </w:r>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万元，占总投资的</w:t>
      </w:r>
      <w:r>
        <w:rPr>
          <w:rFonts w:hint="eastAsia" w:ascii="Times New Roman" w:hAnsi="Times New Roman" w:cs="Times New Roman"/>
          <w:b w:val="0"/>
          <w:bCs/>
          <w:i w:val="0"/>
          <w:iCs w:val="0"/>
          <w:color w:val="000000" w:themeColor="text1"/>
          <w:kern w:val="2"/>
          <w:sz w:val="24"/>
          <w:szCs w:val="24"/>
          <w:lang w:val="en-US" w:eastAsia="zh-CN" w:bidi="ar-SA"/>
          <w14:textFill>
            <w14:solidFill>
              <w14:schemeClr w14:val="tx1"/>
            </w14:solidFill>
          </w14:textFill>
        </w:rPr>
        <w:t>10</w:t>
      </w:r>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w:t>
      </w:r>
      <w:bookmarkEnd w:id="120"/>
      <w:bookmarkEnd w:id="121"/>
      <w:bookmarkEnd w:id="122"/>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24" w:name="_Toc22160"/>
      <w:bookmarkStart w:id="125" w:name="_Toc3625"/>
      <w:bookmarkStart w:id="126" w:name="_Toc2981"/>
      <w:r>
        <w:rPr>
          <w:rFonts w:hint="default" w:ascii="Times New Roman" w:hAnsi="Times New Roman" w:eastAsia="宋体" w:cs="Times New Roman"/>
          <w:color w:val="000000" w:themeColor="text1"/>
          <w14:textFill>
            <w14:solidFill>
              <w14:schemeClr w14:val="tx1"/>
            </w14:solidFill>
          </w14:textFill>
        </w:rPr>
        <w:t>2.8项目变更情况说明</w:t>
      </w:r>
      <w:bookmarkEnd w:id="123"/>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14:textFill>
            <w14:solidFill>
              <w14:schemeClr w14:val="tx1"/>
            </w14:solidFill>
          </w14:textFill>
        </w:rPr>
      </w:pPr>
      <w:bookmarkStart w:id="127" w:name="_Toc7013"/>
      <w:bookmarkStart w:id="128" w:name="_Toc18868"/>
      <w:bookmarkStart w:id="129" w:name="_Toc30604"/>
      <w:bookmarkStart w:id="130" w:name="_Toc3130"/>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项目环评文件中新增混料罐3个、180型号造粒机组1套、80型号磨粉机2台，共计设备6台。现场实际为新增180型号造粒机组1套、80型号磨粉机2台。环评文件造粒工序产生废气采取集气罩收集后由喷淋塔+二级活性炭吸附装置处理后通过15m排气筒排放P1，磨粉工序废气采取集气罩收集后由布袋除尘处理后通过15m排气筒排放P2，现场实际为造粒工序产生废气采取集气罩收集后由喷淋塔+二级活性炭吸附装置处理后、磨粉工序废气采取集气罩收集后由布袋除尘处理后由1根15m排气筒排放P1。其他建设内容与环评及批复基本一致。</w:t>
      </w:r>
      <w:r>
        <w:rPr>
          <w:rFonts w:hint="default" w:ascii="Times New Roman" w:hAnsi="Times New Roman" w:eastAsia="宋体" w:cs="Times New Roman"/>
          <w:color w:val="000000" w:themeColor="text1"/>
          <w14:textFill>
            <w14:solidFill>
              <w14:schemeClr w14:val="tx1"/>
            </w14:solidFill>
          </w14:textFill>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2.9</w:t>
      </w:r>
      <w:bookmarkStart w:id="131" w:name="_Hlk54167917"/>
      <w:r>
        <w:rPr>
          <w:rFonts w:hint="default" w:ascii="Times New Roman" w:hAnsi="Times New Roman" w:eastAsia="宋体" w:cs="Times New Roman"/>
          <w:color w:val="000000" w:themeColor="text1"/>
          <w14:textFill>
            <w14:solidFill>
              <w14:schemeClr w14:val="tx1"/>
            </w14:solidFill>
          </w14:textFill>
        </w:rPr>
        <w:t>环境保护措施监督检查清单</w:t>
      </w:r>
      <w:bookmarkEnd w:id="131"/>
      <w:r>
        <w:rPr>
          <w:rFonts w:hint="default" w:ascii="Times New Roman" w:hAnsi="Times New Roman" w:eastAsia="宋体" w:cs="Times New Roman"/>
          <w:color w:val="000000" w:themeColor="text1"/>
          <w14:textFill>
            <w14:solidFill>
              <w14:schemeClr w14:val="tx1"/>
            </w14:solidFill>
          </w14:textFill>
        </w:rPr>
        <w:t>落实情况</w:t>
      </w:r>
      <w:bookmarkEnd w:id="127"/>
      <w:bookmarkEnd w:id="128"/>
      <w:bookmarkEnd w:id="129"/>
      <w:bookmarkEnd w:id="13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w:t>
      </w:r>
      <w:bookmarkStart w:id="132" w:name="_Hlk496992852"/>
      <w:r>
        <w:rPr>
          <w:rFonts w:hint="eastAsia" w:ascii="Times New Roman" w:hAnsi="Times New Roman" w:cs="Times New Roman"/>
          <w:b/>
          <w:color w:val="000000" w:themeColor="text1"/>
          <w:sz w:val="24"/>
          <w:szCs w:val="24"/>
          <w:lang w:val="en-US" w:eastAsia="zh-CN"/>
          <w14:textFill>
            <w14:solidFill>
              <w14:schemeClr w14:val="tx1"/>
            </w14:solidFill>
          </w14:textFill>
        </w:rPr>
        <w:t>5</w:t>
      </w:r>
      <w:bookmarkEnd w:id="132"/>
      <w:r>
        <w:rPr>
          <w:rFonts w:hint="default" w:ascii="Times New Roman" w:hAnsi="Times New Roman" w:eastAsia="宋体" w:cs="Times New Roman"/>
          <w:b/>
          <w:color w:val="000000" w:themeColor="text1"/>
          <w:sz w:val="24"/>
          <w:szCs w:val="24"/>
          <w14:textFill>
            <w14:solidFill>
              <w14:schemeClr w14:val="tx1"/>
            </w14:solidFill>
          </w14:textFill>
        </w:rPr>
        <w:t>环境保护措施监督检查清单</w:t>
      </w:r>
    </w:p>
    <w:tbl>
      <w:tblPr>
        <w:tblStyle w:val="21"/>
        <w:tblW w:w="850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66"/>
        <w:gridCol w:w="690"/>
        <w:gridCol w:w="600"/>
        <w:gridCol w:w="1200"/>
        <w:gridCol w:w="1785"/>
        <w:gridCol w:w="2970"/>
        <w:gridCol w:w="6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566" w:type="dxa"/>
            <w:tcBorders>
              <w:tl2br w:val="single" w:color="auto" w:sz="4" w:space="0"/>
            </w:tcBorders>
            <w:vAlign w:val="center"/>
          </w:tcPr>
          <w:p>
            <w:pPr>
              <w:adjustRightInd w:val="0"/>
              <w:snapToGrid w:val="0"/>
              <w:ind w:firstLine="840"/>
              <w:rPr>
                <w:rFonts w:ascii="宋体" w:hAnsi="宋体" w:cs="宋体"/>
                <w:color w:val="auto"/>
                <w:szCs w:val="21"/>
              </w:rPr>
            </w:pPr>
            <w:r>
              <w:rPr>
                <w:rFonts w:hint="eastAsia" w:ascii="宋体" w:hAnsi="宋体" w:cs="宋体"/>
                <w:color w:val="auto"/>
                <w:szCs w:val="21"/>
              </w:rPr>
              <w:t>内容</w:t>
            </w:r>
          </w:p>
          <w:p>
            <w:pPr>
              <w:adjustRightInd w:val="0"/>
              <w:snapToGrid w:val="0"/>
              <w:rPr>
                <w:rFonts w:ascii="宋体" w:hAnsi="宋体" w:cs="宋体"/>
                <w:color w:val="auto"/>
                <w:szCs w:val="21"/>
              </w:rPr>
            </w:pPr>
            <w:r>
              <w:rPr>
                <w:rFonts w:hint="eastAsia" w:ascii="宋体" w:hAnsi="宋体" w:cs="宋体"/>
                <w:color w:val="auto"/>
                <w:szCs w:val="21"/>
              </w:rPr>
              <w:t>要素</w:t>
            </w:r>
          </w:p>
        </w:tc>
        <w:tc>
          <w:tcPr>
            <w:tcW w:w="69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排放口(编号、</w:t>
            </w:r>
          </w:p>
          <w:p>
            <w:pPr>
              <w:adjustRightInd w:val="0"/>
              <w:snapToGrid w:val="0"/>
              <w:jc w:val="center"/>
              <w:rPr>
                <w:rFonts w:ascii="宋体" w:hAnsi="宋体" w:cs="宋体"/>
                <w:color w:val="auto"/>
                <w:szCs w:val="21"/>
              </w:rPr>
            </w:pPr>
            <w:r>
              <w:rPr>
                <w:rFonts w:hint="eastAsia" w:ascii="宋体" w:hAnsi="宋体" w:cs="宋体"/>
                <w:color w:val="auto"/>
                <w:szCs w:val="21"/>
              </w:rPr>
              <w:t>名称)/污染源</w:t>
            </w: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污染物项目</w:t>
            </w:r>
          </w:p>
        </w:tc>
        <w:tc>
          <w:tcPr>
            <w:tcW w:w="12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环境保护措施</w:t>
            </w:r>
          </w:p>
        </w:tc>
        <w:tc>
          <w:tcPr>
            <w:tcW w:w="4755" w:type="dxa"/>
            <w:gridSpan w:val="2"/>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执行标准</w:t>
            </w:r>
          </w:p>
        </w:tc>
        <w:tc>
          <w:tcPr>
            <w:tcW w:w="693" w:type="dxa"/>
            <w:vAlign w:val="center"/>
          </w:tcPr>
          <w:p>
            <w:pPr>
              <w:adjustRightInd w:val="0"/>
              <w:snapToGrid w:val="0"/>
              <w:jc w:val="center"/>
              <w:rPr>
                <w:rFonts w:hint="eastAsia" w:ascii="宋体" w:hAnsi="宋体" w:cs="宋体"/>
                <w:color w:val="auto"/>
                <w:szCs w:val="21"/>
                <w:lang w:val="en-US" w:eastAsia="zh-CN"/>
              </w:rPr>
            </w:pPr>
            <w:r>
              <w:rPr>
                <w:rFonts w:hint="eastAsia" w:ascii="宋体" w:hAnsi="宋体" w:cs="宋体"/>
                <w:color w:val="auto"/>
                <w:szCs w:val="21"/>
                <w:lang w:val="en-US" w:eastAsia="zh-CN"/>
              </w:rPr>
              <w:t>落实</w:t>
            </w:r>
          </w:p>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566" w:type="dxa"/>
            <w:vMerge w:val="restart"/>
            <w:vAlign w:val="center"/>
          </w:tcPr>
          <w:p>
            <w:pPr>
              <w:adjustRightInd w:val="0"/>
              <w:snapToGrid w:val="0"/>
              <w:jc w:val="center"/>
              <w:rPr>
                <w:rFonts w:ascii="宋体" w:hAnsi="宋体" w:cs="宋体"/>
                <w:color w:val="auto"/>
                <w:szCs w:val="21"/>
              </w:rPr>
            </w:pPr>
            <w:r>
              <w:rPr>
                <w:rFonts w:hint="eastAsia" w:ascii="宋体" w:hAnsi="宋体" w:cs="宋体"/>
                <w:color w:val="auto"/>
                <w:szCs w:val="21"/>
              </w:rPr>
              <w:t>大气环境</w:t>
            </w:r>
          </w:p>
        </w:tc>
        <w:tc>
          <w:tcPr>
            <w:tcW w:w="690" w:type="dxa"/>
            <w:vMerge w:val="restart"/>
            <w:vAlign w:val="center"/>
          </w:tcPr>
          <w:p>
            <w:pPr>
              <w:jc w:val="center"/>
              <w:rPr>
                <w:rFonts w:ascii="宋体" w:hAnsi="宋体" w:cs="宋体"/>
                <w:color w:val="auto"/>
                <w:szCs w:val="21"/>
              </w:rPr>
            </w:pPr>
            <w:r>
              <w:rPr>
                <w:rFonts w:hint="eastAsia" w:ascii="Times New Roman" w:hAnsi="Times New Roman" w:cs="Times New Roman"/>
                <w:color w:val="auto"/>
                <w:szCs w:val="21"/>
              </w:rPr>
              <w:t>造粒工序</w:t>
            </w: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非甲烷总烃</w:t>
            </w:r>
          </w:p>
        </w:tc>
        <w:tc>
          <w:tcPr>
            <w:tcW w:w="1200" w:type="dxa"/>
            <w:vMerge w:val="restart"/>
            <w:vAlign w:val="center"/>
          </w:tcPr>
          <w:p>
            <w:pPr>
              <w:widowControl/>
              <w:adjustRightInd w:val="0"/>
              <w:snapToGrid w:val="0"/>
              <w:spacing w:before="60" w:after="0" w:line="259" w:lineRule="auto"/>
              <w:ind w:right="113"/>
              <w:jc w:val="center"/>
              <w:rPr>
                <w:rFonts w:hint="default" w:ascii="宋体" w:hAnsi="宋体" w:eastAsia="宋体" w:cs="宋体"/>
                <w:color w:val="auto"/>
                <w:kern w:val="0"/>
                <w:sz w:val="21"/>
                <w:szCs w:val="21"/>
                <w:lang w:val="en-US" w:eastAsia="zh-CN" w:bidi="ar-SA"/>
              </w:rPr>
            </w:pPr>
            <w:r>
              <w:rPr>
                <w:rFonts w:hint="eastAsia" w:ascii="Times New Roman" w:hAnsi="Times New Roman" w:eastAsia="宋体" w:cs="Times New Roman"/>
                <w:color w:val="auto"/>
                <w:kern w:val="2"/>
                <w:sz w:val="21"/>
                <w:szCs w:val="24"/>
                <w:lang w:val="en-US" w:eastAsia="zh-CN" w:bidi="ar-SA"/>
              </w:rPr>
              <w:t>废气采取集气罩收集后+喷淋塔+二级活性炭吸附装置+15m排气筒排放P1</w:t>
            </w:r>
          </w:p>
        </w:tc>
        <w:tc>
          <w:tcPr>
            <w:tcW w:w="1785" w:type="dxa"/>
            <w:vAlign w:val="center"/>
          </w:tcPr>
          <w:p>
            <w:pPr>
              <w:widowControl w:val="0"/>
              <w:autoSpaceDE w:val="0"/>
              <w:autoSpaceDN w:val="0"/>
              <w:adjustRightInd w:val="0"/>
              <w:snapToGrid w:val="0"/>
              <w:spacing w:line="240" w:lineRule="exact"/>
              <w:jc w:val="center"/>
              <w:rPr>
                <w:rFonts w:ascii="Times New Roman" w:hAnsi="宋体" w:eastAsia="宋体" w:cs="Times New Roman"/>
                <w:color w:val="auto"/>
                <w:kern w:val="0"/>
                <w:sz w:val="21"/>
                <w:szCs w:val="24"/>
                <w:lang w:val="en-US" w:eastAsia="zh-CN" w:bidi="ar-SA"/>
              </w:rPr>
            </w:pPr>
            <w:r>
              <w:rPr>
                <w:rFonts w:hint="eastAsia" w:ascii="Times New Roman" w:hAnsi="宋体" w:eastAsia="宋体" w:cs="Times New Roman"/>
                <w:color w:val="auto"/>
                <w:kern w:val="0"/>
                <w:sz w:val="21"/>
                <w:szCs w:val="24"/>
                <w:lang w:val="en-US" w:eastAsia="zh-CN" w:bidi="ar-SA"/>
              </w:rPr>
              <w:t>非甲烷总烃最高允许排放浓度</w:t>
            </w:r>
            <w:r>
              <w:rPr>
                <w:rFonts w:ascii="Times New Roman" w:hAnsi="宋体" w:eastAsia="宋体" w:cs="Times New Roman"/>
                <w:color w:val="auto"/>
                <w:kern w:val="0"/>
                <w:sz w:val="21"/>
                <w:szCs w:val="24"/>
                <w:lang w:val="en-US" w:eastAsia="zh-CN" w:bidi="ar-SA"/>
              </w:rPr>
              <w:t>：</w:t>
            </w:r>
            <w:r>
              <w:rPr>
                <w:rFonts w:hint="eastAsia" w:ascii="Times New Roman" w:hAnsi="宋体" w:eastAsia="宋体" w:cs="Times New Roman"/>
                <w:color w:val="auto"/>
                <w:kern w:val="0"/>
                <w:sz w:val="21"/>
                <w:szCs w:val="24"/>
                <w:lang w:val="en-US" w:eastAsia="zh-CN" w:bidi="ar-SA"/>
              </w:rPr>
              <w:t>2</w:t>
            </w:r>
            <w:r>
              <w:rPr>
                <w:rFonts w:ascii="Times New Roman" w:hAnsi="宋体" w:eastAsia="宋体" w:cs="Times New Roman"/>
                <w:color w:val="auto"/>
                <w:kern w:val="0"/>
                <w:sz w:val="21"/>
                <w:szCs w:val="24"/>
                <w:lang w:val="en-US" w:eastAsia="zh-CN" w:bidi="ar-SA"/>
              </w:rPr>
              <w:t>0mg/m</w:t>
            </w:r>
            <w:r>
              <w:rPr>
                <w:rFonts w:ascii="Times New Roman" w:hAnsi="宋体" w:eastAsia="宋体" w:cs="Times New Roman"/>
                <w:color w:val="auto"/>
                <w:kern w:val="0"/>
                <w:sz w:val="21"/>
                <w:szCs w:val="24"/>
                <w:vertAlign w:val="superscript"/>
                <w:lang w:val="en-US" w:eastAsia="zh-CN" w:bidi="ar-SA"/>
              </w:rPr>
              <w:t>3</w:t>
            </w:r>
            <w:r>
              <w:rPr>
                <w:rFonts w:hint="eastAsia" w:ascii="Times New Roman" w:hAnsi="宋体" w:eastAsia="宋体" w:cs="Times New Roman"/>
                <w:color w:val="auto"/>
                <w:kern w:val="0"/>
                <w:sz w:val="21"/>
                <w:szCs w:val="24"/>
                <w:lang w:val="en-US" w:eastAsia="zh-CN" w:bidi="ar-SA"/>
              </w:rPr>
              <w:t>；</w:t>
            </w:r>
          </w:p>
          <w:p>
            <w:pPr>
              <w:adjustRightInd w:val="0"/>
              <w:snapToGrid w:val="0"/>
              <w:jc w:val="center"/>
              <w:rPr>
                <w:rFonts w:ascii="宋体" w:hAnsi="宋体" w:cs="宋体"/>
                <w:color w:val="auto"/>
                <w:szCs w:val="21"/>
              </w:rPr>
            </w:pPr>
            <w:r>
              <w:rPr>
                <w:rFonts w:hint="eastAsia" w:ascii="Times New Roman" w:hAnsi="宋体" w:cs="Times New Roman"/>
                <w:color w:val="auto"/>
                <w:szCs w:val="24"/>
              </w:rPr>
              <w:t>非甲烷总烃去除效率90%</w:t>
            </w:r>
          </w:p>
        </w:tc>
        <w:tc>
          <w:tcPr>
            <w:tcW w:w="2970" w:type="dxa"/>
            <w:vAlign w:val="center"/>
          </w:tcPr>
          <w:p>
            <w:pPr>
              <w:adjustRightInd w:val="0"/>
              <w:snapToGrid w:val="0"/>
              <w:jc w:val="center"/>
              <w:rPr>
                <w:rFonts w:ascii="宋体" w:hAnsi="宋体" w:cs="宋体"/>
                <w:color w:val="auto"/>
                <w:szCs w:val="21"/>
              </w:rPr>
            </w:pPr>
            <w:r>
              <w:rPr>
                <w:rFonts w:hint="eastAsia" w:ascii="Times New Roman" w:hAnsi="Times New Roman" w:cs="Times New Roman"/>
                <w:bCs/>
                <w:color w:val="auto"/>
                <w:szCs w:val="21"/>
              </w:rPr>
              <w:t>《烧碱、聚氯乙烯工业污染物排放标准》（</w:t>
            </w:r>
            <w:r>
              <w:rPr>
                <w:rFonts w:ascii="Times New Roman" w:hAnsi="Times New Roman" w:cs="Times New Roman"/>
                <w:bCs/>
                <w:color w:val="auto"/>
                <w:szCs w:val="21"/>
              </w:rPr>
              <w:t>GB15581-2016</w:t>
            </w:r>
            <w:r>
              <w:rPr>
                <w:rFonts w:hint="eastAsia" w:ascii="Times New Roman" w:hAnsi="Times New Roman" w:cs="Times New Roman"/>
                <w:bCs/>
                <w:color w:val="auto"/>
                <w:szCs w:val="21"/>
              </w:rPr>
              <w:t>）表</w:t>
            </w:r>
            <w:r>
              <w:rPr>
                <w:rFonts w:ascii="Times New Roman" w:hAnsi="Times New Roman" w:cs="Times New Roman"/>
                <w:bCs/>
                <w:color w:val="auto"/>
                <w:szCs w:val="21"/>
              </w:rPr>
              <w:t>4</w:t>
            </w:r>
            <w:r>
              <w:rPr>
                <w:rFonts w:hint="eastAsia" w:ascii="Times New Roman" w:hAnsi="Times New Roman" w:cs="Times New Roman"/>
                <w:bCs/>
                <w:color w:val="auto"/>
                <w:szCs w:val="21"/>
              </w:rPr>
              <w:t>中大气污染物特别排放浓度限值及《工业企业挥发性有机物排放控制标准》（</w:t>
            </w:r>
            <w:r>
              <w:rPr>
                <w:rFonts w:ascii="Times New Roman" w:hAnsi="Times New Roman" w:cs="Times New Roman"/>
                <w:bCs/>
                <w:color w:val="auto"/>
                <w:szCs w:val="21"/>
              </w:rPr>
              <w:t>DB13/2322-2016</w:t>
            </w:r>
            <w:r>
              <w:rPr>
                <w:rFonts w:hint="eastAsia" w:ascii="Times New Roman" w:hAnsi="Times New Roman" w:cs="Times New Roman"/>
                <w:bCs/>
                <w:color w:val="auto"/>
                <w:szCs w:val="21"/>
              </w:rPr>
              <w:t>）表</w:t>
            </w:r>
            <w:r>
              <w:rPr>
                <w:rFonts w:ascii="Times New Roman" w:hAnsi="Times New Roman" w:cs="Times New Roman"/>
                <w:bCs/>
                <w:color w:val="auto"/>
                <w:szCs w:val="21"/>
              </w:rPr>
              <w:t>1</w:t>
            </w:r>
            <w:r>
              <w:rPr>
                <w:rFonts w:hint="eastAsia" w:ascii="Times New Roman" w:hAnsi="Times New Roman" w:cs="Times New Roman"/>
                <w:bCs/>
                <w:color w:val="auto"/>
                <w:szCs w:val="21"/>
              </w:rPr>
              <w:t>中有机化工业去除率要求</w:t>
            </w:r>
          </w:p>
        </w:tc>
        <w:tc>
          <w:tcPr>
            <w:tcW w:w="693" w:type="dxa"/>
            <w:vMerge w:val="restart"/>
            <w:vAlign w:val="center"/>
          </w:tcPr>
          <w:p>
            <w:pPr>
              <w:adjustRightInd w:val="0"/>
              <w:snapToGrid w:val="0"/>
              <w:jc w:val="center"/>
              <w:rPr>
                <w:rFonts w:hint="eastAsia" w:ascii="Times New Roman" w:hAnsi="Times New Roman" w:cs="Times New Roman"/>
                <w:bCs/>
                <w:color w:val="auto"/>
                <w:szCs w:val="21"/>
              </w:rPr>
            </w:pPr>
            <w:r>
              <w:rPr>
                <w:rFonts w:hint="eastAsia" w:ascii="Times New Roman" w:hAnsi="Times New Roman" w:cs="Times New Roman"/>
                <w:bCs/>
                <w:color w:val="auto"/>
                <w:szCs w:val="21"/>
                <w:lang w:val="en-US" w:eastAsia="zh-CN"/>
              </w:rPr>
              <w:t>造粒工序产生废气采取集气罩收集后由喷淋塔+二级活性炭吸附装置处理后、磨粉工序废气采取集气罩收集后由布袋除尘处理后由1根15m排气筒排放P1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0"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continue"/>
            <w:vAlign w:val="center"/>
          </w:tcPr>
          <w:p>
            <w:pPr>
              <w:jc w:val="center"/>
              <w:rPr>
                <w:rFonts w:ascii="Times New Roman" w:hAnsi="Times New Roman" w:cs="Times New Roman"/>
                <w:color w:val="auto"/>
                <w:szCs w:val="21"/>
              </w:rPr>
            </w:pP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氯化氢</w:t>
            </w:r>
          </w:p>
        </w:tc>
        <w:tc>
          <w:tcPr>
            <w:tcW w:w="1200" w:type="dxa"/>
            <w:vMerge w:val="continue"/>
            <w:vAlign w:val="center"/>
          </w:tcPr>
          <w:p>
            <w:pPr>
              <w:widowControl/>
              <w:adjustRightInd w:val="0"/>
              <w:snapToGrid w:val="0"/>
              <w:spacing w:before="60" w:after="0" w:line="259" w:lineRule="auto"/>
              <w:ind w:right="113"/>
              <w:jc w:val="center"/>
              <w:rPr>
                <w:rFonts w:ascii="Times New Roman" w:hAnsi="Times New Roman" w:eastAsia="宋体" w:cs="Times New Roman"/>
                <w:color w:val="auto"/>
                <w:kern w:val="0"/>
                <w:sz w:val="21"/>
                <w:szCs w:val="21"/>
                <w:lang w:val="en-US" w:eastAsia="zh-CN" w:bidi="ar-SA"/>
              </w:rPr>
            </w:pPr>
          </w:p>
        </w:tc>
        <w:tc>
          <w:tcPr>
            <w:tcW w:w="1785" w:type="dxa"/>
            <w:vAlign w:val="center"/>
          </w:tcPr>
          <w:p>
            <w:pPr>
              <w:adjustRightInd w:val="0"/>
              <w:snapToGrid w:val="0"/>
              <w:jc w:val="center"/>
              <w:rPr>
                <w:rFonts w:ascii="Times New Roman" w:hAnsi="宋体" w:cs="Times New Roman"/>
                <w:color w:val="auto"/>
                <w:szCs w:val="24"/>
              </w:rPr>
            </w:pPr>
            <w:r>
              <w:rPr>
                <w:rFonts w:hint="eastAsia" w:ascii="Times New Roman" w:hAnsi="宋体" w:cs="Times New Roman"/>
                <w:color w:val="auto"/>
                <w:szCs w:val="24"/>
              </w:rPr>
              <w:t>最高允许排放浓度</w:t>
            </w:r>
            <w:r>
              <w:rPr>
                <w:rFonts w:ascii="Times New Roman" w:hAnsi="宋体" w:cs="Times New Roman"/>
                <w:color w:val="auto"/>
                <w:szCs w:val="24"/>
              </w:rPr>
              <w:t>：</w:t>
            </w:r>
            <w:r>
              <w:rPr>
                <w:rFonts w:hint="eastAsia" w:ascii="Times New Roman" w:hAnsi="宋体" w:cs="Times New Roman"/>
                <w:color w:val="auto"/>
                <w:szCs w:val="24"/>
              </w:rPr>
              <w:t>2</w:t>
            </w:r>
            <w:r>
              <w:rPr>
                <w:rFonts w:ascii="Times New Roman" w:hAnsi="宋体" w:cs="Times New Roman"/>
                <w:color w:val="auto"/>
                <w:szCs w:val="24"/>
              </w:rPr>
              <w:t>0mg/m</w:t>
            </w:r>
            <w:r>
              <w:rPr>
                <w:rFonts w:ascii="Times New Roman" w:hAnsi="宋体" w:cs="Times New Roman"/>
                <w:color w:val="auto"/>
                <w:szCs w:val="24"/>
                <w:vertAlign w:val="superscript"/>
              </w:rPr>
              <w:t>3</w:t>
            </w:r>
          </w:p>
        </w:tc>
        <w:tc>
          <w:tcPr>
            <w:tcW w:w="2970" w:type="dxa"/>
            <w:vMerge w:val="restart"/>
            <w:vAlign w:val="center"/>
          </w:tcPr>
          <w:p>
            <w:pPr>
              <w:adjustRightInd w:val="0"/>
              <w:snapToGrid w:val="0"/>
              <w:jc w:val="center"/>
              <w:rPr>
                <w:rFonts w:ascii="Times New Roman" w:hAnsi="Times New Roman" w:cs="Times New Roman"/>
                <w:bCs/>
                <w:color w:val="auto"/>
                <w:szCs w:val="21"/>
              </w:rPr>
            </w:pPr>
            <w:r>
              <w:rPr>
                <w:rFonts w:hint="eastAsia" w:ascii="Times New Roman" w:hAnsi="Times New Roman" w:cs="Times New Roman"/>
                <w:bCs/>
                <w:color w:val="auto"/>
                <w:szCs w:val="21"/>
              </w:rPr>
              <w:t>《烧碱、聚氯乙烯工业污染物排放标准》（GB15581-2016）中表4大气污染物特别排放浓度限值</w:t>
            </w:r>
          </w:p>
        </w:tc>
        <w:tc>
          <w:tcPr>
            <w:tcW w:w="693" w:type="dxa"/>
            <w:vMerge w:val="continue"/>
            <w:vAlign w:val="center"/>
          </w:tcPr>
          <w:p>
            <w:pPr>
              <w:adjustRightInd w:val="0"/>
              <w:snapToGrid w:val="0"/>
              <w:jc w:val="center"/>
              <w:rPr>
                <w:rFonts w:hint="eastAsia" w:ascii="Times New Roman" w:hAnsi="Times New Roman" w:cs="Times New Roman"/>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81"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continue"/>
            <w:vAlign w:val="center"/>
          </w:tcPr>
          <w:p>
            <w:pPr>
              <w:jc w:val="center"/>
              <w:rPr>
                <w:rFonts w:ascii="Times New Roman" w:hAnsi="Times New Roman" w:cs="Times New Roman"/>
                <w:color w:val="auto"/>
                <w:szCs w:val="21"/>
              </w:rPr>
            </w:pP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氯乙烯</w:t>
            </w:r>
          </w:p>
        </w:tc>
        <w:tc>
          <w:tcPr>
            <w:tcW w:w="1200" w:type="dxa"/>
            <w:vMerge w:val="continue"/>
            <w:vAlign w:val="center"/>
          </w:tcPr>
          <w:p>
            <w:pPr>
              <w:widowControl/>
              <w:adjustRightInd w:val="0"/>
              <w:snapToGrid w:val="0"/>
              <w:spacing w:before="60" w:after="0" w:line="259" w:lineRule="auto"/>
              <w:ind w:right="113"/>
              <w:jc w:val="center"/>
              <w:rPr>
                <w:rFonts w:ascii="Times New Roman" w:hAnsi="Times New Roman" w:eastAsia="宋体" w:cs="Times New Roman"/>
                <w:color w:val="auto"/>
                <w:kern w:val="0"/>
                <w:sz w:val="21"/>
                <w:szCs w:val="21"/>
                <w:lang w:val="en-US" w:eastAsia="zh-CN" w:bidi="ar-SA"/>
              </w:rPr>
            </w:pPr>
          </w:p>
        </w:tc>
        <w:tc>
          <w:tcPr>
            <w:tcW w:w="1785" w:type="dxa"/>
            <w:vAlign w:val="center"/>
          </w:tcPr>
          <w:p>
            <w:pPr>
              <w:adjustRightInd w:val="0"/>
              <w:snapToGrid w:val="0"/>
              <w:jc w:val="center"/>
              <w:rPr>
                <w:rFonts w:ascii="Times New Roman" w:hAnsi="宋体" w:cs="Times New Roman"/>
                <w:color w:val="auto"/>
                <w:szCs w:val="24"/>
              </w:rPr>
            </w:pPr>
            <w:r>
              <w:rPr>
                <w:rFonts w:hint="eastAsia" w:ascii="Times New Roman" w:hAnsi="宋体" w:cs="Times New Roman"/>
                <w:color w:val="auto"/>
                <w:szCs w:val="24"/>
              </w:rPr>
              <w:t>最高允许排放浓度：10mg/m</w:t>
            </w:r>
            <w:r>
              <w:rPr>
                <w:rFonts w:hint="eastAsia" w:ascii="Times New Roman" w:hAnsi="宋体" w:cs="Times New Roman"/>
                <w:color w:val="auto"/>
                <w:szCs w:val="24"/>
                <w:vertAlign w:val="superscript"/>
              </w:rPr>
              <w:t>3</w:t>
            </w:r>
            <w:r>
              <w:rPr>
                <w:rFonts w:hint="eastAsia" w:ascii="Times New Roman" w:hAnsi="宋体" w:cs="Times New Roman"/>
                <w:color w:val="auto"/>
                <w:szCs w:val="24"/>
              </w:rPr>
              <w:t>，</w:t>
            </w:r>
            <w:r>
              <w:rPr>
                <w:rFonts w:hint="eastAsia" w:ascii="宋体" w:hAnsi="宋体" w:cs="宋体"/>
                <w:color w:val="auto"/>
                <w:szCs w:val="21"/>
              </w:rPr>
              <w:t>氯乙烯</w:t>
            </w:r>
            <w:r>
              <w:rPr>
                <w:rFonts w:hint="eastAsia" w:ascii="Times New Roman" w:hAnsi="宋体" w:cs="Times New Roman"/>
                <w:color w:val="auto"/>
                <w:szCs w:val="24"/>
              </w:rPr>
              <w:t>去除效率90%</w:t>
            </w:r>
          </w:p>
        </w:tc>
        <w:tc>
          <w:tcPr>
            <w:tcW w:w="2970" w:type="dxa"/>
            <w:vMerge w:val="continue"/>
            <w:vAlign w:val="center"/>
          </w:tcPr>
          <w:p>
            <w:pPr>
              <w:adjustRightInd w:val="0"/>
              <w:snapToGrid w:val="0"/>
              <w:jc w:val="center"/>
              <w:rPr>
                <w:rFonts w:ascii="Times New Roman" w:hAnsi="Times New Roman" w:cs="Times New Roman"/>
                <w:bCs/>
                <w:color w:val="auto"/>
                <w:szCs w:val="21"/>
              </w:rPr>
            </w:pPr>
          </w:p>
        </w:tc>
        <w:tc>
          <w:tcPr>
            <w:tcW w:w="693" w:type="dxa"/>
            <w:vMerge w:val="continue"/>
            <w:vAlign w:val="center"/>
          </w:tcPr>
          <w:p>
            <w:pPr>
              <w:adjustRightInd w:val="0"/>
              <w:snapToGrid w:val="0"/>
              <w:jc w:val="center"/>
              <w:rPr>
                <w:rFonts w:ascii="Times New Roman" w:hAnsi="Times New Roman" w:cs="Times New Roman"/>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81"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磨粉工序</w:t>
            </w: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颗粒物</w:t>
            </w:r>
          </w:p>
        </w:tc>
        <w:tc>
          <w:tcPr>
            <w:tcW w:w="1200" w:type="dxa"/>
            <w:vAlign w:val="center"/>
          </w:tcPr>
          <w:p>
            <w:pPr>
              <w:widowControl/>
              <w:adjustRightInd w:val="0"/>
              <w:snapToGrid w:val="0"/>
              <w:spacing w:before="60" w:after="0" w:line="259" w:lineRule="auto"/>
              <w:ind w:right="113"/>
              <w:jc w:val="center"/>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布袋除尘+15m排气筒排放P2</w:t>
            </w:r>
          </w:p>
        </w:tc>
        <w:tc>
          <w:tcPr>
            <w:tcW w:w="1785" w:type="dxa"/>
            <w:vAlign w:val="center"/>
          </w:tcPr>
          <w:p>
            <w:pPr>
              <w:adjustRightInd w:val="0"/>
              <w:snapToGrid w:val="0"/>
              <w:jc w:val="center"/>
              <w:rPr>
                <w:rFonts w:hint="eastAsia" w:ascii="Times New Roman" w:hAnsi="Times New Roman" w:eastAsia="宋体" w:cs="Times New Roman"/>
                <w:color w:val="auto"/>
                <w:szCs w:val="24"/>
                <w:lang w:val="en-US" w:eastAsia="zh-CN"/>
              </w:rPr>
            </w:pPr>
            <w:r>
              <w:rPr>
                <w:rFonts w:hint="eastAsia" w:ascii="Times New Roman" w:hAnsi="Times New Roman" w:cs="Times New Roman"/>
                <w:color w:val="auto"/>
                <w:szCs w:val="24"/>
                <w:lang w:val="en-US" w:eastAsia="zh-CN"/>
              </w:rPr>
              <w:t>最高允许排放浓度：20</w:t>
            </w:r>
            <w:r>
              <w:rPr>
                <w:rFonts w:hint="eastAsia" w:ascii="Times New Roman" w:hAnsi="宋体" w:cs="Times New Roman"/>
                <w:color w:val="auto"/>
                <w:szCs w:val="24"/>
              </w:rPr>
              <w:t>mg/m</w:t>
            </w:r>
            <w:r>
              <w:rPr>
                <w:rFonts w:hint="eastAsia" w:ascii="Times New Roman" w:hAnsi="宋体" w:cs="Times New Roman"/>
                <w:color w:val="auto"/>
                <w:szCs w:val="24"/>
                <w:vertAlign w:val="superscript"/>
              </w:rPr>
              <w:t>3</w:t>
            </w:r>
            <w:r>
              <w:rPr>
                <w:rFonts w:hint="eastAsia" w:ascii="Times New Roman" w:hAnsi="宋体" w:cs="Times New Roman"/>
                <w:color w:val="auto"/>
                <w:szCs w:val="24"/>
                <w:vertAlign w:val="baseline"/>
                <w:lang w:eastAsia="zh-CN"/>
              </w:rPr>
              <w:t>；</w:t>
            </w:r>
          </w:p>
          <w:p>
            <w:pPr>
              <w:adjustRightInd w:val="0"/>
              <w:snapToGrid w:val="0"/>
              <w:jc w:val="center"/>
              <w:rPr>
                <w:rFonts w:hint="default"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排气筒高度15m</w:t>
            </w:r>
          </w:p>
        </w:tc>
        <w:tc>
          <w:tcPr>
            <w:tcW w:w="2970" w:type="dxa"/>
            <w:vAlign w:val="center"/>
          </w:tcPr>
          <w:p>
            <w:pPr>
              <w:adjustRightInd w:val="0"/>
              <w:snapToGrid w:val="0"/>
              <w:jc w:val="center"/>
              <w:rPr>
                <w:rFonts w:hint="default" w:ascii="Times New Roman" w:hAnsi="Times New Roman" w:cs="Times New Roman"/>
                <w:bCs/>
                <w:color w:val="auto"/>
                <w:szCs w:val="21"/>
                <w:lang w:val="en-US"/>
              </w:rPr>
            </w:pPr>
            <w:r>
              <w:rPr>
                <w:rFonts w:hint="eastAsia" w:ascii="Times New Roman" w:hAnsi="Times New Roman" w:cs="Times New Roman"/>
                <w:color w:val="auto"/>
                <w:szCs w:val="24"/>
              </w:rPr>
              <w:t>颗粒物</w:t>
            </w:r>
            <w:r>
              <w:rPr>
                <w:rFonts w:ascii="Times New Roman" w:hAnsi="Times New Roman" w:cs="Times New Roman"/>
                <w:color w:val="auto"/>
                <w:szCs w:val="24"/>
              </w:rPr>
              <w:t>有组织排放执行《烧碱、聚氯乙烯工业污染物排放标准》（GB15581-2016）中表4大气污染物特别排放浓度限值</w:t>
            </w:r>
          </w:p>
        </w:tc>
        <w:tc>
          <w:tcPr>
            <w:tcW w:w="693" w:type="dxa"/>
            <w:vMerge w:val="continue"/>
            <w:vAlign w:val="center"/>
          </w:tcPr>
          <w:p>
            <w:pPr>
              <w:adjustRightInd w:val="0"/>
              <w:snapToGrid w:val="0"/>
              <w:jc w:val="center"/>
              <w:rPr>
                <w:rFonts w:hint="eastAsia" w:ascii="Times New Roman" w:hAnsi="Times New Roman" w:cs="Times New Roman"/>
                <w:color w:val="auto"/>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restart"/>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厂界无组织</w:t>
            </w: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非甲烷总烃</w:t>
            </w:r>
          </w:p>
        </w:tc>
        <w:tc>
          <w:tcPr>
            <w:tcW w:w="1200" w:type="dxa"/>
            <w:vMerge w:val="restart"/>
            <w:vAlign w:val="center"/>
          </w:tcPr>
          <w:p>
            <w:pPr>
              <w:adjustRightInd w:val="0"/>
              <w:snapToGrid w:val="0"/>
              <w:jc w:val="center"/>
              <w:rPr>
                <w:rFonts w:ascii="宋体" w:hAnsi="宋体" w:cs="宋体"/>
                <w:color w:val="auto"/>
                <w:szCs w:val="21"/>
              </w:rPr>
            </w:pPr>
            <w:r>
              <w:rPr>
                <w:rFonts w:ascii="Times New Roman" w:hAnsi="Times New Roman" w:cs="Times New Roman"/>
                <w:color w:val="auto"/>
                <w:szCs w:val="21"/>
              </w:rPr>
              <w:t>厂房密闭，加强管理</w:t>
            </w:r>
          </w:p>
        </w:tc>
        <w:tc>
          <w:tcPr>
            <w:tcW w:w="1785" w:type="dxa"/>
            <w:vAlign w:val="center"/>
          </w:tcPr>
          <w:p>
            <w:pPr>
              <w:jc w:val="center"/>
              <w:rPr>
                <w:rFonts w:ascii="宋体" w:hAnsi="宋体" w:cs="宋体"/>
                <w:color w:val="auto"/>
                <w:szCs w:val="21"/>
              </w:rPr>
            </w:pPr>
            <w:r>
              <w:rPr>
                <w:rFonts w:ascii="Times New Roman" w:hAnsi="Times New Roman" w:cs="Times New Roman"/>
                <w:color w:val="auto"/>
                <w:szCs w:val="21"/>
              </w:rPr>
              <w:t>2.0mg/m</w:t>
            </w:r>
            <w:r>
              <w:rPr>
                <w:rFonts w:ascii="Times New Roman" w:hAnsi="Times New Roman" w:cs="Times New Roman"/>
                <w:color w:val="auto"/>
                <w:szCs w:val="21"/>
                <w:vertAlign w:val="superscript"/>
              </w:rPr>
              <w:t>3</w:t>
            </w:r>
          </w:p>
        </w:tc>
        <w:tc>
          <w:tcPr>
            <w:tcW w:w="2970" w:type="dxa"/>
            <w:vAlign w:val="center"/>
          </w:tcPr>
          <w:p>
            <w:pPr>
              <w:jc w:val="center"/>
              <w:rPr>
                <w:rFonts w:ascii="宋体" w:hAnsi="宋体" w:cs="宋体"/>
                <w:color w:val="auto"/>
                <w:szCs w:val="21"/>
              </w:rPr>
            </w:pPr>
            <w:r>
              <w:rPr>
                <w:rFonts w:ascii="Times New Roman" w:hAnsi="Times New Roman" w:cs="Times New Roman"/>
                <w:color w:val="auto"/>
                <w:szCs w:val="21"/>
              </w:rPr>
              <w:t>《工业企业挥发性有机物排放控制标准》（DB13/2322-2016）表2中企业边界其他企业大气污染物浓度限值要求</w:t>
            </w:r>
          </w:p>
        </w:tc>
        <w:tc>
          <w:tcPr>
            <w:tcW w:w="693" w:type="dxa"/>
            <w:vMerge w:val="continue"/>
            <w:vAlign w:val="center"/>
          </w:tcPr>
          <w:p>
            <w:pPr>
              <w:jc w:val="center"/>
              <w:rPr>
                <w:rFonts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45"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continue"/>
            <w:vAlign w:val="center"/>
          </w:tcPr>
          <w:p>
            <w:pPr>
              <w:jc w:val="center"/>
              <w:rPr>
                <w:rFonts w:ascii="Times New Roman" w:hAnsi="Times New Roman" w:cs="Times New Roman"/>
                <w:color w:val="auto"/>
                <w:szCs w:val="21"/>
              </w:rPr>
            </w:pP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氯化氢</w:t>
            </w:r>
          </w:p>
        </w:tc>
        <w:tc>
          <w:tcPr>
            <w:tcW w:w="1200" w:type="dxa"/>
            <w:vMerge w:val="continue"/>
            <w:vAlign w:val="center"/>
          </w:tcPr>
          <w:p>
            <w:pPr>
              <w:adjustRightInd w:val="0"/>
              <w:snapToGrid w:val="0"/>
              <w:jc w:val="center"/>
              <w:rPr>
                <w:rFonts w:ascii="Times New Roman" w:hAnsi="Times New Roman" w:cs="Times New Roman"/>
                <w:color w:val="auto"/>
                <w:szCs w:val="21"/>
              </w:rPr>
            </w:pPr>
          </w:p>
        </w:tc>
        <w:tc>
          <w:tcPr>
            <w:tcW w:w="1785"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0.2mg/m</w:t>
            </w:r>
            <w:r>
              <w:rPr>
                <w:rFonts w:ascii="Times New Roman" w:hAnsi="Times New Roman" w:cs="Times New Roman"/>
                <w:color w:val="auto"/>
                <w:szCs w:val="21"/>
                <w:vertAlign w:val="superscript"/>
              </w:rPr>
              <w:t>3</w:t>
            </w:r>
          </w:p>
        </w:tc>
        <w:tc>
          <w:tcPr>
            <w:tcW w:w="2970" w:type="dxa"/>
            <w:vMerge w:val="restart"/>
            <w:vAlign w:val="center"/>
          </w:tcPr>
          <w:p>
            <w:pPr>
              <w:jc w:val="center"/>
              <w:rPr>
                <w:rFonts w:ascii="Times New Roman" w:hAnsi="Times New Roman" w:cs="Times New Roman"/>
                <w:color w:val="auto"/>
                <w:szCs w:val="21"/>
              </w:rPr>
            </w:pPr>
            <w:r>
              <w:rPr>
                <w:rFonts w:ascii="Times New Roman" w:hAnsi="Times New Roman" w:cs="Times New Roman"/>
                <w:color w:val="auto"/>
                <w:szCs w:val="21"/>
              </w:rPr>
              <w:t>《烧碱、聚氯乙烯工业污染物排放标准》（GB15581-2016）中表5企业边界大气污染物浓度限值</w:t>
            </w:r>
          </w:p>
        </w:tc>
        <w:tc>
          <w:tcPr>
            <w:tcW w:w="693" w:type="dxa"/>
            <w:vMerge w:val="continue"/>
            <w:vAlign w:val="center"/>
          </w:tcPr>
          <w:p>
            <w:pPr>
              <w:jc w:val="center"/>
              <w:rPr>
                <w:rFonts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26"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continue"/>
            <w:vAlign w:val="center"/>
          </w:tcPr>
          <w:p>
            <w:pPr>
              <w:jc w:val="center"/>
              <w:rPr>
                <w:rFonts w:ascii="Times New Roman" w:hAnsi="Times New Roman" w:cs="Times New Roman"/>
                <w:color w:val="auto"/>
                <w:szCs w:val="21"/>
              </w:rPr>
            </w:pP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氯乙烯</w:t>
            </w:r>
          </w:p>
        </w:tc>
        <w:tc>
          <w:tcPr>
            <w:tcW w:w="1200" w:type="dxa"/>
            <w:vMerge w:val="continue"/>
            <w:vAlign w:val="center"/>
          </w:tcPr>
          <w:p>
            <w:pPr>
              <w:adjustRightInd w:val="0"/>
              <w:snapToGrid w:val="0"/>
              <w:jc w:val="center"/>
              <w:rPr>
                <w:rFonts w:ascii="Times New Roman" w:hAnsi="Times New Roman" w:cs="Times New Roman"/>
                <w:color w:val="auto"/>
                <w:szCs w:val="21"/>
              </w:rPr>
            </w:pPr>
          </w:p>
        </w:tc>
        <w:tc>
          <w:tcPr>
            <w:tcW w:w="1785" w:type="dxa"/>
            <w:vAlign w:val="center"/>
          </w:tcPr>
          <w:p>
            <w:pPr>
              <w:jc w:val="center"/>
              <w:rPr>
                <w:rFonts w:ascii="Times New Roman" w:hAnsi="Times New Roman" w:cs="Times New Roman"/>
                <w:color w:val="auto"/>
                <w:szCs w:val="21"/>
              </w:rPr>
            </w:pPr>
            <w:r>
              <w:rPr>
                <w:rFonts w:ascii="Times New Roman" w:hAnsi="Times New Roman" w:cs="Times New Roman"/>
                <w:color w:val="auto"/>
                <w:szCs w:val="21"/>
              </w:rPr>
              <w:t>0.15mg/m</w:t>
            </w:r>
            <w:r>
              <w:rPr>
                <w:rFonts w:ascii="Times New Roman" w:hAnsi="Times New Roman" w:cs="Times New Roman"/>
                <w:color w:val="auto"/>
                <w:szCs w:val="21"/>
                <w:vertAlign w:val="superscript"/>
              </w:rPr>
              <w:t>3</w:t>
            </w:r>
          </w:p>
        </w:tc>
        <w:tc>
          <w:tcPr>
            <w:tcW w:w="2970" w:type="dxa"/>
            <w:vMerge w:val="continue"/>
            <w:vAlign w:val="center"/>
          </w:tcPr>
          <w:p>
            <w:pPr>
              <w:jc w:val="center"/>
              <w:rPr>
                <w:rFonts w:ascii="Times New Roman" w:hAnsi="Times New Roman" w:cs="Times New Roman"/>
                <w:color w:val="auto"/>
                <w:szCs w:val="21"/>
              </w:rPr>
            </w:pPr>
          </w:p>
        </w:tc>
        <w:tc>
          <w:tcPr>
            <w:tcW w:w="693" w:type="dxa"/>
            <w:vMerge w:val="continue"/>
            <w:vAlign w:val="center"/>
          </w:tcPr>
          <w:p>
            <w:pPr>
              <w:jc w:val="center"/>
              <w:rPr>
                <w:rFonts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26"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continue"/>
            <w:vAlign w:val="center"/>
          </w:tcPr>
          <w:p>
            <w:pPr>
              <w:jc w:val="center"/>
              <w:rPr>
                <w:rFonts w:ascii="Times New Roman" w:hAnsi="Times New Roman" w:cs="Times New Roman"/>
                <w:color w:val="auto"/>
                <w:szCs w:val="21"/>
              </w:rPr>
            </w:pP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颗粒物</w:t>
            </w:r>
          </w:p>
        </w:tc>
        <w:tc>
          <w:tcPr>
            <w:tcW w:w="1200" w:type="dxa"/>
            <w:vMerge w:val="continue"/>
            <w:vAlign w:val="center"/>
          </w:tcPr>
          <w:p>
            <w:pPr>
              <w:adjustRightInd w:val="0"/>
              <w:snapToGrid w:val="0"/>
              <w:jc w:val="center"/>
              <w:rPr>
                <w:rFonts w:ascii="Times New Roman" w:hAnsi="Times New Roman" w:cs="Times New Roman"/>
                <w:color w:val="auto"/>
                <w:szCs w:val="21"/>
              </w:rPr>
            </w:pPr>
          </w:p>
        </w:tc>
        <w:tc>
          <w:tcPr>
            <w:tcW w:w="1785"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1.0</w:t>
            </w:r>
            <w:r>
              <w:rPr>
                <w:rFonts w:ascii="Times New Roman" w:hAnsi="Times New Roman" w:cs="Times New Roman"/>
                <w:color w:val="auto"/>
                <w:szCs w:val="21"/>
              </w:rPr>
              <w:t>mg/m</w:t>
            </w:r>
            <w:r>
              <w:rPr>
                <w:rFonts w:ascii="Times New Roman" w:hAnsi="Times New Roman" w:cs="Times New Roman"/>
                <w:color w:val="auto"/>
                <w:szCs w:val="21"/>
                <w:vertAlign w:val="superscript"/>
              </w:rPr>
              <w:t>3</w:t>
            </w:r>
          </w:p>
        </w:tc>
        <w:tc>
          <w:tcPr>
            <w:tcW w:w="2970" w:type="dxa"/>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《大气污染物综合排放标准》（GB16297-1996）表2新污染源大气污染物排放限值</w:t>
            </w:r>
          </w:p>
        </w:tc>
        <w:tc>
          <w:tcPr>
            <w:tcW w:w="693" w:type="dxa"/>
            <w:vMerge w:val="continue"/>
            <w:vAlign w:val="center"/>
          </w:tcPr>
          <w:p>
            <w:pPr>
              <w:jc w:val="center"/>
              <w:rPr>
                <w:rFonts w:hint="eastAsia"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4"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restart"/>
            <w:vAlign w:val="center"/>
          </w:tcPr>
          <w:p>
            <w:pPr>
              <w:jc w:val="center"/>
              <w:rPr>
                <w:rFonts w:ascii="Times New Roman" w:hAnsi="Times New Roman" w:cs="Times New Roman"/>
                <w:color w:val="auto"/>
                <w:szCs w:val="21"/>
              </w:rPr>
            </w:pPr>
            <w:r>
              <w:rPr>
                <w:rFonts w:hint="eastAsia" w:ascii="Times New Roman" w:hAnsi="Times New Roman" w:cs="Times New Roman"/>
                <w:color w:val="auto"/>
                <w:szCs w:val="21"/>
              </w:rPr>
              <w:t>厂区内</w:t>
            </w:r>
          </w:p>
        </w:tc>
        <w:tc>
          <w:tcPr>
            <w:tcW w:w="600" w:type="dxa"/>
            <w:vMerge w:val="restart"/>
            <w:vAlign w:val="center"/>
          </w:tcPr>
          <w:p>
            <w:pPr>
              <w:widowControl/>
              <w:adjustRightInd w:val="0"/>
              <w:snapToGrid w:val="0"/>
              <w:spacing w:before="60" w:after="0" w:line="259" w:lineRule="auto"/>
              <w:ind w:right="113"/>
              <w:jc w:val="center"/>
              <w:rPr>
                <w:rFonts w:ascii="宋体" w:hAnsi="宋体" w:eastAsia="宋体" w:cs="宋体"/>
                <w:color w:val="auto"/>
                <w:kern w:val="0"/>
                <w:sz w:val="21"/>
                <w:szCs w:val="21"/>
                <w:lang w:val="en-US" w:eastAsia="zh-CN" w:bidi="ar-SA"/>
              </w:rPr>
            </w:pPr>
            <w:r>
              <w:rPr>
                <w:rFonts w:hint="eastAsia" w:ascii="Times New Roman" w:hAnsi="Times New Roman" w:eastAsia="宋体" w:cs="Times New Roman"/>
                <w:color w:val="auto"/>
                <w:kern w:val="0"/>
                <w:sz w:val="21"/>
                <w:szCs w:val="21"/>
                <w:lang w:val="en-US" w:eastAsia="zh-CN" w:bidi="ar-SA"/>
              </w:rPr>
              <w:t>非甲烷总烃</w:t>
            </w:r>
          </w:p>
        </w:tc>
        <w:tc>
          <w:tcPr>
            <w:tcW w:w="1200" w:type="dxa"/>
            <w:vMerge w:val="restart"/>
            <w:vAlign w:val="center"/>
          </w:tcPr>
          <w:p>
            <w:pPr>
              <w:widowControl/>
              <w:adjustRightInd w:val="0"/>
              <w:snapToGrid w:val="0"/>
              <w:spacing w:before="60" w:after="0" w:line="259" w:lineRule="auto"/>
              <w:ind w:right="113"/>
              <w:jc w:val="center"/>
              <w:rPr>
                <w:rFonts w:ascii="宋体" w:hAnsi="宋体" w:eastAsia="宋体" w:cs="宋体"/>
                <w:color w:val="auto"/>
                <w:kern w:val="0"/>
                <w:sz w:val="21"/>
                <w:szCs w:val="21"/>
                <w:lang w:val="en-US" w:eastAsia="zh-CN" w:bidi="ar-SA"/>
              </w:rPr>
            </w:pPr>
            <w:r>
              <w:rPr>
                <w:rFonts w:ascii="Times New Roman" w:hAnsi="Times New Roman" w:eastAsia="宋体" w:cs="Times New Roman"/>
                <w:color w:val="auto"/>
                <w:kern w:val="0"/>
                <w:sz w:val="21"/>
                <w:szCs w:val="21"/>
                <w:lang w:val="en-US" w:eastAsia="zh-CN" w:bidi="ar-SA"/>
              </w:rPr>
              <w:t>厂房密闭，加强管理</w:t>
            </w:r>
          </w:p>
        </w:tc>
        <w:tc>
          <w:tcPr>
            <w:tcW w:w="1785" w:type="dxa"/>
            <w:vAlign w:val="center"/>
          </w:tcPr>
          <w:p>
            <w:pPr>
              <w:adjustRightInd w:val="0"/>
              <w:spacing w:line="280" w:lineRule="exact"/>
              <w:jc w:val="center"/>
              <w:textAlignment w:val="baseline"/>
              <w:rPr>
                <w:rFonts w:ascii="Times New Roman" w:hAnsi="宋体" w:cs="Times New Roman"/>
                <w:color w:val="auto"/>
                <w:szCs w:val="24"/>
              </w:rPr>
            </w:pPr>
            <w:r>
              <w:rPr>
                <w:rFonts w:hint="eastAsia" w:ascii="Times New Roman" w:hAnsi="Times New Roman" w:cs="Times New Roman"/>
                <w:color w:val="auto"/>
                <w:kern w:val="0"/>
                <w:szCs w:val="21"/>
              </w:rPr>
              <w:t>监控点处1</w:t>
            </w:r>
            <w:r>
              <w:rPr>
                <w:rFonts w:ascii="Times New Roman" w:hAnsi="Times New Roman" w:cs="Times New Roman"/>
                <w:color w:val="auto"/>
                <w:kern w:val="0"/>
                <w:szCs w:val="21"/>
              </w:rPr>
              <w:t>h</w:t>
            </w:r>
            <w:r>
              <w:rPr>
                <w:rFonts w:hint="eastAsia" w:ascii="Times New Roman" w:hAnsi="Times New Roman" w:cs="Times New Roman"/>
                <w:color w:val="auto"/>
                <w:kern w:val="0"/>
                <w:szCs w:val="21"/>
              </w:rPr>
              <w:t>平均</w:t>
            </w:r>
            <w:r>
              <w:rPr>
                <w:rFonts w:ascii="Times New Roman" w:hAnsi="Times New Roman" w:cs="Times New Roman"/>
                <w:color w:val="auto"/>
                <w:kern w:val="0"/>
                <w:szCs w:val="21"/>
              </w:rPr>
              <w:t>浓度值</w:t>
            </w:r>
            <w:r>
              <w:rPr>
                <w:rFonts w:hint="eastAsia" w:ascii="Times New Roman" w:hAnsi="Times New Roman" w:cs="Times New Roman"/>
                <w:color w:val="auto"/>
                <w:kern w:val="0"/>
                <w:szCs w:val="21"/>
              </w:rPr>
              <w:t>≤6</w:t>
            </w:r>
            <w:r>
              <w:rPr>
                <w:rFonts w:ascii="Times New Roman" w:hAnsi="Times New Roman" w:cs="Times New Roman"/>
                <w:snapToGrid w:val="0"/>
                <w:color w:val="auto"/>
                <w:szCs w:val="21"/>
              </w:rPr>
              <w:t>mg/m</w:t>
            </w:r>
            <w:r>
              <w:rPr>
                <w:rFonts w:ascii="Times New Roman" w:hAnsi="Times New Roman" w:cs="Times New Roman"/>
                <w:snapToGrid w:val="0"/>
                <w:color w:val="auto"/>
                <w:szCs w:val="21"/>
                <w:vertAlign w:val="superscript"/>
              </w:rPr>
              <w:t>3</w:t>
            </w:r>
          </w:p>
        </w:tc>
        <w:tc>
          <w:tcPr>
            <w:tcW w:w="2970" w:type="dxa"/>
            <w:vMerge w:val="restart"/>
            <w:vAlign w:val="center"/>
          </w:tcPr>
          <w:p>
            <w:pPr>
              <w:snapToGrid w:val="0"/>
              <w:jc w:val="center"/>
              <w:rPr>
                <w:rFonts w:ascii="Times New Roman" w:hAnsi="Times New Roman" w:cs="Times New Roman"/>
                <w:color w:val="auto"/>
                <w:szCs w:val="21"/>
              </w:rPr>
            </w:pPr>
            <w:r>
              <w:rPr>
                <w:rFonts w:ascii="Times New Roman" w:hAnsi="Times New Roman" w:cs="Times New Roman"/>
                <w:color w:val="auto"/>
                <w:szCs w:val="21"/>
              </w:rPr>
              <w:t>《挥发性有机物无组织排放控制标准》（GB37822-2019）附录A厂区内VOCs无组织特别排放限值要求</w:t>
            </w:r>
          </w:p>
        </w:tc>
        <w:tc>
          <w:tcPr>
            <w:tcW w:w="693" w:type="dxa"/>
            <w:vMerge w:val="continue"/>
            <w:vAlign w:val="center"/>
          </w:tcPr>
          <w:p>
            <w:pPr>
              <w:snapToGrid w:val="0"/>
              <w:jc w:val="center"/>
              <w:rPr>
                <w:rFonts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Merge w:val="continue"/>
            <w:vAlign w:val="center"/>
          </w:tcPr>
          <w:p>
            <w:pPr>
              <w:jc w:val="center"/>
              <w:rPr>
                <w:rFonts w:ascii="Times New Roman" w:hAnsi="Times New Roman" w:cs="Times New Roman"/>
                <w:color w:val="auto"/>
                <w:szCs w:val="21"/>
              </w:rPr>
            </w:pPr>
          </w:p>
        </w:tc>
        <w:tc>
          <w:tcPr>
            <w:tcW w:w="600" w:type="dxa"/>
            <w:vMerge w:val="continue"/>
            <w:vAlign w:val="center"/>
          </w:tcPr>
          <w:p>
            <w:pPr>
              <w:widowControl/>
              <w:adjustRightInd w:val="0"/>
              <w:snapToGrid w:val="0"/>
              <w:spacing w:before="60" w:after="0" w:line="259" w:lineRule="auto"/>
              <w:ind w:right="113"/>
              <w:jc w:val="center"/>
              <w:rPr>
                <w:rFonts w:ascii="Times New Roman" w:hAnsi="Times New Roman" w:eastAsia="宋体" w:cs="Times New Roman"/>
                <w:color w:val="auto"/>
                <w:kern w:val="0"/>
                <w:sz w:val="21"/>
                <w:szCs w:val="21"/>
                <w:lang w:val="en-US" w:eastAsia="zh-CN" w:bidi="ar-SA"/>
              </w:rPr>
            </w:pPr>
          </w:p>
        </w:tc>
        <w:tc>
          <w:tcPr>
            <w:tcW w:w="1200" w:type="dxa"/>
            <w:vMerge w:val="continue"/>
            <w:vAlign w:val="center"/>
          </w:tcPr>
          <w:p>
            <w:pPr>
              <w:widowControl/>
              <w:adjustRightInd w:val="0"/>
              <w:snapToGrid w:val="0"/>
              <w:spacing w:before="60" w:after="0" w:line="259" w:lineRule="auto"/>
              <w:ind w:right="113"/>
              <w:jc w:val="center"/>
              <w:rPr>
                <w:rFonts w:ascii="Times New Roman" w:hAnsi="Times New Roman" w:eastAsia="宋体" w:cs="Times New Roman"/>
                <w:color w:val="auto"/>
                <w:kern w:val="0"/>
                <w:sz w:val="21"/>
                <w:szCs w:val="21"/>
                <w:lang w:val="en-US" w:eastAsia="zh-CN" w:bidi="ar-SA"/>
              </w:rPr>
            </w:pPr>
          </w:p>
        </w:tc>
        <w:tc>
          <w:tcPr>
            <w:tcW w:w="1785" w:type="dxa"/>
            <w:vAlign w:val="center"/>
          </w:tcPr>
          <w:p>
            <w:pPr>
              <w:adjustRightInd w:val="0"/>
              <w:spacing w:line="280" w:lineRule="exact"/>
              <w:jc w:val="center"/>
              <w:textAlignment w:val="baseline"/>
              <w:rPr>
                <w:rFonts w:ascii="Times New Roman" w:hAnsi="宋体" w:cs="Times New Roman"/>
                <w:color w:val="auto"/>
                <w:szCs w:val="24"/>
              </w:rPr>
            </w:pPr>
            <w:r>
              <w:rPr>
                <w:rFonts w:hint="eastAsia" w:ascii="Times New Roman" w:hAnsi="Times New Roman" w:cs="Times New Roman"/>
                <w:color w:val="auto"/>
                <w:kern w:val="0"/>
                <w:szCs w:val="21"/>
              </w:rPr>
              <w:t>监控点</w:t>
            </w:r>
            <w:r>
              <w:rPr>
                <w:rFonts w:ascii="Times New Roman" w:hAnsi="Times New Roman" w:cs="Times New Roman"/>
                <w:color w:val="auto"/>
                <w:kern w:val="0"/>
                <w:szCs w:val="21"/>
              </w:rPr>
              <w:t>处任意</w:t>
            </w:r>
            <w:r>
              <w:rPr>
                <w:rFonts w:hint="eastAsia" w:ascii="Times New Roman" w:hAnsi="Times New Roman" w:cs="Times New Roman"/>
                <w:color w:val="auto"/>
                <w:kern w:val="0"/>
                <w:szCs w:val="21"/>
              </w:rPr>
              <w:t>一次</w:t>
            </w:r>
            <w:r>
              <w:rPr>
                <w:rFonts w:ascii="Times New Roman" w:hAnsi="Times New Roman" w:cs="Times New Roman"/>
                <w:color w:val="auto"/>
                <w:kern w:val="0"/>
                <w:szCs w:val="21"/>
              </w:rPr>
              <w:t>浓度值</w:t>
            </w:r>
          </w:p>
        </w:tc>
        <w:tc>
          <w:tcPr>
            <w:tcW w:w="2970" w:type="dxa"/>
            <w:vMerge w:val="continue"/>
            <w:vAlign w:val="center"/>
          </w:tcPr>
          <w:p>
            <w:pPr>
              <w:snapToGrid w:val="0"/>
              <w:jc w:val="center"/>
              <w:rPr>
                <w:rFonts w:ascii="Times New Roman" w:hAnsi="Times New Roman" w:cs="Times New Roman"/>
                <w:color w:val="auto"/>
                <w:szCs w:val="21"/>
              </w:rPr>
            </w:pPr>
          </w:p>
        </w:tc>
        <w:tc>
          <w:tcPr>
            <w:tcW w:w="693" w:type="dxa"/>
            <w:vMerge w:val="continue"/>
            <w:vAlign w:val="center"/>
          </w:tcPr>
          <w:p>
            <w:pPr>
              <w:snapToGrid w:val="0"/>
              <w:jc w:val="center"/>
              <w:rPr>
                <w:rFonts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566" w:type="dxa"/>
            <w:vMerge w:val="restart"/>
            <w:vAlign w:val="center"/>
          </w:tcPr>
          <w:p>
            <w:pPr>
              <w:adjustRightInd w:val="0"/>
              <w:snapToGrid w:val="0"/>
              <w:jc w:val="center"/>
              <w:rPr>
                <w:rFonts w:ascii="宋体" w:hAnsi="宋体" w:cs="宋体"/>
                <w:color w:val="auto"/>
                <w:szCs w:val="21"/>
              </w:rPr>
            </w:pPr>
            <w:r>
              <w:rPr>
                <w:rFonts w:hint="eastAsia" w:ascii="宋体" w:hAnsi="宋体" w:cs="宋体"/>
                <w:color w:val="auto"/>
                <w:szCs w:val="21"/>
              </w:rPr>
              <w:t>地表水环境</w:t>
            </w:r>
          </w:p>
        </w:tc>
        <w:tc>
          <w:tcPr>
            <w:tcW w:w="690" w:type="dxa"/>
            <w:vAlign w:val="center"/>
          </w:tcPr>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喷淋塔用水</w:t>
            </w:r>
          </w:p>
        </w:tc>
        <w:tc>
          <w:tcPr>
            <w:tcW w:w="600" w:type="dxa"/>
            <w:vAlign w:val="center"/>
          </w:tcPr>
          <w:p>
            <w:pPr>
              <w:adjustRightInd w:val="0"/>
              <w:snapToGrid w:val="0"/>
              <w:jc w:val="center"/>
              <w:rPr>
                <w:rFonts w:hint="eastAsia"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w:t>
            </w:r>
          </w:p>
        </w:tc>
        <w:tc>
          <w:tcPr>
            <w:tcW w:w="1200" w:type="dxa"/>
            <w:vAlign w:val="center"/>
          </w:tcPr>
          <w:p>
            <w:pPr>
              <w:adjustRightInd w:val="0"/>
              <w:snapToGrid w:val="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循环用水，</w:t>
            </w:r>
            <w:r>
              <w:rPr>
                <w:rFonts w:hint="eastAsia" w:ascii="Times New Roman" w:hAnsi="Times New Roman" w:cs="Times New Roman"/>
                <w:bCs/>
                <w:szCs w:val="21"/>
                <w:lang w:val="en-US" w:eastAsia="zh-CN"/>
              </w:rPr>
              <w:t>定期补充，</w:t>
            </w:r>
            <w:r>
              <w:rPr>
                <w:rFonts w:hint="eastAsia" w:ascii="Times New Roman" w:hAnsi="Times New Roman" w:cs="Times New Roman"/>
                <w:color w:val="auto"/>
                <w:szCs w:val="21"/>
                <w:lang w:val="en-US" w:eastAsia="zh-CN"/>
              </w:rPr>
              <w:t>不外排</w:t>
            </w:r>
          </w:p>
        </w:tc>
        <w:tc>
          <w:tcPr>
            <w:tcW w:w="4755" w:type="dxa"/>
            <w:gridSpan w:val="2"/>
            <w:vMerge w:val="restart"/>
            <w:vAlign w:val="center"/>
          </w:tcPr>
          <w:p>
            <w:pPr>
              <w:adjustRightInd w:val="0"/>
              <w:snapToGrid w:val="0"/>
              <w:jc w:val="center"/>
              <w:rPr>
                <w:rFonts w:ascii="宋体" w:hAnsi="宋体" w:cs="宋体"/>
                <w:color w:val="auto"/>
                <w:szCs w:val="21"/>
              </w:rPr>
            </w:pPr>
            <w:r>
              <w:rPr>
                <w:rFonts w:hint="eastAsia" w:ascii="Times New Roman" w:hAnsi="Times New Roman" w:cs="Times New Roman"/>
                <w:color w:val="auto"/>
                <w:szCs w:val="21"/>
              </w:rPr>
              <w:t>不外排</w:t>
            </w:r>
          </w:p>
        </w:tc>
        <w:tc>
          <w:tcPr>
            <w:tcW w:w="693" w:type="dxa"/>
            <w:vMerge w:val="restart"/>
            <w:vAlign w:val="center"/>
          </w:tcPr>
          <w:p>
            <w:pPr>
              <w:adjustRightInd w:val="0"/>
              <w:snapToGrid w:val="0"/>
              <w:jc w:val="center"/>
              <w:rPr>
                <w:rFonts w:hint="eastAsia"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厂区职工</w:t>
            </w:r>
          </w:p>
        </w:tc>
        <w:tc>
          <w:tcPr>
            <w:tcW w:w="600" w:type="dxa"/>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COD</w:t>
            </w:r>
          </w:p>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SS</w:t>
            </w:r>
          </w:p>
          <w:p>
            <w:pPr>
              <w:adjustRightInd w:val="0"/>
              <w:snapToGrid w:val="0"/>
              <w:jc w:val="center"/>
              <w:rPr>
                <w:rFonts w:ascii="宋体" w:hAnsi="宋体" w:cs="宋体"/>
                <w:color w:val="auto"/>
                <w:szCs w:val="21"/>
              </w:rPr>
            </w:pPr>
            <w:r>
              <w:rPr>
                <w:rFonts w:ascii="Times New Roman" w:hAnsi="Times New Roman" w:cs="Times New Roman"/>
                <w:color w:val="auto"/>
                <w:szCs w:val="21"/>
              </w:rPr>
              <w:t>氨氮</w:t>
            </w:r>
          </w:p>
        </w:tc>
        <w:tc>
          <w:tcPr>
            <w:tcW w:w="1200" w:type="dxa"/>
            <w:vAlign w:val="center"/>
          </w:tcPr>
          <w:p>
            <w:pPr>
              <w:adjustRightInd w:val="0"/>
              <w:snapToGrid w:val="0"/>
              <w:jc w:val="center"/>
              <w:rPr>
                <w:rFonts w:ascii="宋体" w:hAnsi="宋体" w:cs="宋体"/>
                <w:color w:val="auto"/>
                <w:szCs w:val="21"/>
              </w:rPr>
            </w:pPr>
            <w:r>
              <w:rPr>
                <w:rFonts w:hint="eastAsia" w:ascii="Times New Roman" w:hAnsi="Times New Roman" w:cs="Times New Roman"/>
                <w:color w:val="auto"/>
                <w:szCs w:val="21"/>
                <w:lang w:eastAsia="zh-CN"/>
              </w:rPr>
              <w:t>化粪池</w:t>
            </w:r>
            <w:r>
              <w:rPr>
                <w:rFonts w:ascii="Times New Roman" w:hAnsi="Times New Roman" w:cs="Times New Roman"/>
                <w:color w:val="auto"/>
                <w:szCs w:val="21"/>
              </w:rPr>
              <w:t>，定期清掏，不外排</w:t>
            </w:r>
          </w:p>
        </w:tc>
        <w:tc>
          <w:tcPr>
            <w:tcW w:w="4755" w:type="dxa"/>
            <w:gridSpan w:val="2"/>
            <w:vMerge w:val="continue"/>
            <w:vAlign w:val="center"/>
          </w:tcPr>
          <w:p>
            <w:pPr>
              <w:adjustRightInd w:val="0"/>
              <w:snapToGrid w:val="0"/>
              <w:jc w:val="center"/>
              <w:rPr>
                <w:rFonts w:ascii="宋体" w:hAnsi="宋体" w:cs="宋体"/>
                <w:color w:val="auto"/>
                <w:szCs w:val="21"/>
              </w:rPr>
            </w:pPr>
          </w:p>
        </w:tc>
        <w:tc>
          <w:tcPr>
            <w:tcW w:w="693" w:type="dxa"/>
            <w:vMerge w:val="continue"/>
            <w:vAlign w:val="center"/>
          </w:tcPr>
          <w:p>
            <w:pPr>
              <w:adjustRightInd w:val="0"/>
              <w:snapToGrid w:val="0"/>
              <w:jc w:val="center"/>
              <w:rPr>
                <w:rFonts w:ascii="宋体" w:hAnsi="宋体" w:cs="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56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声环境</w:t>
            </w:r>
          </w:p>
        </w:tc>
        <w:tc>
          <w:tcPr>
            <w:tcW w:w="690" w:type="dxa"/>
            <w:vAlign w:val="center"/>
          </w:tcPr>
          <w:p>
            <w:pPr>
              <w:adjustRightInd w:val="0"/>
              <w:snapToGrid w:val="0"/>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厂界</w:t>
            </w:r>
          </w:p>
        </w:tc>
        <w:tc>
          <w:tcPr>
            <w:tcW w:w="600" w:type="dxa"/>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1"/>
              </w:rPr>
              <w:t>生产设备运行噪声连续等效A声级</w:t>
            </w:r>
          </w:p>
        </w:tc>
        <w:tc>
          <w:tcPr>
            <w:tcW w:w="1200" w:type="dxa"/>
            <w:vAlign w:val="center"/>
          </w:tcPr>
          <w:p>
            <w:pPr>
              <w:adjustRightInd w:val="0"/>
              <w:snapToGrid w:val="0"/>
              <w:jc w:val="center"/>
              <w:rPr>
                <w:rFonts w:ascii="Times New Roman" w:hAnsi="Times New Roman" w:cs="Times New Roman"/>
                <w:color w:val="auto"/>
                <w:szCs w:val="21"/>
              </w:rPr>
            </w:pPr>
            <w:r>
              <w:rPr>
                <w:rFonts w:ascii="Times New Roman" w:hAnsi="Times New Roman" w:cs="Times New Roman"/>
                <w:color w:val="auto"/>
                <w:szCs w:val="24"/>
              </w:rPr>
              <w:t>选用低噪声设备，设备的底座安装减振器，厂房隔声，再经过距离衰减</w:t>
            </w:r>
          </w:p>
        </w:tc>
        <w:tc>
          <w:tcPr>
            <w:tcW w:w="1785" w:type="dxa"/>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eastAsia" w:ascii="Times New Roman" w:hAnsi="Times New Roman" w:eastAsia="宋体" w:cs="Times New Roman"/>
                <w:b w:val="0"/>
                <w:bCs w:val="0"/>
                <w:color w:val="auto"/>
                <w:kern w:val="0"/>
                <w:sz w:val="21"/>
                <w:szCs w:val="21"/>
                <w:vertAlign w:val="baseline"/>
                <w:lang w:val="en-US" w:eastAsia="zh-CN" w:bidi="ar-SA"/>
              </w:rPr>
            </w:pPr>
            <w:r>
              <w:rPr>
                <w:rFonts w:hint="eastAsia" w:ascii="Times New Roman" w:hAnsi="Times New Roman" w:eastAsia="宋体" w:cs="Times New Roman"/>
                <w:b w:val="0"/>
                <w:bCs w:val="0"/>
                <w:color w:val="auto"/>
                <w:kern w:val="0"/>
                <w:sz w:val="21"/>
                <w:szCs w:val="21"/>
                <w:vertAlign w:val="baseline"/>
                <w:lang w:val="en-US" w:eastAsia="zh-CN" w:bidi="ar-SA"/>
              </w:rPr>
              <w:t>昼间≤60dB（A）</w:t>
            </w:r>
          </w:p>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Calibri Light" w:hAnsi="Calibri Light" w:eastAsia="宋体" w:cs="Times New Roman"/>
                <w:b/>
                <w:bCs/>
                <w:color w:val="auto"/>
                <w:kern w:val="0"/>
                <w:sz w:val="28"/>
                <w:szCs w:val="28"/>
                <w:lang w:val="en-US" w:eastAsia="zh-CN" w:bidi="ar-SA"/>
              </w:rPr>
            </w:pPr>
            <w:r>
              <w:rPr>
                <w:rFonts w:hint="eastAsia" w:ascii="Times New Roman" w:hAnsi="Times New Roman" w:eastAsia="宋体" w:cs="Times New Roman"/>
                <w:b w:val="0"/>
                <w:bCs w:val="0"/>
                <w:color w:val="auto"/>
                <w:kern w:val="0"/>
                <w:sz w:val="21"/>
                <w:szCs w:val="21"/>
                <w:vertAlign w:val="baseline"/>
                <w:lang w:val="en-US" w:eastAsia="zh-CN" w:bidi="ar-SA"/>
              </w:rPr>
              <w:t>夜间≤50dB（A）</w:t>
            </w:r>
          </w:p>
        </w:tc>
        <w:tc>
          <w:tcPr>
            <w:tcW w:w="2970" w:type="dxa"/>
            <w:vAlign w:val="center"/>
          </w:tcPr>
          <w:p>
            <w:pPr>
              <w:adjustRightInd w:val="0"/>
              <w:snapToGrid w:val="0"/>
              <w:jc w:val="center"/>
              <w:rPr>
                <w:rFonts w:ascii="Times New Roman" w:hAnsi="Times New Roman" w:cs="Times New Roman"/>
                <w:color w:val="auto"/>
                <w:szCs w:val="24"/>
              </w:rPr>
            </w:pPr>
            <w:r>
              <w:rPr>
                <w:rFonts w:ascii="Times New Roman" w:hAnsi="Times New Roman" w:cs="Times New Roman"/>
                <w:color w:val="auto"/>
                <w:szCs w:val="24"/>
              </w:rPr>
              <w:t xml:space="preserve">《工业企业厂界环境噪声排放标准》（GB </w:t>
            </w:r>
            <w:r>
              <w:rPr>
                <w:rFonts w:hint="eastAsia" w:ascii="Times New Roman" w:hAnsi="Times New Roman" w:cs="Times New Roman"/>
                <w:color w:val="auto"/>
                <w:szCs w:val="24"/>
                <w:lang w:eastAsia="zh-CN"/>
              </w:rPr>
              <w:t>12348-2008</w:t>
            </w:r>
            <w:r>
              <w:rPr>
                <w:rFonts w:ascii="Times New Roman" w:hAnsi="Times New Roman" w:cs="Times New Roman"/>
                <w:color w:val="auto"/>
                <w:szCs w:val="24"/>
              </w:rPr>
              <w:t>）中</w:t>
            </w:r>
            <w:r>
              <w:rPr>
                <w:rFonts w:hint="eastAsia" w:ascii="Times New Roman" w:hAnsi="Times New Roman" w:cs="Times New Roman"/>
                <w:color w:val="auto"/>
                <w:szCs w:val="24"/>
              </w:rPr>
              <w:t>2</w:t>
            </w:r>
            <w:r>
              <w:rPr>
                <w:rFonts w:ascii="Times New Roman" w:hAnsi="Times New Roman" w:cs="Times New Roman"/>
                <w:color w:val="auto"/>
                <w:szCs w:val="24"/>
              </w:rPr>
              <w:t>类标准</w:t>
            </w:r>
          </w:p>
        </w:tc>
        <w:tc>
          <w:tcPr>
            <w:tcW w:w="693" w:type="dxa"/>
            <w:vAlign w:val="center"/>
          </w:tcPr>
          <w:p>
            <w:pPr>
              <w:adjustRightInd w:val="0"/>
              <w:snapToGrid w:val="0"/>
              <w:jc w:val="center"/>
              <w:rPr>
                <w:rFonts w:ascii="Times New Roman" w:hAnsi="Times New Roman" w:cs="Times New Roman"/>
                <w:color w:val="auto"/>
                <w:szCs w:val="24"/>
              </w:rPr>
            </w:pPr>
            <w:r>
              <w:rPr>
                <w:rFonts w:hint="eastAsia" w:ascii="Times New Roman" w:hAnsi="Times New Roman" w:cs="Times New Roman"/>
                <w:color w:val="auto"/>
                <w:szCs w:val="24"/>
                <w:lang w:val="en-US" w:eastAsia="zh-CN"/>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21" w:hRule="atLeast"/>
          <w:jc w:val="center"/>
        </w:trPr>
        <w:tc>
          <w:tcPr>
            <w:tcW w:w="56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电磁辐射</w:t>
            </w:r>
          </w:p>
        </w:tc>
        <w:tc>
          <w:tcPr>
            <w:tcW w:w="69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w:t>
            </w:r>
          </w:p>
        </w:tc>
        <w:tc>
          <w:tcPr>
            <w:tcW w:w="6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w:t>
            </w:r>
          </w:p>
        </w:tc>
        <w:tc>
          <w:tcPr>
            <w:tcW w:w="1200"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w:t>
            </w:r>
          </w:p>
        </w:tc>
        <w:tc>
          <w:tcPr>
            <w:tcW w:w="4755" w:type="dxa"/>
            <w:gridSpan w:val="2"/>
            <w:vAlign w:val="center"/>
          </w:tcPr>
          <w:p>
            <w:pPr>
              <w:keepNext/>
              <w:keepLines/>
              <w:widowControl/>
              <w:spacing w:before="280" w:after="290" w:line="376" w:lineRule="auto"/>
              <w:ind w:left="864" w:hanging="864"/>
              <w:jc w:val="center"/>
              <w:outlineLvl w:val="3"/>
              <w:rPr>
                <w:rFonts w:ascii="宋体" w:hAnsi="宋体" w:eastAsia="宋体" w:cs="宋体"/>
                <w:b/>
                <w:bCs/>
                <w:color w:val="auto"/>
                <w:kern w:val="0"/>
                <w:sz w:val="28"/>
                <w:szCs w:val="21"/>
                <w:lang w:val="en-US" w:eastAsia="zh-CN" w:bidi="ar-SA"/>
              </w:rPr>
            </w:pPr>
            <w:r>
              <w:rPr>
                <w:rFonts w:hint="eastAsia" w:ascii="宋体" w:hAnsi="宋体" w:eastAsia="宋体" w:cs="宋体"/>
                <w:b w:val="0"/>
                <w:bCs w:val="0"/>
                <w:color w:val="auto"/>
                <w:kern w:val="2"/>
                <w:sz w:val="21"/>
                <w:szCs w:val="21"/>
                <w:lang w:val="en-US" w:eastAsia="zh-CN" w:bidi="ar-SA"/>
              </w:rPr>
              <w:t>/</w:t>
            </w:r>
          </w:p>
        </w:tc>
        <w:tc>
          <w:tcPr>
            <w:tcW w:w="693" w:type="dxa"/>
            <w:vAlign w:val="center"/>
          </w:tcPr>
          <w:p>
            <w:pPr>
              <w:keepNext/>
              <w:keepLines/>
              <w:widowControl/>
              <w:spacing w:before="280" w:after="290" w:line="376" w:lineRule="auto"/>
              <w:ind w:left="864" w:hanging="864"/>
              <w:jc w:val="center"/>
              <w:outlineLvl w:val="3"/>
              <w:rPr>
                <w:rFonts w:hint="default"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72" w:hRule="atLeast"/>
          <w:jc w:val="center"/>
        </w:trPr>
        <w:tc>
          <w:tcPr>
            <w:tcW w:w="566" w:type="dxa"/>
            <w:vMerge w:val="restart"/>
            <w:vAlign w:val="center"/>
          </w:tcPr>
          <w:p>
            <w:pPr>
              <w:adjustRightInd w:val="0"/>
              <w:snapToGrid w:val="0"/>
              <w:jc w:val="center"/>
              <w:rPr>
                <w:rFonts w:ascii="宋体" w:hAnsi="宋体" w:cs="宋体"/>
                <w:color w:val="auto"/>
                <w:szCs w:val="21"/>
              </w:rPr>
            </w:pPr>
            <w:r>
              <w:rPr>
                <w:rFonts w:hint="eastAsia" w:ascii="宋体" w:hAnsi="宋体" w:cs="宋体"/>
                <w:color w:val="auto"/>
                <w:szCs w:val="21"/>
              </w:rPr>
              <w:t>固体废物</w:t>
            </w:r>
          </w:p>
        </w:tc>
        <w:tc>
          <w:tcPr>
            <w:tcW w:w="690" w:type="dxa"/>
            <w:vMerge w:val="restart"/>
            <w:vAlign w:val="center"/>
          </w:tcPr>
          <w:p>
            <w:pPr>
              <w:adjustRightInd w:val="0"/>
              <w:snapToGrid w:val="0"/>
              <w:jc w:val="center"/>
              <w:rPr>
                <w:rFonts w:ascii="宋体" w:hAnsi="宋体" w:cs="宋体"/>
                <w:color w:val="auto"/>
                <w:szCs w:val="21"/>
              </w:rPr>
            </w:pPr>
            <w:r>
              <w:rPr>
                <w:rFonts w:hint="eastAsia" w:ascii="宋体" w:hAnsi="宋体" w:cs="宋体"/>
                <w:color w:val="auto"/>
                <w:szCs w:val="21"/>
              </w:rPr>
              <w:t>生产过程</w:t>
            </w:r>
          </w:p>
        </w:tc>
        <w:tc>
          <w:tcPr>
            <w:tcW w:w="60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不合格产品</w:t>
            </w:r>
          </w:p>
        </w:tc>
        <w:tc>
          <w:tcPr>
            <w:tcW w:w="1200" w:type="dxa"/>
            <w:vMerge w:val="restart"/>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收集后回收利用</w:t>
            </w:r>
          </w:p>
        </w:tc>
        <w:tc>
          <w:tcPr>
            <w:tcW w:w="4755" w:type="dxa"/>
            <w:gridSpan w:val="2"/>
            <w:vMerge w:val="restart"/>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Times New Roman" w:hAnsi="Times New Roman" w:eastAsia="宋体" w:cs="Times New Roman"/>
                <w:b w:val="0"/>
                <w:bCs w:val="0"/>
                <w:color w:val="auto"/>
                <w:kern w:val="0"/>
                <w:sz w:val="21"/>
                <w:szCs w:val="21"/>
                <w:vertAlign w:val="baseline"/>
                <w:lang w:val="en-US" w:eastAsia="zh-CN" w:bidi="ar-SA"/>
              </w:rPr>
            </w:pPr>
            <w:r>
              <w:rPr>
                <w:rFonts w:hint="default" w:ascii="Times New Roman" w:hAnsi="Times New Roman" w:eastAsia="宋体" w:cs="Times New Roman"/>
                <w:b w:val="0"/>
                <w:bCs w:val="0"/>
                <w:color w:val="auto"/>
                <w:kern w:val="0"/>
                <w:sz w:val="21"/>
                <w:szCs w:val="21"/>
                <w:vertAlign w:val="baseline"/>
                <w:lang w:val="en-US" w:eastAsia="zh-CN" w:bidi="ar-SA"/>
              </w:rPr>
              <w:t>《一般工业固体废物贮存和填埋污染控制标准》（GB18599-2020）及修改单中的相关规定；</w:t>
            </w:r>
          </w:p>
        </w:tc>
        <w:tc>
          <w:tcPr>
            <w:tcW w:w="693" w:type="dxa"/>
            <w:vMerge w:val="restart"/>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Times New Roman" w:hAnsi="Times New Roman" w:eastAsia="宋体" w:cs="Times New Roman"/>
                <w:b w:val="0"/>
                <w:bCs w:val="0"/>
                <w:color w:val="auto"/>
                <w:kern w:val="0"/>
                <w:sz w:val="21"/>
                <w:szCs w:val="21"/>
                <w:vertAlign w:val="baseline"/>
                <w:lang w:val="en-US" w:eastAsia="zh-CN" w:bidi="ar-SA"/>
              </w:rPr>
            </w:pPr>
            <w:r>
              <w:rPr>
                <w:rFonts w:hint="default" w:ascii="Times New Roman" w:hAnsi="Times New Roman" w:eastAsia="宋体" w:cs="Times New Roman"/>
                <w:b w:val="0"/>
                <w:bCs w:val="0"/>
                <w:color w:val="auto"/>
                <w:kern w:val="0"/>
                <w:sz w:val="21"/>
                <w:szCs w:val="21"/>
                <w:vertAlign w:val="baseline"/>
                <w:lang w:val="en-US" w:eastAsia="zh-CN" w:bidi="ar-SA"/>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9" w:hRule="atLeast"/>
          <w:jc w:val="center"/>
        </w:trPr>
        <w:tc>
          <w:tcPr>
            <w:tcW w:w="566" w:type="dxa"/>
            <w:vMerge w:val="continue"/>
            <w:vAlign w:val="center"/>
          </w:tcPr>
          <w:p>
            <w:pPr>
              <w:adjustRightInd w:val="0"/>
              <w:snapToGrid w:val="0"/>
              <w:jc w:val="center"/>
              <w:rPr>
                <w:rFonts w:hint="eastAsia" w:ascii="宋体" w:hAnsi="宋体" w:cs="宋体"/>
                <w:color w:val="auto"/>
                <w:szCs w:val="21"/>
              </w:rPr>
            </w:pPr>
          </w:p>
        </w:tc>
        <w:tc>
          <w:tcPr>
            <w:tcW w:w="690" w:type="dxa"/>
            <w:vMerge w:val="continue"/>
            <w:vAlign w:val="center"/>
          </w:tcPr>
          <w:p>
            <w:pPr>
              <w:adjustRightInd w:val="0"/>
              <w:snapToGrid w:val="0"/>
              <w:jc w:val="center"/>
              <w:rPr>
                <w:rFonts w:hint="eastAsia" w:ascii="宋体" w:hAnsi="宋体" w:cs="宋体"/>
                <w:color w:val="auto"/>
                <w:szCs w:val="21"/>
              </w:rPr>
            </w:pPr>
          </w:p>
        </w:tc>
        <w:tc>
          <w:tcPr>
            <w:tcW w:w="600" w:type="dxa"/>
            <w:vAlign w:val="center"/>
          </w:tcPr>
          <w:p>
            <w:pPr>
              <w:adjustRightInd w:val="0"/>
              <w:snapToGrid w:val="0"/>
              <w:jc w:val="center"/>
              <w:rPr>
                <w:rFonts w:hint="eastAsia"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粉尘</w:t>
            </w:r>
          </w:p>
        </w:tc>
        <w:tc>
          <w:tcPr>
            <w:tcW w:w="1200" w:type="dxa"/>
            <w:vMerge w:val="continue"/>
            <w:vAlign w:val="center"/>
          </w:tcPr>
          <w:p>
            <w:pPr>
              <w:adjustRightInd w:val="0"/>
              <w:snapToGrid w:val="0"/>
              <w:jc w:val="center"/>
              <w:rPr>
                <w:rFonts w:hint="eastAsia" w:ascii="Times New Roman" w:hAnsi="Times New Roman" w:cs="Times New Roman"/>
                <w:color w:val="auto"/>
                <w:szCs w:val="21"/>
              </w:rPr>
            </w:pPr>
          </w:p>
        </w:tc>
        <w:tc>
          <w:tcPr>
            <w:tcW w:w="4755" w:type="dxa"/>
            <w:gridSpan w:val="2"/>
            <w:vMerge w:val="continue"/>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Times New Roman" w:hAnsi="Times New Roman" w:eastAsia="宋体" w:cs="Times New Roman"/>
                <w:b w:val="0"/>
                <w:bCs w:val="0"/>
                <w:color w:val="auto"/>
                <w:kern w:val="0"/>
                <w:sz w:val="21"/>
                <w:szCs w:val="21"/>
                <w:vertAlign w:val="baseline"/>
                <w:lang w:val="en-US" w:eastAsia="zh-CN" w:bidi="ar-SA"/>
              </w:rPr>
            </w:pPr>
          </w:p>
        </w:tc>
        <w:tc>
          <w:tcPr>
            <w:tcW w:w="693" w:type="dxa"/>
            <w:vMerge w:val="continue"/>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Times New Roman" w:hAnsi="Times New Roman" w:eastAsia="宋体" w:cs="Times New Roman"/>
                <w:b w:val="0"/>
                <w:bCs w:val="0"/>
                <w:color w:val="auto"/>
                <w:kern w:val="0"/>
                <w:sz w:val="21"/>
                <w:szCs w:val="21"/>
                <w:vertAlign w:val="baseli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566" w:type="dxa"/>
            <w:vMerge w:val="continue"/>
            <w:vAlign w:val="center"/>
          </w:tcPr>
          <w:p>
            <w:pPr>
              <w:adjustRightInd w:val="0"/>
              <w:snapToGrid w:val="0"/>
              <w:jc w:val="center"/>
              <w:rPr>
                <w:rFonts w:hint="eastAsia" w:ascii="宋体" w:hAnsi="宋体" w:cs="宋体"/>
                <w:color w:val="auto"/>
                <w:szCs w:val="21"/>
              </w:rPr>
            </w:pPr>
          </w:p>
        </w:tc>
        <w:tc>
          <w:tcPr>
            <w:tcW w:w="690" w:type="dxa"/>
            <w:vMerge w:val="continue"/>
            <w:vAlign w:val="center"/>
          </w:tcPr>
          <w:p>
            <w:pPr>
              <w:adjustRightInd w:val="0"/>
              <w:snapToGrid w:val="0"/>
              <w:jc w:val="center"/>
              <w:rPr>
                <w:rFonts w:hint="eastAsia" w:ascii="宋体" w:hAnsi="宋体" w:cs="宋体"/>
                <w:color w:val="auto"/>
                <w:szCs w:val="21"/>
              </w:rPr>
            </w:pPr>
          </w:p>
        </w:tc>
        <w:tc>
          <w:tcPr>
            <w:tcW w:w="600" w:type="dxa"/>
            <w:vAlign w:val="center"/>
          </w:tcPr>
          <w:p>
            <w:pPr>
              <w:adjustRightInd w:val="0"/>
              <w:snapToGrid w:val="0"/>
              <w:jc w:val="center"/>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边角料</w:t>
            </w:r>
          </w:p>
        </w:tc>
        <w:tc>
          <w:tcPr>
            <w:tcW w:w="1200" w:type="dxa"/>
            <w:vMerge w:val="continue"/>
            <w:vAlign w:val="center"/>
          </w:tcPr>
          <w:p>
            <w:pPr>
              <w:adjustRightInd w:val="0"/>
              <w:snapToGrid w:val="0"/>
              <w:jc w:val="center"/>
              <w:rPr>
                <w:rFonts w:hint="eastAsia" w:ascii="Times New Roman" w:hAnsi="Times New Roman" w:cs="Times New Roman"/>
                <w:color w:val="auto"/>
                <w:szCs w:val="21"/>
              </w:rPr>
            </w:pPr>
          </w:p>
        </w:tc>
        <w:tc>
          <w:tcPr>
            <w:tcW w:w="4755" w:type="dxa"/>
            <w:gridSpan w:val="2"/>
            <w:vMerge w:val="continue"/>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Times New Roman" w:hAnsi="Times New Roman" w:eastAsia="宋体" w:cs="Times New Roman"/>
                <w:b w:val="0"/>
                <w:bCs w:val="0"/>
                <w:color w:val="auto"/>
                <w:kern w:val="0"/>
                <w:sz w:val="21"/>
                <w:szCs w:val="21"/>
                <w:vertAlign w:val="baseline"/>
                <w:lang w:val="en-US" w:eastAsia="zh-CN" w:bidi="ar-SA"/>
              </w:rPr>
            </w:pPr>
          </w:p>
        </w:tc>
        <w:tc>
          <w:tcPr>
            <w:tcW w:w="693" w:type="dxa"/>
            <w:vMerge w:val="continue"/>
            <w:vAlign w:val="center"/>
          </w:tcPr>
          <w:p>
            <w:pPr>
              <w:keepNext/>
              <w:keepLines/>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outlineLvl w:val="3"/>
              <w:rPr>
                <w:rFonts w:hint="default" w:ascii="Times New Roman" w:hAnsi="Times New Roman" w:eastAsia="宋体" w:cs="Times New Roman"/>
                <w:b w:val="0"/>
                <w:bCs w:val="0"/>
                <w:color w:val="auto"/>
                <w:kern w:val="0"/>
                <w:sz w:val="21"/>
                <w:szCs w:val="21"/>
                <w:vertAlign w:val="baseli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26"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废气处理装置</w:t>
            </w:r>
          </w:p>
        </w:tc>
        <w:tc>
          <w:tcPr>
            <w:tcW w:w="60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废活</w:t>
            </w:r>
          </w:p>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性炭</w:t>
            </w:r>
          </w:p>
        </w:tc>
        <w:tc>
          <w:tcPr>
            <w:tcW w:w="120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危废间暂存，委托具有危险废物处理资质单位定期运走处置</w:t>
            </w:r>
          </w:p>
        </w:tc>
        <w:tc>
          <w:tcPr>
            <w:tcW w:w="4755" w:type="dxa"/>
            <w:gridSpan w:val="2"/>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《危险废物贮存污染控制标准》（GB18597-2001）及其修改单</w:t>
            </w:r>
          </w:p>
        </w:tc>
        <w:tc>
          <w:tcPr>
            <w:tcW w:w="693" w:type="dxa"/>
            <w:vMerge w:val="continue"/>
            <w:vAlign w:val="center"/>
          </w:tcPr>
          <w:p>
            <w:pPr>
              <w:adjustRightInd w:val="0"/>
              <w:snapToGrid w:val="0"/>
              <w:jc w:val="center"/>
              <w:rPr>
                <w:rFonts w:hint="eastAsia"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8" w:hRule="atLeast"/>
          <w:jc w:val="center"/>
        </w:trPr>
        <w:tc>
          <w:tcPr>
            <w:tcW w:w="566" w:type="dxa"/>
            <w:vMerge w:val="continue"/>
            <w:vAlign w:val="center"/>
          </w:tcPr>
          <w:p>
            <w:pPr>
              <w:adjustRightInd w:val="0"/>
              <w:snapToGrid w:val="0"/>
              <w:jc w:val="center"/>
              <w:rPr>
                <w:rFonts w:ascii="宋体" w:hAnsi="宋体" w:cs="宋体"/>
                <w:color w:val="auto"/>
                <w:szCs w:val="21"/>
              </w:rPr>
            </w:pPr>
          </w:p>
        </w:tc>
        <w:tc>
          <w:tcPr>
            <w:tcW w:w="69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职工生活</w:t>
            </w:r>
          </w:p>
        </w:tc>
        <w:tc>
          <w:tcPr>
            <w:tcW w:w="60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生活</w:t>
            </w:r>
          </w:p>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垃圾</w:t>
            </w:r>
          </w:p>
        </w:tc>
        <w:tc>
          <w:tcPr>
            <w:tcW w:w="1200" w:type="dxa"/>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收集后由环卫部门定期清运</w:t>
            </w:r>
          </w:p>
        </w:tc>
        <w:tc>
          <w:tcPr>
            <w:tcW w:w="4755" w:type="dxa"/>
            <w:gridSpan w:val="2"/>
            <w:vAlign w:val="center"/>
          </w:tcPr>
          <w:p>
            <w:pPr>
              <w:adjustRightInd w:val="0"/>
              <w:snapToGrid w:val="0"/>
              <w:jc w:val="center"/>
              <w:rPr>
                <w:rFonts w:ascii="Times New Roman" w:hAnsi="Times New Roman" w:cs="Times New Roman"/>
                <w:color w:val="auto"/>
                <w:szCs w:val="21"/>
              </w:rPr>
            </w:pPr>
            <w:r>
              <w:rPr>
                <w:rFonts w:hint="eastAsia" w:ascii="Times New Roman" w:hAnsi="Times New Roman" w:cs="Times New Roman"/>
                <w:color w:val="auto"/>
                <w:szCs w:val="21"/>
              </w:rPr>
              <w:t>《河北省固体废物污染环境防治条例》要求</w:t>
            </w:r>
          </w:p>
        </w:tc>
        <w:tc>
          <w:tcPr>
            <w:tcW w:w="693" w:type="dxa"/>
            <w:vMerge w:val="continue"/>
            <w:vAlign w:val="center"/>
          </w:tcPr>
          <w:p>
            <w:pPr>
              <w:adjustRightInd w:val="0"/>
              <w:snapToGrid w:val="0"/>
              <w:jc w:val="center"/>
              <w:rPr>
                <w:rFonts w:hint="eastAsia" w:ascii="Times New Roman" w:hAnsi="Times New Roman" w:cs="Times New Roman"/>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76" w:hRule="atLeast"/>
          <w:jc w:val="center"/>
        </w:trPr>
        <w:tc>
          <w:tcPr>
            <w:tcW w:w="56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土壤及地下水</w:t>
            </w:r>
          </w:p>
          <w:p>
            <w:pPr>
              <w:adjustRightInd w:val="0"/>
              <w:snapToGrid w:val="0"/>
              <w:jc w:val="center"/>
              <w:rPr>
                <w:rFonts w:ascii="宋体" w:hAnsi="宋体" w:cs="宋体"/>
                <w:color w:val="auto"/>
                <w:szCs w:val="21"/>
              </w:rPr>
            </w:pPr>
            <w:r>
              <w:rPr>
                <w:rFonts w:hint="eastAsia" w:ascii="宋体" w:hAnsi="宋体" w:cs="宋体"/>
                <w:color w:val="auto"/>
                <w:szCs w:val="21"/>
              </w:rPr>
              <w:t>污染防治措施</w:t>
            </w:r>
          </w:p>
        </w:tc>
        <w:tc>
          <w:tcPr>
            <w:tcW w:w="7245" w:type="dxa"/>
            <w:gridSpan w:val="5"/>
            <w:vAlign w:val="center"/>
          </w:tcPr>
          <w:p>
            <w:pPr>
              <w:adjustRightInd w:val="0"/>
              <w:snapToGrid w:val="0"/>
              <w:jc w:val="left"/>
              <w:rPr>
                <w:rFonts w:ascii="Times New Roman" w:hAnsi="Times New Roman" w:cs="Times New Roman"/>
                <w:color w:val="auto"/>
                <w:szCs w:val="21"/>
              </w:rPr>
            </w:pPr>
            <w:r>
              <w:rPr>
                <w:rFonts w:ascii="Times New Roman" w:hAnsi="Times New Roman" w:cs="Times New Roman"/>
                <w:color w:val="auto"/>
                <w:szCs w:val="21"/>
              </w:rPr>
              <w:t>①</w:t>
            </w:r>
            <w:r>
              <w:rPr>
                <w:rFonts w:hint="eastAsia" w:ascii="Times New Roman" w:hAnsi="Times New Roman" w:cs="Times New Roman"/>
                <w:color w:val="auto"/>
                <w:szCs w:val="21"/>
                <w:lang w:eastAsia="zh-CN"/>
              </w:rPr>
              <w:t>化粪池</w:t>
            </w:r>
            <w:r>
              <w:rPr>
                <w:rFonts w:ascii="Times New Roman" w:hAnsi="Times New Roman" w:cs="Times New Roman"/>
                <w:color w:val="auto"/>
                <w:szCs w:val="21"/>
              </w:rPr>
              <w:t>，并采取内外防水处理，使防渗层渗透系数≤1×10</w:t>
            </w:r>
            <w:r>
              <w:rPr>
                <w:rFonts w:ascii="Times New Roman" w:hAnsi="Times New Roman" w:cs="Times New Roman"/>
                <w:color w:val="auto"/>
                <w:szCs w:val="21"/>
                <w:vertAlign w:val="superscript"/>
              </w:rPr>
              <w:t>-7</w:t>
            </w:r>
            <w:r>
              <w:rPr>
                <w:rFonts w:ascii="Times New Roman" w:hAnsi="Times New Roman" w:cs="Times New Roman"/>
                <w:color w:val="auto"/>
                <w:szCs w:val="21"/>
              </w:rPr>
              <w:t>cm/s；</w:t>
            </w:r>
          </w:p>
          <w:p>
            <w:pPr>
              <w:adjustRightInd w:val="0"/>
              <w:snapToGrid w:val="0"/>
              <w:jc w:val="left"/>
              <w:rPr>
                <w:rFonts w:ascii="Times New Roman" w:hAnsi="Times New Roman" w:cs="Times New Roman"/>
                <w:color w:val="auto"/>
                <w:szCs w:val="21"/>
              </w:rPr>
            </w:pPr>
            <w:r>
              <w:rPr>
                <w:rFonts w:ascii="Times New Roman" w:hAnsi="Times New Roman" w:cs="Times New Roman"/>
                <w:color w:val="auto"/>
                <w:szCs w:val="21"/>
              </w:rPr>
              <w:t>②危废暂存间按照《危险废物贮存污染控制标准》（GB18597-2001）及其修改单（[2013]第36号）的相关要求建设，渗透系数≤10</w:t>
            </w:r>
            <w:r>
              <w:rPr>
                <w:rFonts w:ascii="Times New Roman" w:hAnsi="Times New Roman" w:cs="Times New Roman"/>
                <w:color w:val="auto"/>
                <w:szCs w:val="21"/>
                <w:vertAlign w:val="superscript"/>
              </w:rPr>
              <w:t>-10</w:t>
            </w:r>
            <w:r>
              <w:rPr>
                <w:rFonts w:ascii="Times New Roman" w:hAnsi="Times New Roman" w:cs="Times New Roman"/>
                <w:color w:val="auto"/>
                <w:szCs w:val="21"/>
              </w:rPr>
              <w:t>cm/s；</w:t>
            </w:r>
          </w:p>
          <w:p>
            <w:pPr>
              <w:adjustRightInd w:val="0"/>
              <w:snapToGrid w:val="0"/>
              <w:jc w:val="left"/>
              <w:rPr>
                <w:rFonts w:ascii="宋体" w:hAnsi="宋体" w:cs="宋体"/>
                <w:color w:val="auto"/>
                <w:szCs w:val="21"/>
              </w:rPr>
            </w:pPr>
            <w:r>
              <w:rPr>
                <w:rFonts w:ascii="Times New Roman" w:hAnsi="Times New Roman" w:cs="Times New Roman"/>
                <w:color w:val="auto"/>
                <w:szCs w:val="21"/>
              </w:rPr>
              <w:t>③生产车间和库房地面采取粘土铺底，再在上层用水泥进行硬化。</w:t>
            </w:r>
          </w:p>
        </w:tc>
        <w:tc>
          <w:tcPr>
            <w:tcW w:w="693" w:type="dxa"/>
            <w:vAlign w:val="center"/>
          </w:tcPr>
          <w:p>
            <w:pPr>
              <w:adjustRightInd w:val="0"/>
              <w:snapToGrid w:val="0"/>
              <w:jc w:val="left"/>
              <w:rPr>
                <w:rFonts w:ascii="Times New Roman" w:hAnsi="Times New Roman" w:cs="Times New Roman"/>
                <w:color w:val="auto"/>
                <w:szCs w:val="21"/>
              </w:rPr>
            </w:pPr>
            <w:r>
              <w:rPr>
                <w:rFonts w:hint="eastAsia" w:ascii="Times New Roman" w:hAnsi="Times New Roman" w:cs="Times New Roman"/>
                <w:color w:val="auto"/>
                <w:szCs w:val="21"/>
                <w:lang w:val="en-US" w:eastAsia="zh-CN"/>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51" w:hRule="atLeast"/>
          <w:jc w:val="center"/>
        </w:trPr>
        <w:tc>
          <w:tcPr>
            <w:tcW w:w="56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生态保护措施</w:t>
            </w:r>
          </w:p>
        </w:tc>
        <w:tc>
          <w:tcPr>
            <w:tcW w:w="7245" w:type="dxa"/>
            <w:gridSpan w:val="5"/>
            <w:vAlign w:val="center"/>
          </w:tcPr>
          <w:p>
            <w:pPr>
              <w:adjustRightInd w:val="0"/>
              <w:snapToGrid w:val="0"/>
              <w:jc w:val="center"/>
              <w:rPr>
                <w:rFonts w:ascii="宋体" w:hAnsi="宋体" w:cs="宋体"/>
                <w:color w:val="auto"/>
                <w:szCs w:val="21"/>
              </w:rPr>
            </w:pPr>
            <w:r>
              <w:rPr>
                <w:rFonts w:hint="eastAsia" w:ascii="宋体" w:hAnsi="宋体" w:cs="宋体"/>
                <w:color w:val="auto"/>
                <w:szCs w:val="21"/>
              </w:rPr>
              <w:t>/</w:t>
            </w:r>
          </w:p>
        </w:tc>
        <w:tc>
          <w:tcPr>
            <w:tcW w:w="693" w:type="dxa"/>
            <w:vAlign w:val="center"/>
          </w:tcPr>
          <w:p>
            <w:pPr>
              <w:adjustRightInd w:val="0"/>
              <w:snapToGrid w:val="0"/>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16" w:hRule="atLeast"/>
          <w:jc w:val="center"/>
        </w:trPr>
        <w:tc>
          <w:tcPr>
            <w:tcW w:w="566" w:type="dxa"/>
            <w:vAlign w:val="center"/>
          </w:tcPr>
          <w:p>
            <w:pPr>
              <w:adjustRightInd w:val="0"/>
              <w:snapToGrid w:val="0"/>
              <w:jc w:val="center"/>
              <w:rPr>
                <w:rFonts w:ascii="宋体" w:hAnsi="宋体" w:cs="宋体"/>
                <w:color w:val="auto"/>
                <w:spacing w:val="-8"/>
                <w:szCs w:val="21"/>
              </w:rPr>
            </w:pPr>
            <w:r>
              <w:rPr>
                <w:rFonts w:hint="eastAsia" w:ascii="宋体" w:hAnsi="宋体" w:cs="宋体"/>
                <w:color w:val="auto"/>
                <w:spacing w:val="-8"/>
                <w:szCs w:val="21"/>
              </w:rPr>
              <w:t>环境风险</w:t>
            </w:r>
          </w:p>
          <w:p>
            <w:pPr>
              <w:adjustRightInd w:val="0"/>
              <w:snapToGrid w:val="0"/>
              <w:jc w:val="center"/>
              <w:rPr>
                <w:rFonts w:ascii="宋体" w:hAnsi="宋体" w:cs="宋体"/>
                <w:color w:val="auto"/>
                <w:spacing w:val="-8"/>
                <w:szCs w:val="21"/>
              </w:rPr>
            </w:pPr>
            <w:r>
              <w:rPr>
                <w:rFonts w:hint="eastAsia" w:ascii="宋体" w:hAnsi="宋体" w:cs="宋体"/>
                <w:color w:val="auto"/>
                <w:spacing w:val="-8"/>
                <w:szCs w:val="21"/>
              </w:rPr>
              <w:t>防范措施</w:t>
            </w:r>
          </w:p>
        </w:tc>
        <w:tc>
          <w:tcPr>
            <w:tcW w:w="7245" w:type="dxa"/>
            <w:gridSpan w:val="5"/>
            <w:vAlign w:val="center"/>
          </w:tcPr>
          <w:p>
            <w:pPr>
              <w:adjustRightInd w:val="0"/>
              <w:snapToGrid w:val="0"/>
              <w:ind w:firstLine="420" w:firstLineChars="200"/>
              <w:jc w:val="left"/>
              <w:rPr>
                <w:rFonts w:ascii="宋体" w:hAnsi="宋体" w:cs="宋体"/>
                <w:color w:val="auto"/>
                <w:szCs w:val="21"/>
              </w:rPr>
            </w:pPr>
            <w:r>
              <w:rPr>
                <w:rFonts w:hint="eastAsia" w:ascii="宋体" w:hAnsi="宋体" w:cs="宋体"/>
                <w:color w:val="auto"/>
                <w:szCs w:val="21"/>
              </w:rPr>
              <w:t>危险废物存储间做到防风、防雨、防晒措施，地面及周围裙角均采取了严格的防腐防渗措施，危险废物采用专用贮存装置，并设立危险物警示标志，由专人进行管理，做好危险废物排放量及处置记录。</w:t>
            </w:r>
          </w:p>
        </w:tc>
        <w:tc>
          <w:tcPr>
            <w:tcW w:w="693" w:type="dxa"/>
            <w:vAlign w:val="center"/>
          </w:tcPr>
          <w:p>
            <w:pPr>
              <w:adjustRightInd w:val="0"/>
              <w:snapToGrid w:val="0"/>
              <w:jc w:val="left"/>
              <w:rPr>
                <w:rFonts w:hint="eastAsia" w:ascii="宋体" w:hAnsi="宋体" w:cs="宋体"/>
                <w:color w:val="auto"/>
                <w:szCs w:val="21"/>
              </w:rPr>
            </w:pPr>
            <w:r>
              <w:rPr>
                <w:rFonts w:hint="eastAsia" w:ascii="宋体" w:hAnsi="宋体" w:cs="宋体"/>
                <w:color w:val="auto"/>
                <w:szCs w:val="21"/>
                <w:lang w:val="en-US" w:eastAsia="zh-CN"/>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91" w:hRule="atLeast"/>
          <w:jc w:val="center"/>
        </w:trPr>
        <w:tc>
          <w:tcPr>
            <w:tcW w:w="566" w:type="dxa"/>
            <w:vAlign w:val="center"/>
          </w:tcPr>
          <w:p>
            <w:pPr>
              <w:adjustRightInd w:val="0"/>
              <w:snapToGrid w:val="0"/>
              <w:jc w:val="center"/>
              <w:rPr>
                <w:rFonts w:ascii="宋体" w:hAnsi="宋体" w:cs="宋体"/>
                <w:color w:val="auto"/>
                <w:spacing w:val="-8"/>
                <w:szCs w:val="21"/>
              </w:rPr>
            </w:pPr>
            <w:r>
              <w:rPr>
                <w:rFonts w:hint="eastAsia" w:ascii="宋体" w:hAnsi="宋体" w:cs="宋体"/>
                <w:color w:val="auto"/>
                <w:spacing w:val="-8"/>
                <w:szCs w:val="21"/>
              </w:rPr>
              <w:t>其他环境</w:t>
            </w:r>
          </w:p>
          <w:p>
            <w:pPr>
              <w:adjustRightInd w:val="0"/>
              <w:snapToGrid w:val="0"/>
              <w:jc w:val="center"/>
              <w:rPr>
                <w:rFonts w:ascii="宋体" w:hAnsi="宋体" w:cs="宋体"/>
                <w:color w:val="auto"/>
                <w:spacing w:val="-8"/>
                <w:szCs w:val="21"/>
              </w:rPr>
            </w:pPr>
            <w:r>
              <w:rPr>
                <w:rFonts w:hint="eastAsia" w:ascii="宋体" w:hAnsi="宋体" w:cs="宋体"/>
                <w:color w:val="auto"/>
                <w:spacing w:val="-8"/>
                <w:szCs w:val="21"/>
              </w:rPr>
              <w:t>管理要求</w:t>
            </w:r>
          </w:p>
        </w:tc>
        <w:tc>
          <w:tcPr>
            <w:tcW w:w="7245" w:type="dxa"/>
            <w:gridSpan w:val="5"/>
            <w:vAlign w:val="center"/>
          </w:tcPr>
          <w:p>
            <w:pPr>
              <w:adjustRightInd w:val="0"/>
              <w:snapToGrid w:val="0"/>
              <w:ind w:firstLine="420" w:firstLineChars="200"/>
              <w:jc w:val="left"/>
              <w:rPr>
                <w:rFonts w:ascii="Times New Roman" w:hAnsi="Times New Roman" w:cs="Times New Roman"/>
                <w:color w:val="auto"/>
                <w:szCs w:val="21"/>
              </w:rPr>
            </w:pPr>
            <w:r>
              <w:rPr>
                <w:rFonts w:ascii="Times New Roman" w:hAnsi="Times New Roman" w:cs="Times New Roman"/>
                <w:color w:val="auto"/>
                <w:szCs w:val="21"/>
              </w:rPr>
              <w:t>根据《排污单位自行监测技术指南 总则》（HJ 819-2017）等要求及本项目特点进行监测，按排污许可相关要求进行排污，遵守《排污许可管理条例》相关法律法规及生态环境保护管理要求。</w:t>
            </w:r>
          </w:p>
          <w:p>
            <w:pPr>
              <w:spacing w:line="360" w:lineRule="auto"/>
              <w:ind w:firstLine="420" w:firstLineChars="200"/>
              <w:rPr>
                <w:rFonts w:ascii="Times New Roman" w:hAnsi="Times New Roman" w:cs="Times New Roman"/>
                <w:color w:val="auto"/>
                <w:szCs w:val="21"/>
              </w:rPr>
            </w:pPr>
          </w:p>
          <w:p>
            <w:pPr>
              <w:widowControl w:val="0"/>
              <w:adjustRightInd w:val="0"/>
              <w:spacing w:line="360" w:lineRule="atLeast"/>
              <w:ind w:firstLine="420"/>
              <w:jc w:val="left"/>
              <w:textAlignment w:val="baseline"/>
              <w:rPr>
                <w:rFonts w:ascii="Times New Roman" w:hAnsi="Times New Roman" w:eastAsia="宋体" w:cs="Times New Roman"/>
                <w:color w:val="auto"/>
                <w:kern w:val="0"/>
                <w:sz w:val="24"/>
                <w:szCs w:val="21"/>
                <w:lang w:val="en-US" w:eastAsia="zh-CN" w:bidi="ar-SA"/>
              </w:rPr>
            </w:pPr>
          </w:p>
          <w:p>
            <w:pPr>
              <w:rPr>
                <w:rFonts w:ascii="Times New Roman" w:hAnsi="Times New Roman" w:cs="Times New Roman"/>
                <w:color w:val="auto"/>
                <w:szCs w:val="24"/>
              </w:rPr>
            </w:pPr>
          </w:p>
          <w:p>
            <w:pPr>
              <w:adjustRightInd w:val="0"/>
              <w:snapToGrid w:val="0"/>
              <w:spacing w:line="360" w:lineRule="auto"/>
              <w:ind w:firstLine="420" w:firstLineChars="200"/>
              <w:rPr>
                <w:rFonts w:ascii="宋体" w:hAnsi="宋体" w:cs="宋体"/>
                <w:color w:val="auto"/>
                <w:szCs w:val="21"/>
              </w:rPr>
            </w:pPr>
          </w:p>
        </w:tc>
        <w:tc>
          <w:tcPr>
            <w:tcW w:w="693" w:type="dxa"/>
            <w:vAlign w:val="center"/>
          </w:tcPr>
          <w:p>
            <w:pPr>
              <w:adjustRightInd w:val="0"/>
              <w:snapToGrid w:val="0"/>
              <w:spacing w:line="360" w:lineRule="auto"/>
              <w:rPr>
                <w:rFonts w:ascii="宋体" w:hAnsi="宋体" w:cs="宋体"/>
                <w:color w:val="auto"/>
                <w:szCs w:val="21"/>
              </w:rPr>
            </w:pPr>
            <w:r>
              <w:rPr>
                <w:rFonts w:hint="eastAsia" w:ascii="宋体" w:hAnsi="宋体" w:cs="宋体"/>
                <w:color w:val="auto"/>
                <w:szCs w:val="21"/>
                <w:lang w:val="en-US" w:eastAsia="zh-CN"/>
              </w:rPr>
              <w:t>已落实</w:t>
            </w:r>
          </w:p>
        </w:tc>
      </w:tr>
    </w:tbl>
    <w:p>
      <w:pPr>
        <w:pStyle w:val="4"/>
        <w:rPr>
          <w:rFonts w:hint="default" w:ascii="Times New Roman" w:hAnsi="Times New Roman" w:eastAsia="宋体" w:cs="Times New Roman"/>
          <w:color w:val="000000" w:themeColor="text1"/>
          <w14:textFill>
            <w14:solidFill>
              <w14:schemeClr w14:val="tx1"/>
            </w14:solidFill>
          </w14:textFill>
        </w:rPr>
      </w:pPr>
      <w:bookmarkStart w:id="133" w:name="_Toc1887"/>
      <w:bookmarkStart w:id="134" w:name="_Toc5108"/>
      <w:bookmarkStart w:id="135" w:name="_Toc1554"/>
      <w:bookmarkStart w:id="136" w:name="_Toc24447"/>
      <w:r>
        <w:rPr>
          <w:rFonts w:hint="default" w:ascii="Times New Roman" w:hAnsi="Times New Roman" w:eastAsia="宋体" w:cs="Times New Roman"/>
          <w:color w:val="000000" w:themeColor="text1"/>
          <w14:textFill>
            <w14:solidFill>
              <w14:schemeClr w14:val="tx1"/>
            </w14:solidFill>
          </w14:textFill>
        </w:rPr>
        <w:t>2.10验收范围及内容</w:t>
      </w:r>
      <w:bookmarkEnd w:id="133"/>
      <w:bookmarkEnd w:id="134"/>
      <w:bookmarkEnd w:id="135"/>
      <w:bookmarkEnd w:id="136"/>
    </w:p>
    <w:p>
      <w:pPr>
        <w:adjustRightInd w:val="0"/>
        <w:snapToGrid w:val="0"/>
        <w:spacing w:line="480" w:lineRule="atLeast"/>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河北省沧州市沧县风化店乡东曹庄子村北</w:t>
      </w: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总投资</w:t>
      </w:r>
      <w:r>
        <w:rPr>
          <w:rFonts w:hint="eastAsia" w:ascii="Times New Roman" w:hAnsi="Times New Roman" w:cs="Times New Roman"/>
          <w:color w:val="000000" w:themeColor="text1"/>
          <w:sz w:val="24"/>
          <w:szCs w:val="24"/>
          <w:lang w:val="en-US" w:eastAsia="zh-CN"/>
          <w14:textFill>
            <w14:solidFill>
              <w14:schemeClr w14:val="tx1"/>
            </w14:solidFill>
          </w14:textFill>
        </w:rPr>
        <w:t>20</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万元</w:t>
      </w:r>
      <w:r>
        <w:rPr>
          <w:rFonts w:hint="eastAsia" w:ascii="Times New Roman" w:hAnsi="Times New Roman" w:cs="Times New Roman"/>
          <w:color w:val="000000" w:themeColor="text1"/>
          <w:sz w:val="24"/>
          <w:szCs w:val="24"/>
          <w:lang w:val="en-US" w:eastAsia="zh-CN"/>
          <w14:textFill>
            <w14:solidFill>
              <w14:schemeClr w14:val="tx1"/>
            </w14:solidFill>
          </w14:textFill>
        </w:rPr>
        <w:t>，项目将新增混料罐3个、180型号造粒机组1套、80型号磨粉机2台，共计设备6台（套）。主要原材料为聚乙烯、碳酸氢钙、色母粒、加工助剂、PVC树脂等，项目投产后公司年生产1000吨塑料制品。公用工程为项目供排水、供电、供热等；环保工程为废气处理措施、降噪措施等。</w:t>
      </w:r>
    </w:p>
    <w:p>
      <w:pPr>
        <w:adjustRightInd w:val="0"/>
        <w:snapToGrid w:val="0"/>
        <w:spacing w:line="480" w:lineRule="atLeast"/>
        <w:ind w:firstLine="480" w:firstLineChars="200"/>
        <w:rPr>
          <w:rFonts w:hint="default" w:ascii="Times New Roman" w:hAnsi="Times New Roman" w:eastAsia="宋体"/>
          <w:color w:val="000000" w:themeColor="text1"/>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建设单位按照环评要求落实各项污染防治措施。</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环保设施已经建设完成工程有：</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①废气</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olor w:val="000000" w:themeColor="text1"/>
          <w:spacing w:val="-6"/>
          <w:sz w:val="24"/>
          <w:szCs w:val="24"/>
          <w:lang w:val="zh-CN" w:eastAsia="zh-CN"/>
          <w14:textFill>
            <w14:solidFill>
              <w14:schemeClr w14:val="tx1"/>
            </w14:solidFill>
          </w14:textFill>
        </w:rPr>
        <w:t>本项目废气主要为造粒工序产生废气采取集气罩收集后由喷淋塔+二级活性炭吸附装置处理后、磨粉工序废气采取集气罩收集后由布袋除尘处理后由1根15m排气筒排放P1</w:t>
      </w:r>
      <w:r>
        <w:rPr>
          <w:rFonts w:hint="eastAsia" w:ascii="Times New Roman" w:hAnsi="Times New Roman"/>
          <w:color w:val="000000" w:themeColor="text1"/>
          <w:spacing w:val="-6"/>
          <w:sz w:val="24"/>
          <w:szCs w:val="24"/>
          <w:lang w:val="zh-CN"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为具体检测内容。</w:t>
      </w:r>
    </w:p>
    <w:p>
      <w:pPr>
        <w:spacing w:line="440" w:lineRule="atLeast"/>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②</w:t>
      </w:r>
      <w:r>
        <w:rPr>
          <w:rFonts w:hint="default" w:ascii="Times New Roman" w:hAnsi="Times New Roman" w:eastAsia="宋体" w:cs="Times New Roman"/>
          <w:color w:val="000000" w:themeColor="text1"/>
          <w:sz w:val="24"/>
          <w:szCs w:val="24"/>
          <w:lang w:eastAsia="zh-CN"/>
          <w14:textFill>
            <w14:solidFill>
              <w14:schemeClr w14:val="tx1"/>
            </w14:solidFill>
          </w14:textFill>
        </w:rPr>
        <w:t>废水—</w:t>
      </w:r>
      <w:r>
        <w:rPr>
          <w:rFonts w:hint="eastAsia" w:ascii="Times New Roman" w:hAnsi="Times New Roman" w:eastAsia="宋体" w:cs="Times New Roman"/>
          <w:color w:val="000000" w:themeColor="text1"/>
          <w:sz w:val="24"/>
          <w:szCs w:val="24"/>
          <w:lang w:val="zh-CN" w:eastAsia="zh-CN"/>
          <w14:textFill>
            <w14:solidFill>
              <w14:schemeClr w14:val="tx1"/>
            </w14:solidFill>
          </w14:textFill>
        </w:rPr>
        <w:t>项目无生产废水产生，生活污水泼洒厂区抑尘，厂区设化粪池，定期清掏，不外排。</w:t>
      </w:r>
      <w:r>
        <w:rPr>
          <w:rFonts w:hint="default" w:ascii="Times New Roman" w:hAnsi="Times New Roman" w:eastAsia="宋体" w:cs="Times New Roman"/>
          <w:color w:val="000000" w:themeColor="text1"/>
          <w:sz w:val="24"/>
          <w:szCs w:val="24"/>
          <w:lang w:eastAsia="zh-CN"/>
          <w14:textFill>
            <w14:solidFill>
              <w14:schemeClr w14:val="tx1"/>
            </w14:solidFill>
          </w14:textFill>
        </w:rPr>
        <w:t>为检查内容。</w:t>
      </w:r>
    </w:p>
    <w:p>
      <w:pPr>
        <w:spacing w:line="440" w:lineRule="atLeast"/>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③噪声—</w:t>
      </w:r>
      <w:r>
        <w:rPr>
          <w:rFonts w:hint="eastAsia" w:ascii="Times New Roman" w:hAnsi="Times New Roman" w:eastAsia="宋体" w:cs="Times New Roman"/>
          <w:color w:val="000000" w:themeColor="text1"/>
          <w:sz w:val="24"/>
          <w:szCs w:val="24"/>
          <w:lang w:eastAsia="zh-CN"/>
          <w14:textFill>
            <w14:solidFill>
              <w14:schemeClr w14:val="tx1"/>
            </w14:solidFill>
          </w14:textFill>
        </w:rPr>
        <w:t>选用低噪声设备，设备加减振装置等措施，布局合理，高噪声设备远离厂界</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eastAsia="zh-CN"/>
          <w14:textFill>
            <w14:solidFill>
              <w14:schemeClr w14:val="tx1"/>
            </w14:solidFill>
          </w14:textFill>
        </w:rPr>
        <w:t>为具体检测内容。</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④固体废物—</w:t>
      </w:r>
      <w:r>
        <w:rPr>
          <w:rFonts w:hint="eastAsia" w:ascii="Times New Roman" w:hAnsi="Times New Roman" w:eastAsia="宋体"/>
          <w:color w:val="000000" w:themeColor="text1"/>
          <w:sz w:val="24"/>
          <w:szCs w:val="24"/>
          <w:lang w:val="zh-CN" w:eastAsia="zh-CN"/>
          <w14:textFill>
            <w14:solidFill>
              <w14:schemeClr w14:val="tx1"/>
            </w14:solidFill>
          </w14:textFill>
        </w:rPr>
        <w:t>一般固废：不合格产品和边角料回收利用，粉尘回收利用，职工生活垃圾收集由环卫部门统一处理。危险废物：废活性炭，专用容器收集密封后储存于危废暂存间，委托有资质的单位处理。</w:t>
      </w:r>
      <w:r>
        <w:rPr>
          <w:rFonts w:hint="default" w:ascii="Times New Roman" w:hAnsi="Times New Roman" w:eastAsia="宋体" w:cs="Times New Roman"/>
          <w:color w:val="000000" w:themeColor="text1"/>
          <w:sz w:val="24"/>
          <w:szCs w:val="24"/>
          <w:lang w:eastAsia="zh-CN"/>
          <w14:textFill>
            <w14:solidFill>
              <w14:schemeClr w14:val="tx1"/>
            </w14:solidFill>
          </w14:textFill>
        </w:rPr>
        <w:t>为</w:t>
      </w:r>
      <w:r>
        <w:rPr>
          <w:rFonts w:hint="default" w:ascii="Times New Roman" w:hAnsi="Times New Roman" w:eastAsia="宋体" w:cs="Times New Roman"/>
          <w:color w:val="000000" w:themeColor="text1"/>
          <w:sz w:val="24"/>
          <w:szCs w:val="24"/>
          <w14:textFill>
            <w14:solidFill>
              <w14:schemeClr w14:val="tx1"/>
            </w14:solidFill>
          </w14:textFill>
        </w:rPr>
        <w:t>检查内容。</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⑤工程环评及环评审批意见落实情况、环保设施的建设运行情况、环保机构及规章制度建设情况等，为本工程验收报告的检查内容。</w:t>
      </w:r>
    </w:p>
    <w:p>
      <w:pPr>
        <w:pStyle w:val="3"/>
        <w:rPr>
          <w:rFonts w:hint="default" w:ascii="Times New Roman" w:hAnsi="Times New Roman" w:eastAsia="宋体" w:cs="Times New Roman"/>
          <w:color w:val="000000" w:themeColor="text1"/>
          <w14:textFill>
            <w14:solidFill>
              <w14:schemeClr w14:val="tx1"/>
            </w14:solidFill>
          </w14:textFill>
        </w:rPr>
      </w:pPr>
      <w:bookmarkStart w:id="137" w:name="_Toc21809"/>
      <w:r>
        <w:rPr>
          <w:rFonts w:hint="default" w:ascii="Times New Roman" w:hAnsi="Times New Roman" w:eastAsia="宋体" w:cs="Times New Roman"/>
          <w:color w:val="000000" w:themeColor="text1"/>
          <w14:textFill>
            <w14:solidFill>
              <w14:schemeClr w14:val="tx1"/>
            </w14:solidFill>
          </w14:textFill>
        </w:rPr>
        <w:br w:type="page"/>
      </w:r>
    </w:p>
    <w:p>
      <w:pPr>
        <w:pStyle w:val="3"/>
        <w:rPr>
          <w:rFonts w:hint="default" w:ascii="Times New Roman" w:hAnsi="Times New Roman" w:eastAsia="宋体" w:cs="Times New Roman"/>
          <w:color w:val="000000" w:themeColor="text1"/>
          <w14:textFill>
            <w14:solidFill>
              <w14:schemeClr w14:val="tx1"/>
            </w14:solidFill>
          </w14:textFill>
        </w:rPr>
      </w:pPr>
      <w:bookmarkStart w:id="138" w:name="_Toc12475"/>
      <w:bookmarkStart w:id="139" w:name="_Toc8056"/>
      <w:bookmarkStart w:id="140" w:name="_Toc2185"/>
      <w:r>
        <w:rPr>
          <w:rFonts w:hint="default" w:ascii="Times New Roman" w:hAnsi="Times New Roman" w:eastAsia="宋体" w:cs="Times New Roman"/>
          <w:color w:val="000000" w:themeColor="text1"/>
          <w14:textFill>
            <w14:solidFill>
              <w14:schemeClr w14:val="tx1"/>
            </w14:solidFill>
          </w14:textFill>
        </w:rPr>
        <w:t>3主要污染源及治理措施</w:t>
      </w:r>
      <w:bookmarkEnd w:id="137"/>
      <w:bookmarkEnd w:id="138"/>
      <w:bookmarkEnd w:id="139"/>
      <w:bookmarkEnd w:id="140"/>
    </w:p>
    <w:p>
      <w:pPr>
        <w:pStyle w:val="4"/>
        <w:rPr>
          <w:rFonts w:hint="default" w:ascii="Times New Roman" w:hAnsi="Times New Roman" w:eastAsia="宋体" w:cs="Times New Roman"/>
          <w:color w:val="000000" w:themeColor="text1"/>
          <w14:textFill>
            <w14:solidFill>
              <w14:schemeClr w14:val="tx1"/>
            </w14:solidFill>
          </w14:textFill>
        </w:rPr>
      </w:pPr>
      <w:bookmarkStart w:id="141" w:name="_Toc12186"/>
      <w:bookmarkStart w:id="142" w:name="_Toc31233"/>
      <w:bookmarkStart w:id="143" w:name="_Toc381"/>
      <w:bookmarkStart w:id="144" w:name="_Toc10538"/>
      <w:r>
        <w:rPr>
          <w:rFonts w:hint="default" w:ascii="Times New Roman" w:hAnsi="Times New Roman" w:eastAsia="宋体" w:cs="Times New Roman"/>
          <w:color w:val="000000" w:themeColor="text1"/>
          <w14:textFill>
            <w14:solidFill>
              <w14:schemeClr w14:val="tx1"/>
            </w14:solidFill>
          </w14:textFill>
        </w:rPr>
        <w:t>3.1施工期主要污染源及治理措施</w:t>
      </w:r>
      <w:bookmarkEnd w:id="141"/>
      <w:bookmarkEnd w:id="142"/>
      <w:bookmarkEnd w:id="143"/>
      <w:bookmarkEnd w:id="14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sz w:val="24"/>
          <w:szCs w:val="24"/>
          <w:lang w:eastAsia="zh-CN"/>
          <w14:textFill>
            <w14:solidFill>
              <w14:schemeClr w14:val="tx1"/>
            </w14:solidFill>
          </w14:textFill>
        </w:rPr>
        <w:t>目前项目已经建成，</w:t>
      </w:r>
      <w:r>
        <w:rPr>
          <w:rFonts w:hint="default" w:ascii="Times New Roman" w:hAnsi="Times New Roman" w:eastAsia="宋体" w:cs="Times New Roman"/>
          <w:color w:val="000000" w:themeColor="text1"/>
          <w:sz w:val="24"/>
          <w:szCs w:val="24"/>
          <w14:textFill>
            <w14:solidFill>
              <w14:schemeClr w14:val="tx1"/>
            </w14:solidFill>
          </w14:textFill>
        </w:rPr>
        <w:t>施工期环境污染已经不存在</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45" w:name="_Toc23781"/>
      <w:bookmarkStart w:id="146" w:name="_Toc22056"/>
      <w:bookmarkStart w:id="147" w:name="_Toc25292"/>
      <w:bookmarkStart w:id="148" w:name="_Toc28537"/>
      <w:r>
        <w:rPr>
          <w:rFonts w:hint="default" w:ascii="Times New Roman" w:hAnsi="Times New Roman" w:eastAsia="宋体" w:cs="Times New Roman"/>
          <w:color w:val="000000" w:themeColor="text1"/>
          <w14:textFill>
            <w14:solidFill>
              <w14:schemeClr w14:val="tx1"/>
            </w14:solidFill>
          </w14:textFill>
        </w:rPr>
        <w:t>3.2运行期主要污染源及治理措施</w:t>
      </w:r>
      <w:bookmarkEnd w:id="145"/>
      <w:bookmarkEnd w:id="146"/>
      <w:bookmarkEnd w:id="147"/>
      <w:bookmarkEnd w:id="148"/>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bookmarkStart w:id="149" w:name="_Toc497001461"/>
      <w:bookmarkStart w:id="150" w:name="_Toc496979024"/>
      <w:bookmarkStart w:id="151" w:name="_Toc8524"/>
      <w:bookmarkStart w:id="152" w:name="_Toc8094"/>
      <w:bookmarkStart w:id="153" w:name="_Toc3932"/>
      <w:bookmarkStart w:id="154" w:name="_Toc3760"/>
      <w:r>
        <w:rPr>
          <w:rFonts w:hint="default" w:ascii="Times New Roman" w:hAnsi="Times New Roman" w:eastAsia="宋体" w:cs="Times New Roman"/>
          <w:color w:val="000000" w:themeColor="text1"/>
          <w14:textFill>
            <w14:solidFill>
              <w14:schemeClr w14:val="tx1"/>
            </w14:solidFill>
          </w14:textFill>
        </w:rPr>
        <w:t>3.2.1废</w:t>
      </w:r>
      <w:bookmarkEnd w:id="149"/>
      <w:bookmarkEnd w:id="150"/>
      <w:r>
        <w:rPr>
          <w:rFonts w:hint="default" w:ascii="Times New Roman" w:hAnsi="Times New Roman" w:eastAsia="宋体" w:cs="Times New Roman"/>
          <w:color w:val="000000" w:themeColor="text1"/>
          <w14:textFill>
            <w14:solidFill>
              <w14:schemeClr w14:val="tx1"/>
            </w14:solidFill>
          </w14:textFill>
        </w:rPr>
        <w:t>气</w:t>
      </w:r>
      <w:bookmarkEnd w:id="151"/>
      <w:bookmarkEnd w:id="152"/>
      <w:bookmarkEnd w:id="153"/>
      <w:bookmarkEnd w:id="154"/>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olor w:val="000000" w:themeColor="text1"/>
          <w:spacing w:val="-6"/>
          <w:sz w:val="24"/>
          <w:szCs w:val="24"/>
          <w:lang w:val="zh-CN" w:eastAsia="zh-CN"/>
          <w14:textFill>
            <w14:solidFill>
              <w14:schemeClr w14:val="tx1"/>
            </w14:solidFill>
          </w14:textFill>
        </w:rPr>
        <w:t>本项目废气主要为造粒工序产生废气采取集气罩收集后由喷淋塔+二级活性炭吸附装置处理后、磨粉工序废气采取集气罩收集后由布袋除尘处理后由1根15m排气筒排放P1。</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color w:val="000000" w:themeColor="text1"/>
          <w:highlight w:val="none"/>
          <w14:textFill>
            <w14:solidFill>
              <w14:schemeClr w14:val="tx1"/>
            </w14:solidFill>
          </w14:textFill>
        </w:rPr>
      </w:pPr>
      <w:bookmarkStart w:id="155" w:name="_Toc18379"/>
      <w:bookmarkStart w:id="156" w:name="_Toc6473"/>
      <w:bookmarkStart w:id="157" w:name="_Toc22928"/>
      <w:bookmarkStart w:id="158" w:name="_Toc6853"/>
      <w:r>
        <w:rPr>
          <w:rFonts w:hint="default" w:ascii="Times New Roman" w:hAnsi="Times New Roman" w:eastAsia="宋体" w:cs="Times New Roman"/>
          <w:color w:val="000000" w:themeColor="text1"/>
          <w:highlight w:val="none"/>
          <w14:textFill>
            <w14:solidFill>
              <w14:schemeClr w14:val="tx1"/>
            </w14:solidFill>
          </w14:textFill>
        </w:rPr>
        <w:t>3.2.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highlight w:val="none"/>
          <w14:textFill>
            <w14:solidFill>
              <w14:schemeClr w14:val="tx1"/>
            </w14:solidFill>
          </w14:textFill>
        </w:rPr>
        <w:t>废水</w:t>
      </w:r>
      <w:bookmarkEnd w:id="155"/>
      <w:bookmarkEnd w:id="156"/>
      <w:bookmarkEnd w:id="157"/>
      <w:bookmarkEnd w:id="158"/>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000000" w:themeColor="text1"/>
          <w:sz w:val="24"/>
          <w:szCs w:val="24"/>
          <w:lang w:val="zh-CN" w:eastAsia="zh-CN"/>
          <w14:textFill>
            <w14:solidFill>
              <w14:schemeClr w14:val="tx1"/>
            </w14:solidFill>
          </w14:textFill>
        </w:rPr>
      </w:pPr>
      <w:bookmarkStart w:id="159" w:name="_Toc30198"/>
      <w:bookmarkStart w:id="160" w:name="_Toc32691"/>
      <w:bookmarkStart w:id="161" w:name="_Toc571"/>
      <w:bookmarkStart w:id="162" w:name="_Toc18436"/>
      <w:bookmarkStart w:id="163" w:name="_Toc497001462"/>
      <w:bookmarkStart w:id="164" w:name="_Toc496979025"/>
      <w:r>
        <w:rPr>
          <w:rFonts w:hint="eastAsia" w:ascii="Times New Roman" w:hAnsi="Times New Roman" w:eastAsia="宋体" w:cs="Times New Roman"/>
          <w:color w:val="000000" w:themeColor="text1"/>
          <w:sz w:val="24"/>
          <w:szCs w:val="24"/>
          <w:lang w:val="zh-CN" w:eastAsia="zh-CN"/>
          <w14:textFill>
            <w14:solidFill>
              <w14:schemeClr w14:val="tx1"/>
            </w14:solidFill>
          </w14:textFill>
        </w:rPr>
        <w:t>无生产废水产生，生活污水泼洒厂区抑尘，厂区设化粪池，定期清掏，不外排</w:t>
      </w:r>
      <w:r>
        <w:rPr>
          <w:rFonts w:hint="eastAsia" w:ascii="Times New Roman" w:hAnsi="Times New Roman" w:cs="Times New Roman"/>
          <w:color w:val="000000" w:themeColor="text1"/>
          <w:sz w:val="24"/>
          <w:szCs w:val="24"/>
          <w:lang w:val="zh-CN" w:eastAsia="zh-CN"/>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3.2.</w:t>
      </w:r>
      <w:r>
        <w:rPr>
          <w:rFonts w:hint="eastAsia" w:ascii="Times New Roman" w:hAnsi="Times New Roman" w:eastAsia="宋体" w:cs="Times New Roman"/>
          <w:color w:val="000000" w:themeColor="text1"/>
          <w:lang w:val="en-US" w:eastAsia="zh-CN"/>
          <w14:textFill>
            <w14:solidFill>
              <w14:schemeClr w14:val="tx1"/>
            </w14:solidFill>
          </w14:textFill>
        </w:rPr>
        <w:t>3</w:t>
      </w:r>
      <w:r>
        <w:rPr>
          <w:rFonts w:hint="default" w:ascii="Times New Roman" w:hAnsi="Times New Roman" w:eastAsia="宋体" w:cs="Times New Roman"/>
          <w:color w:val="000000" w:themeColor="text1"/>
          <w14:textFill>
            <w14:solidFill>
              <w14:schemeClr w14:val="tx1"/>
            </w14:solidFill>
          </w14:textFill>
        </w:rPr>
        <w:t>噪声</w:t>
      </w:r>
      <w:bookmarkEnd w:id="159"/>
      <w:bookmarkEnd w:id="160"/>
      <w:bookmarkEnd w:id="161"/>
      <w:bookmarkEnd w:id="162"/>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heme="minorEastAsia"/>
          <w:color w:val="000000" w:themeColor="text1"/>
          <w:kern w:val="2"/>
          <w:sz w:val="24"/>
          <w:szCs w:val="24"/>
          <w:lang w:val="en-US" w:eastAsia="zh-CN" w:bidi="ar-SA"/>
          <w14:textFill>
            <w14:solidFill>
              <w14:schemeClr w14:val="tx1"/>
            </w14:solidFill>
          </w14:textFill>
        </w:rPr>
        <w:t>选用低噪声设备，设备加减振装置等措施，布局合理，高噪声设备远离厂界</w:t>
      </w:r>
      <w:r>
        <w:rPr>
          <w:rFonts w:hint="eastAsia" w:ascii="Times New Roman" w:hAnsi="Times New Roman" w:cstheme="minorEastAsia"/>
          <w:color w:val="000000" w:themeColor="text1"/>
          <w:kern w:val="2"/>
          <w:sz w:val="24"/>
          <w:szCs w:val="24"/>
          <w:lang w:val="en-US" w:eastAsia="zh-CN" w:bidi="ar-SA"/>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color w:val="000000" w:themeColor="text1"/>
          <w:highlight w:val="none"/>
          <w14:textFill>
            <w14:solidFill>
              <w14:schemeClr w14:val="tx1"/>
            </w14:solidFill>
          </w14:textFill>
        </w:rPr>
      </w:pPr>
      <w:bookmarkStart w:id="165" w:name="_Toc16750"/>
      <w:bookmarkStart w:id="166" w:name="_Toc5318"/>
      <w:bookmarkStart w:id="167" w:name="_Toc1473"/>
      <w:bookmarkStart w:id="168" w:name="_Toc2397"/>
      <w:r>
        <w:rPr>
          <w:rFonts w:hint="default" w:ascii="Times New Roman" w:hAnsi="Times New Roman" w:eastAsia="宋体" w:cs="Times New Roman"/>
          <w:color w:val="000000" w:themeColor="text1"/>
          <w:highlight w:val="none"/>
          <w14:textFill>
            <w14:solidFill>
              <w14:schemeClr w14:val="tx1"/>
            </w14:solidFill>
          </w14:textFill>
        </w:rPr>
        <w:t>3.2.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hint="default" w:ascii="Times New Roman" w:hAnsi="Times New Roman" w:eastAsia="宋体" w:cs="Times New Roman"/>
          <w:color w:val="000000" w:themeColor="text1"/>
          <w:highlight w:val="none"/>
          <w14:textFill>
            <w14:solidFill>
              <w14:schemeClr w14:val="tx1"/>
            </w14:solidFill>
          </w14:textFill>
        </w:rPr>
        <w:t>固体废物</w:t>
      </w:r>
      <w:bookmarkEnd w:id="165"/>
      <w:bookmarkEnd w:id="166"/>
      <w:bookmarkEnd w:id="167"/>
      <w:bookmarkEnd w:id="168"/>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olor w:val="000000" w:themeColor="text1"/>
          <w:sz w:val="24"/>
          <w:szCs w:val="24"/>
          <w:lang w:val="zh-CN"/>
          <w14:textFill>
            <w14:solidFill>
              <w14:schemeClr w14:val="tx1"/>
            </w14:solidFill>
          </w14:textFill>
        </w:rPr>
      </w:pPr>
      <w:bookmarkStart w:id="169" w:name="_Toc9823"/>
      <w:bookmarkStart w:id="170" w:name="_Toc4008"/>
      <w:r>
        <w:rPr>
          <w:rFonts w:hint="eastAsia" w:ascii="Times New Roman" w:hAnsi="Times New Roman" w:eastAsia="宋体"/>
          <w:color w:val="000000" w:themeColor="text1"/>
          <w:sz w:val="24"/>
          <w:szCs w:val="24"/>
          <w:lang w:val="zh-CN"/>
          <w14:textFill>
            <w14:solidFill>
              <w14:schemeClr w14:val="tx1"/>
            </w14:solidFill>
          </w14:textFill>
        </w:rPr>
        <w:t>一般固废：不合格产品和边角料回收利用，粉尘回收利用，职工生活垃圾收集由环卫部门统一处理。</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lang w:val="zh-CN"/>
          <w14:textFill>
            <w14:solidFill>
              <w14:schemeClr w14:val="tx1"/>
            </w14:solidFill>
          </w14:textFill>
        </w:rPr>
        <w:t>危险废物：废活性炭，专用容器收集密封后储存于危废暂存间，委托有资质的单位处理。</w:t>
      </w:r>
    </w:p>
    <w:bookmarkEnd w:id="163"/>
    <w:bookmarkEnd w:id="164"/>
    <w:bookmarkEnd w:id="169"/>
    <w:bookmarkEnd w:id="170"/>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171" w:name="_Toc19788"/>
      <w:bookmarkStart w:id="172" w:name="_Toc14411"/>
      <w:r>
        <w:rPr>
          <w:rFonts w:hint="default" w:ascii="Times New Roman" w:hAnsi="Times New Roman" w:eastAsia="宋体" w:cs="Times New Roman"/>
          <w:color w:val="000000" w:themeColor="text1"/>
          <w14:textFill>
            <w14:solidFill>
              <w14:schemeClr w14:val="tx1"/>
            </w14:solidFill>
          </w14:textFill>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173" w:name="_Toc25824"/>
      <w:bookmarkStart w:id="174" w:name="_Toc32061"/>
      <w:r>
        <w:rPr>
          <w:rFonts w:hint="default" w:ascii="Times New Roman" w:hAnsi="Times New Roman" w:eastAsia="宋体" w:cs="Times New Roman"/>
          <w:color w:val="000000" w:themeColor="text1"/>
          <w14:textFill>
            <w14:solidFill>
              <w14:schemeClr w14:val="tx1"/>
            </w14:solidFill>
          </w14:textFill>
        </w:rPr>
        <w:t>4环评主要结论及环评批复要求</w:t>
      </w:r>
      <w:bookmarkEnd w:id="171"/>
      <w:bookmarkEnd w:id="172"/>
      <w:bookmarkEnd w:id="173"/>
      <w:bookmarkEnd w:id="174"/>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360" w:lineRule="auto"/>
        <w:ind w:firstLine="480" w:firstLineChars="200"/>
        <w:jc w:val="left"/>
        <w:textAlignment w:val="auto"/>
        <w:rPr>
          <w:rFonts w:hint="eastAsia" w:ascii="Times New Roman" w:hAnsi="Times New Roman" w:eastAsia="宋体" w:cs="Times New Roman"/>
          <w:color w:val="000000" w:themeColor="text1"/>
          <w:kern w:val="0"/>
          <w:sz w:val="24"/>
          <w:szCs w:val="20"/>
          <w:u w:color="000000"/>
          <w:lang w:val="en-US" w:eastAsia="zh-CN"/>
          <w14:textFill>
            <w14:solidFill>
              <w14:schemeClr w14:val="tx1"/>
            </w14:solidFill>
          </w14:textFill>
        </w:rPr>
      </w:pPr>
      <w:bookmarkStart w:id="175" w:name="_Toc25204"/>
      <w:r>
        <w:rPr>
          <w:rFonts w:hint="eastAsia" w:ascii="Times New Roman" w:hAnsi="Times New Roman" w:eastAsia="宋体" w:cs="Times New Roman"/>
          <w:color w:val="000000" w:themeColor="text1"/>
          <w:kern w:val="0"/>
          <w:sz w:val="24"/>
          <w:szCs w:val="20"/>
          <w:u w:color="000000"/>
          <w:lang w:val="en-US" w:eastAsia="zh-CN"/>
          <w14:textFill>
            <w14:solidFill>
              <w14:schemeClr w14:val="tx1"/>
            </w14:solidFill>
          </w14:textFill>
        </w:rPr>
        <w:t>项目的开发建设符合国家产业政策，符合土地利用规划。项目落实环评提出的各项环境保护对策和措施，加强环保管理，污染物都能做到达标排放，项目外排污染物对周围环境影响较小，区域环境质量能够维持现状。从环保角度分析，项目建设运营是可行的。</w:t>
      </w:r>
    </w:p>
    <w:bookmarkEnd w:id="175"/>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76" w:name="_Toc3545"/>
      <w:bookmarkStart w:id="177" w:name="_Toc16482"/>
      <w:bookmarkStart w:id="178" w:name="_Toc27551"/>
      <w:bookmarkStart w:id="179" w:name="_Toc13890"/>
      <w:r>
        <w:rPr>
          <w:rFonts w:hint="default" w:ascii="Times New Roman" w:hAnsi="Times New Roman" w:eastAsia="宋体" w:cs="Times New Roman"/>
          <w:color w:val="000000" w:themeColor="text1"/>
          <w14:textFill>
            <w14:solidFill>
              <w14:schemeClr w14:val="tx1"/>
            </w14:solidFill>
          </w14:textFill>
        </w:rPr>
        <w:t>4.2审批部门审批意见</w:t>
      </w:r>
      <w:bookmarkEnd w:id="176"/>
      <w:bookmarkEnd w:id="177"/>
      <w:bookmarkEnd w:id="178"/>
      <w:bookmarkEnd w:id="17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olor w:val="000000" w:themeColor="text1"/>
          <w:sz w:val="24"/>
          <w:lang w:val="en-US" w:eastAsia="zh-CN"/>
          <w14:textFill>
            <w14:solidFill>
              <w14:schemeClr w14:val="tx1"/>
            </w14:solidFill>
          </w14:textFill>
        </w:rPr>
        <w:t>河北尚锐环保科技有限公司2021年6月编制完成了《沧州东合塑业有限公司塑料制品生产线技术改造项目环境影响报告表》，于2021年9月3日取得了沧县行政审批局的批复，审批文号为沧县行审（环）字【2021】076号。</w:t>
      </w:r>
    </w:p>
    <w:p>
      <w:pPr>
        <w:pStyle w:val="4"/>
        <w:rPr>
          <w:rFonts w:hint="default" w:ascii="Times New Roman" w:hAnsi="Times New Roman" w:eastAsia="宋体" w:cs="Times New Roman"/>
          <w:color w:val="000000" w:themeColor="text1"/>
          <w14:textFill>
            <w14:solidFill>
              <w14:schemeClr w14:val="tx1"/>
            </w14:solidFill>
          </w14:textFill>
        </w:rPr>
      </w:pPr>
      <w:bookmarkStart w:id="180" w:name="_Toc17668"/>
      <w:bookmarkStart w:id="181" w:name="_Toc21874"/>
      <w:bookmarkStart w:id="182" w:name="_Toc2514"/>
      <w:bookmarkStart w:id="183" w:name="_Toc29925"/>
      <w:r>
        <w:rPr>
          <w:rFonts w:hint="default" w:ascii="Times New Roman" w:hAnsi="Times New Roman" w:eastAsia="宋体" w:cs="Times New Roman"/>
          <w:color w:val="000000" w:themeColor="text1"/>
          <w14:textFill>
            <w14:solidFill>
              <w14:schemeClr w14:val="tx1"/>
            </w14:solidFill>
          </w14:textFill>
        </w:rPr>
        <w:t>4.3审批意见落实情况</w:t>
      </w:r>
      <w:bookmarkEnd w:id="180"/>
      <w:bookmarkEnd w:id="181"/>
      <w:bookmarkEnd w:id="182"/>
      <w:bookmarkEnd w:id="18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bookmarkStart w:id="184" w:name="_Toc497001471"/>
      <w:r>
        <w:rPr>
          <w:rFonts w:hint="default" w:ascii="Times New Roman" w:hAnsi="Times New Roman" w:eastAsia="宋体" w:cs="Times New Roman"/>
          <w:color w:val="000000" w:themeColor="text1"/>
          <w:sz w:val="24"/>
          <w:szCs w:val="24"/>
          <w14:textFill>
            <w14:solidFill>
              <w14:schemeClr w14:val="tx1"/>
            </w14:solidFill>
          </w14:textFill>
        </w:rPr>
        <w:t>审批意见落实情况详见下表4-1。</w:t>
      </w:r>
      <w:bookmarkEnd w:id="184"/>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表4-1环评审批意见落实情况</w:t>
      </w:r>
    </w:p>
    <w:tbl>
      <w:tblPr>
        <w:tblStyle w:val="21"/>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3"/>
              <w:rPr>
                <w:rFonts w:hint="default" w:ascii="Times New Roman" w:hAnsi="Times New Roman" w:eastAsia="宋体" w:cs="Times New Roman"/>
                <w:b/>
                <w:bCs w:val="0"/>
                <w:color w:val="000000" w:themeColor="text1"/>
                <w:spacing w:val="-10"/>
                <w:sz w:val="21"/>
                <w:szCs w:val="21"/>
                <w14:textFill>
                  <w14:solidFill>
                    <w14:schemeClr w14:val="tx1"/>
                  </w14:solidFill>
                </w14:textFill>
              </w:rPr>
            </w:pPr>
            <w:bookmarkStart w:id="185" w:name="_Toc26778"/>
            <w:r>
              <w:rPr>
                <w:rFonts w:hint="default" w:ascii="Times New Roman" w:hAnsi="Times New Roman" w:eastAsia="宋体" w:cs="Times New Roman"/>
                <w:color w:val="000000" w:themeColor="text1"/>
                <w:sz w:val="21"/>
                <w:szCs w:val="21"/>
                <w14:textFill>
                  <w14:solidFill>
                    <w14:schemeClr w14:val="tx1"/>
                  </w14:solidFill>
                </w14:textFill>
              </w:rPr>
              <w:br w:type="page"/>
            </w:r>
            <w:r>
              <w:rPr>
                <w:rFonts w:hint="default" w:ascii="Times New Roman" w:hAnsi="Times New Roman" w:eastAsia="宋体" w:cs="Times New Roman"/>
                <w:b/>
                <w:bCs w:val="0"/>
                <w:color w:val="000000" w:themeColor="text1"/>
                <w:spacing w:val="-10"/>
                <w:sz w:val="21"/>
                <w:szCs w:val="21"/>
                <w14:textFill>
                  <w14:solidFill>
                    <w14:schemeClr w14:val="tx1"/>
                  </w14:solidFill>
                </w14:textFill>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default" w:ascii="Times New Roman" w:hAnsi="Times New Roman" w:eastAsia="宋体" w:cs="Times New Roman"/>
                <w:b/>
                <w:bCs w:val="0"/>
                <w:color w:val="000000" w:themeColor="text1"/>
                <w:spacing w:val="-10"/>
                <w:sz w:val="21"/>
                <w:szCs w:val="21"/>
                <w14:textFill>
                  <w14:solidFill>
                    <w14:schemeClr w14:val="tx1"/>
                  </w14:solidFill>
                </w14:textFill>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default" w:ascii="Times New Roman" w:hAnsi="Times New Roman" w:eastAsia="宋体" w:cs="Times New Roman"/>
                <w:b/>
                <w:bCs w:val="0"/>
                <w:color w:val="000000" w:themeColor="text1"/>
                <w:spacing w:val="-10"/>
                <w:sz w:val="21"/>
                <w:szCs w:val="21"/>
                <w14:textFill>
                  <w14:solidFill>
                    <w14:schemeClr w14:val="tx1"/>
                  </w14:solidFill>
                </w14:textFill>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color w:val="000000" w:themeColor="text1"/>
                <w:spacing w:val="-10"/>
                <w:sz w:val="21"/>
                <w:szCs w:val="21"/>
                <w14:textFill>
                  <w14:solidFill>
                    <w14:schemeClr w14:val="tx1"/>
                  </w14:solidFill>
                </w14:textFill>
              </w:rPr>
            </w:pPr>
            <w:r>
              <w:rPr>
                <w:rFonts w:hint="default" w:ascii="Times New Roman" w:hAnsi="Times New Roman" w:eastAsia="宋体" w:cs="Times New Roman"/>
                <w:color w:val="000000" w:themeColor="text1"/>
                <w:spacing w:val="-10"/>
                <w:sz w:val="21"/>
                <w:szCs w:val="21"/>
                <w14:textFill>
                  <w14:solidFill>
                    <w14:schemeClr w14:val="tx1"/>
                  </w14:solidFill>
                </w14:textFill>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建设单位：</w:t>
            </w:r>
            <w:r>
              <w:rPr>
                <w:rFonts w:hint="eastAsia" w:ascii="Times New Roman" w:hAnsi="Times New Roman" w:cs="Times New Roman"/>
                <w:color w:val="000000" w:themeColor="text1"/>
                <w:kern w:val="0"/>
                <w:sz w:val="21"/>
                <w:szCs w:val="21"/>
                <w:lang w:val="en-US" w:eastAsia="zh-CN"/>
                <w14:textFill>
                  <w14:solidFill>
                    <w14:schemeClr w14:val="tx1"/>
                  </w14:solidFill>
                </w14:textFill>
              </w:rPr>
              <w:t>沧州东合塑业有限公司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建设地点：</w:t>
            </w:r>
            <w:r>
              <w:rPr>
                <w:rFonts w:hint="default" w:ascii="Times New Roman" w:hAnsi="Times New Roman" w:eastAsia="宋体" w:cs="Times New Roman"/>
                <w:color w:val="000000" w:themeColor="text1"/>
                <w:spacing w:val="0"/>
                <w:kern w:val="0"/>
                <w:sz w:val="21"/>
                <w:szCs w:val="21"/>
                <w:lang w:val="en-US" w:eastAsia="zh-CN"/>
                <w14:textFill>
                  <w14:solidFill>
                    <w14:schemeClr w14:val="tx1"/>
                  </w14:solidFill>
                </w14:textFill>
              </w:rPr>
              <w:t>沧县风化店乡曹庄子村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总投资2万元，其中环保技资2万元，无新增用地面积。</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zh-CN" w:eastAsia="zh-CN"/>
                <w14:textFill>
                  <w14:solidFill>
                    <w14:schemeClr w14:val="tx1"/>
                  </w14:solidFill>
                </w14:textFill>
              </w:rPr>
              <w:t>废气</w:t>
            </w:r>
            <w:r>
              <w:rPr>
                <w:rFonts w:hint="eastAsia" w:ascii="Times New Roman" w:hAnsi="Times New Roman" w:cs="Times New Roman"/>
                <w:color w:val="000000" w:themeColor="text1"/>
                <w:sz w:val="21"/>
                <w:szCs w:val="21"/>
                <w:lang w:val="zh-CN" w:eastAsia="zh-CN"/>
                <w14:textFill>
                  <w14:solidFill>
                    <w14:schemeClr w14:val="tx1"/>
                  </w14:solidFill>
                </w14:textFill>
              </w:rPr>
              <w:t>：</w:t>
            </w:r>
            <w:r>
              <w:rPr>
                <w:rFonts w:hint="eastAsia" w:ascii="Times New Roman" w:hAnsi="Times New Roman" w:eastAsia="宋体" w:cs="Times New Roman"/>
                <w:color w:val="000000" w:themeColor="text1"/>
                <w:sz w:val="21"/>
                <w:szCs w:val="21"/>
                <w:lang w:val="zh-CN" w:eastAsia="zh-CN"/>
                <w14:textFill>
                  <w14:solidFill>
                    <w14:schemeClr w14:val="tx1"/>
                  </w14:solidFill>
                </w14:textFill>
              </w:rPr>
              <w:t>造粒工序产生的非甲烷总烃、氯化氢、氯乙烯，采用集气罩收集，废气经集气罩收集后+喷淋塔+二级活性炭吸附装置”进行处理，处理后经1根15排气筒排放。磨粉工序产生的颗粒物经布袋除尘器（机器自带）处理后+15m排气筒排放。排放浓度均满足《烧碱、聚氯乙烯工业污染物排放标准》（GB15581-2016）中表4大气污染物特别排放浓度限值：非甲烷总烃排放浓度和去除效率满足《烧碱、聚氯乙烯工业污染物排放标准》（GB15581-2016）表4中大气污染物特别排放浓度限值及《工业企业挥发性有机物排放控制标准》（DB13/2322-2016）表1中有机化工业去除率要求。未被收集的非甲烷总烃、氯化氢、氯乙烯、颗粒物在车间内无组织排放。满足《工业企业挥发性有机物排放控制标准》（DB13/2322-2016）表2中企业边界其他企业大气污染物浓度限值要求。满足《挥发性有机物无组织排放控制标准》（GB37822-2019）附录A厂区内V0C无组织特别排放限值要求。满足《烧碱、聚氯乙烯工业污染物排放标准》（GB15581-2016）中表5企业边界大气污染物浓度限值。满足《大气污染物综合排放标准》（GB16297-1996）表2新污染源大气污染物排放限值。</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废水：本项目喷淋塔用水循环使用，无生产废水产生。生活废水直接泼洒厂区抑尘，厂内设置卫生化粪池，定期清掏，不外排。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6</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固废：修边工序边角料、原检验工序产生的不合格品、新扩建项目产生的不合格品、边角料、新扩项目粉尘收集回用：生活垃圾收集后由环卫部门统一处理：废活性炭收集后存放于厂内危废暂存间，定期交由有资质单位集中处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7</w:t>
            </w:r>
          </w:p>
        </w:tc>
        <w:tc>
          <w:tcPr>
            <w:tcW w:w="5749" w:type="dxa"/>
            <w:tcBorders>
              <w:tl2br w:val="nil"/>
              <w:tr2bl w:val="nil"/>
            </w:tcBorders>
            <w:vAlign w:val="center"/>
          </w:tcPr>
          <w:p>
            <w:pPr>
              <w:pStyle w:val="6"/>
              <w:ind w:left="0" w:leftChars="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噪声：生产过程中混料机、造粒机组、磨粉机等设备运行产生噪声。本项目通过采取设置减振垫，车间隔声降噪措施，厂界噪声满足《工业企业厂界环境噪声排放标准》（GB12348-2008）中2类标准的要求。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bl>
    <w:p>
      <w:pPr>
        <w:rPr>
          <w:rFonts w:hint="default" w:ascii="Times New Roman" w:hAnsi="Times New Roman" w:eastAsia="宋体" w:cs="Times New Roman"/>
          <w:color w:val="000000" w:themeColor="text1"/>
          <w14:textFill>
            <w14:solidFill>
              <w14:schemeClr w14:val="tx1"/>
            </w14:solidFill>
          </w14:textFill>
        </w:rPr>
      </w:pPr>
      <w:bookmarkStart w:id="186" w:name="_Toc21101"/>
      <w:bookmarkStart w:id="187" w:name="_Toc5137"/>
      <w:bookmarkStart w:id="188" w:name="_Toc26718"/>
      <w:r>
        <w:rPr>
          <w:rFonts w:hint="default" w:ascii="Times New Roman" w:hAnsi="Times New Roman" w:eastAsia="宋体" w:cs="Times New Roman"/>
          <w:color w:val="000000" w:themeColor="text1"/>
          <w14:textFill>
            <w14:solidFill>
              <w14:schemeClr w14:val="tx1"/>
            </w14:solidFill>
          </w14:textFill>
        </w:rPr>
        <w:br w:type="page"/>
      </w:r>
    </w:p>
    <w:p>
      <w:pPr>
        <w:pStyle w:val="3"/>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5验收评价标准</w:t>
      </w:r>
      <w:bookmarkEnd w:id="185"/>
      <w:bookmarkEnd w:id="186"/>
      <w:bookmarkEnd w:id="187"/>
      <w:bookmarkEnd w:id="188"/>
    </w:p>
    <w:p>
      <w:pPr>
        <w:pStyle w:val="4"/>
        <w:rPr>
          <w:rFonts w:hint="default" w:ascii="Times New Roman" w:hAnsi="Times New Roman" w:eastAsia="宋体" w:cs="Times New Roman"/>
          <w:color w:val="000000" w:themeColor="text1"/>
          <w14:textFill>
            <w14:solidFill>
              <w14:schemeClr w14:val="tx1"/>
            </w14:solidFill>
          </w14:textFill>
        </w:rPr>
      </w:pPr>
      <w:bookmarkStart w:id="189" w:name="_Toc26520"/>
      <w:bookmarkStart w:id="190" w:name="_Toc24574"/>
      <w:bookmarkStart w:id="191" w:name="_Toc21113"/>
      <w:bookmarkStart w:id="192" w:name="_Toc14578"/>
      <w:r>
        <w:rPr>
          <w:rFonts w:hint="default" w:ascii="Times New Roman" w:hAnsi="Times New Roman" w:eastAsia="宋体" w:cs="Times New Roman"/>
          <w:color w:val="000000" w:themeColor="text1"/>
          <w14:textFill>
            <w14:solidFill>
              <w14:schemeClr w14:val="tx1"/>
            </w14:solidFill>
          </w14:textFill>
        </w:rPr>
        <w:t>5.1污染物排放标准</w:t>
      </w:r>
      <w:bookmarkEnd w:id="189"/>
      <w:bookmarkEnd w:id="190"/>
      <w:bookmarkEnd w:id="191"/>
      <w:bookmarkEnd w:id="192"/>
    </w:p>
    <w:p>
      <w:pPr>
        <w:pStyle w:val="5"/>
        <w:rPr>
          <w:rFonts w:hint="default" w:ascii="Times New Roman" w:hAnsi="Times New Roman" w:eastAsia="宋体" w:cs="Times New Roman"/>
          <w:color w:val="000000" w:themeColor="text1"/>
          <w14:textFill>
            <w14:solidFill>
              <w14:schemeClr w14:val="tx1"/>
            </w14:solidFill>
          </w14:textFill>
        </w:rPr>
      </w:pPr>
      <w:bookmarkStart w:id="193" w:name="_Toc496979035"/>
      <w:bookmarkStart w:id="194" w:name="_Toc497001474"/>
      <w:bookmarkStart w:id="195" w:name="_Toc11116"/>
      <w:bookmarkStart w:id="196" w:name="_Toc23230"/>
      <w:bookmarkStart w:id="197" w:name="_Toc14938"/>
      <w:bookmarkStart w:id="198" w:name="_Toc8485"/>
      <w:r>
        <w:rPr>
          <w:rFonts w:hint="default" w:ascii="Times New Roman" w:hAnsi="Times New Roman" w:eastAsia="宋体" w:cs="Times New Roman"/>
          <w:color w:val="000000" w:themeColor="text1"/>
          <w14:textFill>
            <w14:solidFill>
              <w14:schemeClr w14:val="tx1"/>
            </w14:solidFill>
          </w14:textFill>
        </w:rPr>
        <w:t>5.1.1</w:t>
      </w:r>
      <w:bookmarkEnd w:id="193"/>
      <w:bookmarkEnd w:id="194"/>
      <w:r>
        <w:rPr>
          <w:rFonts w:hint="default" w:ascii="Times New Roman" w:hAnsi="Times New Roman" w:eastAsia="宋体" w:cs="Times New Roman"/>
          <w:color w:val="000000" w:themeColor="text1"/>
          <w14:textFill>
            <w14:solidFill>
              <w14:schemeClr w14:val="tx1"/>
            </w14:solidFill>
          </w14:textFill>
        </w:rPr>
        <w:t>废气</w:t>
      </w:r>
      <w:bookmarkEnd w:id="195"/>
      <w:bookmarkEnd w:id="196"/>
      <w:bookmarkEnd w:id="197"/>
      <w:bookmarkEnd w:id="198"/>
    </w:p>
    <w:p>
      <w:pPr>
        <w:pStyle w:val="5"/>
        <w:ind w:firstLine="480" w:firstLineChars="200"/>
        <w:rPr>
          <w:rFonts w:hint="eastAsia" w:ascii="Times New Roman" w:hAnsi="Times New Roman" w:eastAsia="宋体" w:cs="Times New Roman"/>
          <w:color w:val="000000" w:themeColor="text1"/>
          <w:lang w:eastAsia="zh-CN"/>
          <w14:textFill>
            <w14:solidFill>
              <w14:schemeClr w14:val="tx1"/>
            </w14:solidFill>
          </w14:textFill>
        </w:rPr>
      </w:pPr>
      <w:bookmarkStart w:id="199" w:name="_Toc15961"/>
      <w:bookmarkStart w:id="200" w:name="_Toc29236"/>
      <w:bookmarkStart w:id="201" w:name="_Toc29912"/>
      <w:r>
        <w:rPr>
          <w:rFonts w:hint="eastAsia" w:ascii="Times New Roman" w:hAnsi="Times New Roman" w:eastAsia="宋体" w:cs="Times New Roman"/>
          <w:color w:val="000000" w:themeColor="text1"/>
          <w:lang w:eastAsia="zh-CN"/>
          <w14:textFill>
            <w14:solidFill>
              <w14:schemeClr w14:val="tx1"/>
            </w14:solidFill>
          </w14:textFill>
        </w:rPr>
        <w:t>废气执行标准见表</w:t>
      </w:r>
      <w:r>
        <w:rPr>
          <w:rFonts w:hint="eastAsia" w:ascii="Times New Roman" w:hAnsi="Times New Roman" w:eastAsia="宋体" w:cs="Times New Roman"/>
          <w:color w:val="000000" w:themeColor="text1"/>
          <w:lang w:val="en-US" w:eastAsia="zh-CN"/>
          <w14:textFill>
            <w14:solidFill>
              <w14:schemeClr w14:val="tx1"/>
            </w14:solidFill>
          </w14:textFill>
        </w:rPr>
        <w:t>5-1。</w:t>
      </w:r>
      <w:bookmarkEnd w:id="199"/>
      <w:bookmarkEnd w:id="200"/>
      <w:bookmarkEnd w:id="20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表5-1废气执行标准</w:t>
      </w:r>
    </w:p>
    <w:tbl>
      <w:tblPr>
        <w:tblStyle w:val="21"/>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44"/>
        <w:gridCol w:w="3018"/>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344" w:type="dxa"/>
            <w:tcBorders>
              <w:tl2br w:val="nil"/>
              <w:tr2bl w:val="nil"/>
            </w:tcBorders>
            <w:vAlign w:val="center"/>
          </w:tcPr>
          <w:p>
            <w:pPr>
              <w:spacing w:line="24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eastAsia" w:ascii="Times New Roman" w:hAnsi="Times New Roman" w:eastAsia="宋体" w:cs="Times New Roman"/>
                <w:b/>
                <w:bCs w:val="0"/>
                <w:color w:val="000000" w:themeColor="text1"/>
                <w:spacing w:val="-10"/>
                <w:sz w:val="21"/>
                <w:szCs w:val="21"/>
                <w:lang w:eastAsia="zh-CN"/>
                <w14:textFill>
                  <w14:solidFill>
                    <w14:schemeClr w14:val="tx1"/>
                  </w14:solidFill>
                </w14:textFill>
              </w:rPr>
              <w:t>污染</w:t>
            </w:r>
            <w:r>
              <w:rPr>
                <w:rFonts w:hint="default" w:ascii="Times New Roman" w:hAnsi="Times New Roman" w:eastAsia="宋体" w:cs="Times New Roman"/>
                <w:b/>
                <w:bCs w:val="0"/>
                <w:color w:val="000000" w:themeColor="text1"/>
                <w:spacing w:val="-10"/>
                <w:sz w:val="21"/>
                <w:szCs w:val="21"/>
                <w14:textFill>
                  <w14:solidFill>
                    <w14:schemeClr w14:val="tx1"/>
                  </w14:solidFill>
                </w14:textFill>
              </w:rPr>
              <w:t>源</w:t>
            </w:r>
          </w:p>
        </w:tc>
        <w:tc>
          <w:tcPr>
            <w:tcW w:w="3018"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标准值</w:t>
            </w:r>
          </w:p>
        </w:tc>
        <w:tc>
          <w:tcPr>
            <w:tcW w:w="414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000000" w:themeColor="text1"/>
                <w:spacing w:val="-10"/>
                <w:sz w:val="21"/>
                <w:szCs w:val="21"/>
                <w:lang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造粒工序</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非甲烷总烃最高允许排放浓度：20mg/m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非甲烷总烃去除效率90%</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000000" w:themeColor="text1"/>
                <w:sz w:val="21"/>
                <w:szCs w:val="21"/>
                <w:lang w:val="en-US" w:eastAsia="zh-CN"/>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《烧碱、聚氯乙烯工业污染物排放标准》（GB15581-2016）表4中大气污染物特别排放浓度限值及《工业企业挥发性有机物排放控制标准》（DB13/2322-2016）表1中有机化工业去除率要求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8"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cs="Times New Roman"/>
                <w:color w:val="000000" w:themeColor="text1"/>
                <w:sz w:val="21"/>
                <w:szCs w:val="21"/>
                <w:lang w:eastAsia="zh-CN"/>
                <w14:textFill>
                  <w14:solidFill>
                    <w14:schemeClr w14:val="tx1"/>
                  </w14:solidFill>
                </w14:textFill>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氯化氢</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最高允许排放浓度：20mg/m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《烧碱、聚氯乙烯工业污染物排放标准》（GB15581-2016）中表4大气污染物特别排放浓度限值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2"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000000" w:themeColor="text1"/>
                <w:sz w:val="21"/>
                <w:szCs w:val="21"/>
                <w:lang w:val="en-US" w:eastAsia="zh-CN"/>
                <w14:textFill>
                  <w14:solidFill>
                    <w14:schemeClr w14:val="tx1"/>
                  </w14:solidFill>
                </w14:textFill>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氯乙烯</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最高允许排放浓度：10mg/m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000000" w:themeColor="text1"/>
                <w:sz w:val="21"/>
                <w:szCs w:val="2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restart"/>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厂界无组织废气</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非甲烷总烃：边界限值：2.0mg/m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eastAsia="宋体" w:cs="Times New Roman"/>
                <w:b w:val="0"/>
                <w:bCs/>
                <w:color w:val="000000" w:themeColor="text1"/>
                <w:kern w:val="2"/>
                <w:sz w:val="21"/>
                <w:szCs w:val="21"/>
                <w:lang w:val="en-US" w:eastAsia="zh-CN" w:bidi="ar-SA"/>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《工业企业挥发性有机物排放控制标准》（DB13/2322-2016）表2中其他企业边界大气污染物非甲烷总烃浓度限值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监控点处1h平均浓度值：6mg/m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监控点处任意一次浓度值：20mg/m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000000" w:themeColor="text1"/>
                <w:sz w:val="21"/>
                <w:szCs w:val="21"/>
                <w:lang w:val="en-US" w:eastAsia="zh-CN"/>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《挥发性有机物无组织排放控制标准》</w:t>
            </w:r>
          </w:p>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eastAsia="宋体" w:cs="Times New Roman"/>
                <w:b w:val="0"/>
                <w:bCs/>
                <w:color w:val="000000" w:themeColor="text1"/>
                <w:kern w:val="2"/>
                <w:sz w:val="21"/>
                <w:szCs w:val="21"/>
                <w:lang w:val="en-US" w:eastAsia="zh-CN" w:bidi="ar-SA"/>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（GB37822-2019）表A.1 厂区内 VOCs 无组织排放限值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1"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氯化氢：0.2mg/m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000000" w:themeColor="text1"/>
                <w:sz w:val="21"/>
                <w:szCs w:val="21"/>
                <w:lang w:val="en-US" w:eastAsia="zh-CN"/>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《烧碱、聚氯乙烯工业污染物排放标准》（GB15581-2016）中表5企业边界大气污染物浓度限值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9"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氯乙烯：0.2mg/m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000000" w:themeColor="text1"/>
                <w:sz w:val="21"/>
                <w:szCs w:val="21"/>
                <w:lang w:val="en-US" w:eastAsia="zh-CN"/>
                <w14:textFill>
                  <w14:solidFill>
                    <w14:schemeClr w14:val="tx1"/>
                  </w14:solidFill>
                </w14:textFill>
              </w:rPr>
            </w:pPr>
          </w:p>
        </w:tc>
      </w:tr>
    </w:tbl>
    <w:p>
      <w:pPr>
        <w:pStyle w:val="5"/>
        <w:rPr>
          <w:rFonts w:hint="default" w:ascii="Times New Roman" w:hAnsi="Times New Roman" w:eastAsia="宋体" w:cs="Times New Roman"/>
          <w:color w:val="000000" w:themeColor="text1"/>
          <w14:textFill>
            <w14:solidFill>
              <w14:schemeClr w14:val="tx1"/>
            </w14:solidFill>
          </w14:textFill>
        </w:rPr>
      </w:pPr>
      <w:bookmarkStart w:id="202" w:name="_Toc5747"/>
      <w:bookmarkStart w:id="203" w:name="_Toc27196"/>
      <w:bookmarkStart w:id="204" w:name="_Toc12396"/>
      <w:bookmarkStart w:id="205" w:name="_Toc20210"/>
      <w:bookmarkStart w:id="206" w:name="_Toc497001476"/>
      <w:bookmarkStart w:id="207" w:name="_Toc496979037"/>
      <w:r>
        <w:rPr>
          <w:rFonts w:hint="default" w:ascii="Times New Roman" w:hAnsi="Times New Roman" w:eastAsia="宋体" w:cs="Times New Roman"/>
          <w:color w:val="000000" w:themeColor="text1"/>
          <w14:textFill>
            <w14:solidFill>
              <w14:schemeClr w14:val="tx1"/>
            </w14:solidFill>
          </w14:textFill>
        </w:rPr>
        <w:t>5.1.2噪声</w:t>
      </w:r>
      <w:bookmarkEnd w:id="202"/>
      <w:bookmarkEnd w:id="203"/>
      <w:bookmarkEnd w:id="204"/>
      <w:bookmarkEnd w:id="205"/>
      <w:bookmarkEnd w:id="206"/>
      <w:bookmarkEnd w:id="207"/>
    </w:p>
    <w:p>
      <w:pPr>
        <w:spacing w:line="480" w:lineRule="atLeast"/>
        <w:ind w:firstLine="480" w:firstLineChars="200"/>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运营期噪声执行《工业企业厂界环境噪声排放标准》（GB12348-2008）</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类</w:t>
      </w:r>
      <w:r>
        <w:rPr>
          <w:rFonts w:hint="eastAsia" w:ascii="Times New Roman" w:hAnsi="Times New Roman" w:cs="Times New Roman"/>
          <w:color w:val="000000" w:themeColor="text1"/>
          <w:sz w:val="24"/>
          <w:szCs w:val="24"/>
          <w:lang w:val="en-US" w:eastAsia="zh-CN"/>
          <w14:textFill>
            <w14:solidFill>
              <w14:schemeClr w14:val="tx1"/>
            </w14:solidFill>
          </w14:textFill>
        </w:rPr>
        <w:t>4类</w:t>
      </w:r>
      <w:r>
        <w:rPr>
          <w:rFonts w:hint="default" w:ascii="Times New Roman" w:hAnsi="Times New Roman" w:eastAsia="宋体" w:cs="Times New Roman"/>
          <w:color w:val="000000" w:themeColor="text1"/>
          <w:sz w:val="24"/>
          <w:szCs w:val="24"/>
          <w14:textFill>
            <w14:solidFill>
              <w14:schemeClr w14:val="tx1"/>
            </w14:solidFill>
          </w14:textFill>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表5-2厂界噪声排放标准</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6"/>
              <w:spacing w:line="300" w:lineRule="exact"/>
              <w:ind w:firstLineChars="0"/>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环境要素</w:t>
            </w:r>
          </w:p>
        </w:tc>
        <w:tc>
          <w:tcPr>
            <w:tcW w:w="2101"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类别</w:t>
            </w:r>
          </w:p>
        </w:tc>
        <w:tc>
          <w:tcPr>
            <w:tcW w:w="1405"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时段</w:t>
            </w:r>
          </w:p>
        </w:tc>
        <w:tc>
          <w:tcPr>
            <w:tcW w:w="1843"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标准值</w:t>
            </w:r>
          </w:p>
        </w:tc>
        <w:tc>
          <w:tcPr>
            <w:tcW w:w="1565"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厂界环境</w:t>
            </w:r>
          </w:p>
        </w:tc>
        <w:tc>
          <w:tcPr>
            <w:tcW w:w="2101" w:type="dxa"/>
            <w:vMerge w:val="restart"/>
            <w:vAlign w:val="center"/>
          </w:tcPr>
          <w:p>
            <w:pPr>
              <w:spacing w:line="300" w:lineRule="exact"/>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类</w:t>
            </w:r>
          </w:p>
        </w:tc>
        <w:tc>
          <w:tcPr>
            <w:tcW w:w="1405" w:type="dxa"/>
            <w:vAlign w:val="center"/>
          </w:tcPr>
          <w:p>
            <w:pPr>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昼间</w:t>
            </w:r>
          </w:p>
        </w:tc>
        <w:tc>
          <w:tcPr>
            <w:tcW w:w="1843" w:type="dxa"/>
            <w:vAlign w:val="center"/>
          </w:tcPr>
          <w:p>
            <w:pPr>
              <w:spacing w:line="300" w:lineRule="exact"/>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60</w:t>
            </w:r>
          </w:p>
        </w:tc>
        <w:tc>
          <w:tcPr>
            <w:tcW w:w="1565" w:type="dxa"/>
            <w:vMerge w:val="restart"/>
            <w:vAlign w:val="center"/>
          </w:tcPr>
          <w:p>
            <w:pPr>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color w:val="000000" w:themeColor="text1"/>
                <w:szCs w:val="21"/>
                <w14:textFill>
                  <w14:solidFill>
                    <w14:schemeClr w14:val="tx1"/>
                  </w14:solidFill>
                </w14:textFill>
              </w:rPr>
            </w:pPr>
          </w:p>
        </w:tc>
        <w:tc>
          <w:tcPr>
            <w:tcW w:w="2101" w:type="dxa"/>
            <w:vMerge w:val="continue"/>
            <w:vAlign w:val="center"/>
          </w:tcPr>
          <w:p>
            <w:pPr>
              <w:spacing w:line="300" w:lineRule="exact"/>
              <w:jc w:val="center"/>
              <w:rPr>
                <w:rFonts w:hint="eastAsia" w:ascii="Times New Roman" w:hAnsi="Times New Roman" w:cs="Times New Roman"/>
                <w:color w:val="000000" w:themeColor="text1"/>
                <w:szCs w:val="21"/>
                <w:lang w:val="en-US" w:eastAsia="zh-CN"/>
                <w14:textFill>
                  <w14:solidFill>
                    <w14:schemeClr w14:val="tx1"/>
                  </w14:solidFill>
                </w14:textFill>
              </w:rPr>
            </w:pPr>
          </w:p>
        </w:tc>
        <w:tc>
          <w:tcPr>
            <w:tcW w:w="1405" w:type="dxa"/>
            <w:vAlign w:val="center"/>
          </w:tcPr>
          <w:p>
            <w:pPr>
              <w:spacing w:line="30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夜间</w:t>
            </w:r>
          </w:p>
        </w:tc>
        <w:tc>
          <w:tcPr>
            <w:tcW w:w="1843" w:type="dxa"/>
            <w:vAlign w:val="center"/>
          </w:tcPr>
          <w:p>
            <w:pPr>
              <w:spacing w:line="300" w:lineRule="exact"/>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50</w:t>
            </w:r>
          </w:p>
        </w:tc>
        <w:tc>
          <w:tcPr>
            <w:tcW w:w="1565" w:type="dxa"/>
            <w:vMerge w:val="continue"/>
            <w:vAlign w:val="center"/>
          </w:tcPr>
          <w:p>
            <w:pPr>
              <w:spacing w:line="300" w:lineRule="exact"/>
              <w:jc w:val="center"/>
              <w:rPr>
                <w:rFonts w:hint="default" w:ascii="Times New Roman" w:hAnsi="Times New Roman" w:eastAsia="宋体" w:cs="Times New Roman"/>
                <w:bCs/>
                <w:color w:val="000000" w:themeColor="text1"/>
                <w:szCs w:val="21"/>
                <w14:textFill>
                  <w14:solidFill>
                    <w14:schemeClr w14:val="tx1"/>
                  </w14:solidFill>
                </w14:textFill>
              </w:rPr>
            </w:pPr>
          </w:p>
        </w:tc>
      </w:tr>
    </w:tbl>
    <w:p>
      <w:pPr>
        <w:pStyle w:val="4"/>
        <w:rPr>
          <w:rFonts w:ascii="Times New Roman" w:hAnsi="Times New Roman" w:eastAsia="宋体"/>
          <w:color w:val="000000" w:themeColor="text1"/>
          <w14:textFill>
            <w14:solidFill>
              <w14:schemeClr w14:val="tx1"/>
            </w14:solidFill>
          </w14:textFill>
        </w:rPr>
      </w:pPr>
      <w:bookmarkStart w:id="208" w:name="_Toc18932"/>
      <w:bookmarkStart w:id="209" w:name="_Toc16968"/>
      <w:bookmarkStart w:id="210" w:name="_Toc497001478"/>
      <w:bookmarkStart w:id="211" w:name="_Toc14398"/>
      <w:bookmarkStart w:id="212" w:name="_Toc26833"/>
      <w:r>
        <w:rPr>
          <w:rFonts w:hint="default" w:ascii="Times New Roman" w:hAnsi="Times New Roman" w:eastAsia="宋体" w:cs="Times New Roman"/>
          <w:color w:val="000000" w:themeColor="text1"/>
          <w14:textFill>
            <w14:solidFill>
              <w14:schemeClr w14:val="tx1"/>
            </w14:solidFill>
          </w14:textFill>
        </w:rPr>
        <w:t>5.2</w:t>
      </w:r>
      <w:r>
        <w:rPr>
          <w:rFonts w:hint="eastAsia" w:ascii="Times New Roman" w:hAnsi="Times New Roman" w:eastAsia="宋体"/>
          <w:color w:val="000000" w:themeColor="text1"/>
          <w14:textFill>
            <w14:solidFill>
              <w14:schemeClr w14:val="tx1"/>
            </w14:solidFill>
          </w14:textFill>
        </w:rPr>
        <w:t>总量控制指标</w:t>
      </w:r>
      <w:bookmarkEnd w:id="208"/>
      <w:bookmarkEnd w:id="209"/>
      <w:bookmarkEnd w:id="210"/>
      <w:bookmarkEnd w:id="211"/>
    </w:p>
    <w:p>
      <w:pPr>
        <w:spacing w:line="480" w:lineRule="atLeast"/>
        <w:ind w:firstLine="480" w:firstLineChars="200"/>
        <w:rPr>
          <w:rFonts w:hint="eastAsia" w:ascii="Times New Roman" w:hAnsi="Times New Roman" w:eastAsia="宋体"/>
          <w:color w:val="000000" w:themeColor="text1"/>
          <w:lang w:eastAsia="zh-CN"/>
          <w14:textFill>
            <w14:solidFill>
              <w14:schemeClr w14:val="tx1"/>
            </w14:solidFill>
          </w14:textFill>
        </w:rPr>
      </w:pPr>
      <w:r>
        <w:rPr>
          <w:rFonts w:hint="eastAsia" w:ascii="Times New Roman" w:hAnsi="Times New Roman" w:eastAsia="宋体"/>
          <w:color w:val="000000" w:themeColor="text1"/>
          <w:sz w:val="24"/>
          <w:lang w:eastAsia="zh-CN"/>
          <w14:textFill>
            <w14:solidFill>
              <w14:schemeClr w14:val="tx1"/>
            </w14:solidFill>
          </w14:textFill>
        </w:rPr>
        <w:t>根据《“十三五”生态环境保护规划》（国发[2016]65号），“十三五”期间国家对COD、氨氮、氮氧化物、SO</w:t>
      </w:r>
      <w:r>
        <w:rPr>
          <w:rFonts w:hint="eastAsia" w:ascii="Times New Roman" w:hAnsi="Times New Roman" w:eastAsia="宋体"/>
          <w:color w:val="000000" w:themeColor="text1"/>
          <w:sz w:val="24"/>
          <w:vertAlign w:val="subscript"/>
          <w:lang w:eastAsia="zh-CN"/>
          <w14:textFill>
            <w14:solidFill>
              <w14:schemeClr w14:val="tx1"/>
            </w14:solidFill>
          </w14:textFill>
        </w:rPr>
        <w:t>2</w:t>
      </w:r>
      <w:r>
        <w:rPr>
          <w:rFonts w:hint="eastAsia" w:ascii="Times New Roman" w:hAnsi="Times New Roman" w:eastAsia="宋体"/>
          <w:color w:val="000000" w:themeColor="text1"/>
          <w:sz w:val="24"/>
          <w:lang w:eastAsia="zh-CN"/>
          <w14:textFill>
            <w14:solidFill>
              <w14:schemeClr w14:val="tx1"/>
            </w14:solidFill>
          </w14:textFill>
        </w:rPr>
        <w:t>四种主要污染物实施国家总量控制。结合本项目特点及排污特征，本项目不涉及COD、氨氮、氮氧化物、SO</w:t>
      </w:r>
      <w:r>
        <w:rPr>
          <w:rFonts w:hint="eastAsia" w:ascii="Times New Roman" w:hAnsi="Times New Roman" w:eastAsia="宋体"/>
          <w:color w:val="000000" w:themeColor="text1"/>
          <w:sz w:val="24"/>
          <w:vertAlign w:val="subscript"/>
          <w:lang w:eastAsia="zh-CN"/>
          <w14:textFill>
            <w14:solidFill>
              <w14:schemeClr w14:val="tx1"/>
            </w14:solidFill>
          </w14:textFill>
        </w:rPr>
        <w:t>2</w:t>
      </w:r>
      <w:r>
        <w:rPr>
          <w:rFonts w:hint="eastAsia" w:ascii="Times New Roman" w:hAnsi="Times New Roman" w:eastAsia="宋体"/>
          <w:color w:val="000000" w:themeColor="text1"/>
          <w:sz w:val="24"/>
          <w:lang w:eastAsia="zh-CN"/>
          <w14:textFill>
            <w14:solidFill>
              <w14:schemeClr w14:val="tx1"/>
            </w14:solidFill>
          </w14:textFill>
        </w:rPr>
        <w:t>的排放</w:t>
      </w:r>
      <w:r>
        <w:rPr>
          <w:rFonts w:hint="eastAsia" w:ascii="Times New Roman" w:hAnsi="Times New Roman"/>
          <w:color w:val="000000" w:themeColor="text1"/>
          <w:sz w:val="24"/>
          <w:lang w:eastAsia="zh-CN"/>
          <w14:textFill>
            <w14:solidFill>
              <w14:schemeClr w14:val="tx1"/>
            </w14:solidFill>
          </w14:textFill>
        </w:rPr>
        <w:t>。</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213" w:name="_Toc23350"/>
      <w:bookmarkStart w:id="214" w:name="_Toc15883"/>
      <w:bookmarkStart w:id="215" w:name="_Toc12999"/>
      <w:r>
        <w:rPr>
          <w:rFonts w:hint="default" w:ascii="Times New Roman" w:hAnsi="Times New Roman" w:eastAsia="宋体" w:cs="Times New Roman"/>
          <w:color w:val="000000" w:themeColor="text1"/>
          <w14:textFill>
            <w14:solidFill>
              <w14:schemeClr w14:val="tx1"/>
            </w14:solidFill>
          </w14:textFill>
        </w:rPr>
        <w:t>6质量保障措施和检测分析方法</w:t>
      </w:r>
      <w:bookmarkEnd w:id="212"/>
      <w:bookmarkEnd w:id="213"/>
      <w:bookmarkEnd w:id="214"/>
      <w:bookmarkEnd w:id="215"/>
    </w:p>
    <w:p>
      <w:pPr>
        <w:spacing w:line="440" w:lineRule="atLeast"/>
        <w:ind w:firstLine="480" w:firstLineChars="200"/>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河北如是环境检测服务有限公司</w:t>
      </w:r>
      <w:r>
        <w:rPr>
          <w:rFonts w:hint="default" w:ascii="Times New Roman" w:hAnsi="Times New Roman" w:eastAsia="宋体" w:cs="Times New Roman"/>
          <w:color w:val="000000" w:themeColor="text1"/>
          <w:sz w:val="24"/>
          <w:szCs w:val="24"/>
          <w:highlight w:val="none"/>
          <w14:textFill>
            <w14:solidFill>
              <w14:schemeClr w14:val="tx1"/>
            </w14:solidFill>
          </w14:textFill>
        </w:rPr>
        <w:t>于</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2021</w:t>
      </w:r>
      <w:r>
        <w:rPr>
          <w:rFonts w:hint="default" w:ascii="Times New Roman" w:hAnsi="Times New Roman" w:eastAsia="宋体" w:cs="Times New Roman"/>
          <w:color w:val="000000" w:themeColor="text1"/>
          <w:sz w:val="24"/>
          <w:szCs w:val="24"/>
          <w:highlight w:val="none"/>
          <w14:textFill>
            <w14:solidFill>
              <w14:schemeClr w14:val="tx1"/>
            </w14:solidFill>
          </w14:textFill>
        </w:rPr>
        <w:t>年</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12</w:t>
      </w:r>
      <w:r>
        <w:rPr>
          <w:rFonts w:hint="default" w:ascii="Times New Roman" w:hAnsi="Times New Roman" w:eastAsia="宋体" w:cs="Times New Roman"/>
          <w:color w:val="000000" w:themeColor="text1"/>
          <w:sz w:val="24"/>
          <w:szCs w:val="24"/>
          <w:highlight w:val="none"/>
          <w14:textFill>
            <w14:solidFill>
              <w14:schemeClr w14:val="tx1"/>
            </w14:solidFill>
          </w14:textFill>
        </w:rPr>
        <w:t>月</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16</w:t>
      </w:r>
      <w:r>
        <w:rPr>
          <w:rFonts w:hint="default" w:ascii="Times New Roman" w:hAnsi="Times New Roman" w:eastAsia="宋体" w:cs="Times New Roman"/>
          <w:color w:val="000000" w:themeColor="text1"/>
          <w:sz w:val="24"/>
          <w:szCs w:val="24"/>
          <w:highlight w:val="none"/>
          <w14:textFill>
            <w14:solidFill>
              <w14:schemeClr w14:val="tx1"/>
            </w14:solidFill>
          </w14:textFill>
        </w:rPr>
        <w:t>日至</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12月17</w:t>
      </w:r>
      <w:r>
        <w:rPr>
          <w:rFonts w:hint="default" w:ascii="Times New Roman" w:hAnsi="Times New Roman" w:eastAsia="宋体" w:cs="Times New Roman"/>
          <w:color w:val="000000" w:themeColor="text1"/>
          <w:sz w:val="24"/>
          <w:szCs w:val="24"/>
          <w:highlight w:val="none"/>
          <w14:textFill>
            <w14:solidFill>
              <w14:schemeClr w14:val="tx1"/>
            </w14:solidFill>
          </w14:textFill>
        </w:rPr>
        <w:t>日进行了竣工验收检测并出具检测报告。监测期间，</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监测期间该项目正常生产</w:t>
      </w:r>
      <w:r>
        <w:rPr>
          <w:rFonts w:hint="default" w:ascii="Times New Roman" w:hAnsi="Times New Roman" w:eastAsia="宋体" w:cs="Times New Roman"/>
          <w:color w:val="000000" w:themeColor="text1"/>
          <w:sz w:val="24"/>
          <w:szCs w:val="24"/>
          <w:highlight w:val="none"/>
          <w14:textFill>
            <w14:solidFill>
              <w14:schemeClr w14:val="tx1"/>
            </w14:solidFill>
          </w14:textFill>
        </w:rPr>
        <w:t>，满足环保验收检测技术要求。</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216" w:name="_Toc28206"/>
      <w:bookmarkStart w:id="217" w:name="_Toc11783"/>
      <w:bookmarkStart w:id="218" w:name="_Toc3129"/>
      <w:bookmarkStart w:id="219" w:name="_Toc18061"/>
      <w:r>
        <w:rPr>
          <w:rFonts w:hint="default" w:ascii="Times New Roman" w:hAnsi="Times New Roman" w:eastAsia="宋体" w:cs="Times New Roman"/>
          <w:color w:val="000000" w:themeColor="text1"/>
          <w14:textFill>
            <w14:solidFill>
              <w14:schemeClr w14:val="tx1"/>
            </w14:solidFill>
          </w14:textFill>
        </w:rPr>
        <w:t>6.1质量保障体系</w:t>
      </w:r>
      <w:bookmarkEnd w:id="216"/>
      <w:bookmarkEnd w:id="217"/>
      <w:bookmarkEnd w:id="218"/>
      <w:bookmarkEnd w:id="219"/>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bookmarkStart w:id="220" w:name="_Toc349134675"/>
      <w:r>
        <w:rPr>
          <w:rFonts w:hint="default" w:ascii="Times New Roman" w:hAnsi="Times New Roman" w:eastAsia="宋体" w:cs="Times New Roman"/>
          <w:color w:val="000000" w:themeColor="text1"/>
          <w:sz w:val="24"/>
          <w14:textFill>
            <w14:solidFill>
              <w14:schemeClr w14:val="tx1"/>
            </w14:solidFill>
          </w14:textFill>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4</w:t>
      </w:r>
      <w:r>
        <w:rPr>
          <w:rFonts w:hint="default" w:ascii="Times New Roman" w:hAnsi="Times New Roman" w:eastAsia="宋体" w:cs="Times New Roman"/>
          <w:color w:val="000000" w:themeColor="text1"/>
          <w:sz w:val="24"/>
          <w14:textFill>
            <w14:solidFill>
              <w14:schemeClr w14:val="tx1"/>
            </w14:solidFill>
          </w14:textFill>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5</w:t>
      </w:r>
      <w:r>
        <w:rPr>
          <w:rFonts w:hint="default" w:ascii="Times New Roman" w:hAnsi="Times New Roman" w:eastAsia="宋体" w:cs="Times New Roman"/>
          <w:color w:val="000000" w:themeColor="text1"/>
          <w:sz w:val="24"/>
          <w14:textFill>
            <w14:solidFill>
              <w14:schemeClr w14:val="tx1"/>
            </w14:solidFill>
          </w14:textFill>
        </w:rPr>
        <w:t>）检测数据严格执行三级审核制度。</w:t>
      </w:r>
      <w:bookmarkEnd w:id="220"/>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221" w:name="_Toc32733"/>
      <w:bookmarkStart w:id="222" w:name="_Toc8128"/>
      <w:bookmarkStart w:id="223" w:name="_Toc3676"/>
      <w:bookmarkStart w:id="224" w:name="_Toc1077"/>
      <w:r>
        <w:rPr>
          <w:rFonts w:hint="default" w:ascii="Times New Roman" w:hAnsi="Times New Roman" w:eastAsia="宋体" w:cs="Times New Roman"/>
          <w:color w:val="000000" w:themeColor="text1"/>
          <w14:textFill>
            <w14:solidFill>
              <w14:schemeClr w14:val="tx1"/>
            </w14:solidFill>
          </w14:textFill>
        </w:rPr>
        <w:t>6.2检测分析方法</w:t>
      </w:r>
      <w:bookmarkEnd w:id="221"/>
      <w:bookmarkEnd w:id="222"/>
      <w:bookmarkEnd w:id="223"/>
      <w:bookmarkEnd w:id="224"/>
    </w:p>
    <w:p>
      <w:pPr>
        <w:pStyle w:val="5"/>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bookmarkStart w:id="225" w:name="_Toc497001482"/>
      <w:bookmarkStart w:id="226" w:name="_Toc25471"/>
      <w:bookmarkStart w:id="227" w:name="_Toc32561"/>
      <w:bookmarkStart w:id="228" w:name="_Toc4984"/>
      <w:bookmarkStart w:id="229" w:name="_Toc6111"/>
      <w:r>
        <w:rPr>
          <w:rFonts w:hint="default" w:ascii="Times New Roman" w:hAnsi="Times New Roman" w:eastAsia="宋体" w:cs="Times New Roman"/>
          <w:color w:val="000000" w:themeColor="text1"/>
          <w14:textFill>
            <w14:solidFill>
              <w14:schemeClr w14:val="tx1"/>
            </w14:solidFill>
          </w14:textFill>
        </w:rPr>
        <w:t>6.2.1检测点位、项目及频次</w:t>
      </w:r>
      <w:bookmarkEnd w:id="225"/>
      <w:bookmarkEnd w:id="226"/>
      <w:bookmarkEnd w:id="227"/>
      <w:bookmarkEnd w:id="228"/>
      <w:bookmarkEnd w:id="229"/>
    </w:p>
    <w:p>
      <w:pPr>
        <w:spacing w:line="40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表6-</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color w:val="000000" w:themeColor="text1"/>
          <w:sz w:val="24"/>
          <w:szCs w:val="24"/>
          <w14:textFill>
            <w14:solidFill>
              <w14:schemeClr w14:val="tx1"/>
            </w14:solidFill>
          </w14:textFill>
        </w:rPr>
        <w:t>废气检测点位、项目及频次</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000000" w:themeColor="text1"/>
                <w:kern w:val="0"/>
                <w:sz w:val="21"/>
                <w:szCs w:val="21"/>
                <w14:textFill>
                  <w14:solidFill>
                    <w14:schemeClr w14:val="tx1"/>
                  </w14:solidFill>
                </w14:textFill>
              </w:rPr>
            </w:pPr>
            <w:r>
              <w:rPr>
                <w:rFonts w:hint="default" w:ascii="Times New Roman" w:hAnsi="Times New Roman" w:eastAsia="宋体" w:cs="Times New Roman"/>
                <w:b/>
                <w:color w:val="000000" w:themeColor="text1"/>
                <w:kern w:val="0"/>
                <w:sz w:val="21"/>
                <w:szCs w:val="21"/>
                <w14:textFill>
                  <w14:solidFill>
                    <w14:schemeClr w14:val="tx1"/>
                  </w14:solidFill>
                </w14:textFill>
              </w:rPr>
              <w:t>检测位置</w:t>
            </w:r>
          </w:p>
        </w:tc>
        <w:tc>
          <w:tcPr>
            <w:tcW w:w="1995" w:type="dxa"/>
            <w:vAlign w:val="center"/>
          </w:tcPr>
          <w:p>
            <w:pPr>
              <w:ind w:right="139" w:rightChars="66"/>
              <w:jc w:val="center"/>
              <w:rPr>
                <w:rFonts w:hint="default" w:ascii="Times New Roman" w:hAnsi="Times New Roman" w:eastAsia="宋体" w:cs="Times New Roman"/>
                <w:b/>
                <w:color w:val="000000" w:themeColor="text1"/>
                <w:kern w:val="0"/>
                <w:sz w:val="21"/>
                <w:szCs w:val="21"/>
                <w14:textFill>
                  <w14:solidFill>
                    <w14:schemeClr w14:val="tx1"/>
                  </w14:solidFill>
                </w14:textFill>
              </w:rPr>
            </w:pPr>
            <w:r>
              <w:rPr>
                <w:rFonts w:hint="default" w:ascii="Times New Roman" w:hAnsi="Times New Roman" w:eastAsia="宋体" w:cs="Times New Roman"/>
                <w:b/>
                <w:color w:val="000000" w:themeColor="text1"/>
                <w:kern w:val="0"/>
                <w:sz w:val="21"/>
                <w:szCs w:val="21"/>
                <w14:textFill>
                  <w14:solidFill>
                    <w14:schemeClr w14:val="tx1"/>
                  </w14:solidFill>
                </w14:textFill>
              </w:rPr>
              <w:t>检测内容</w:t>
            </w:r>
          </w:p>
        </w:tc>
        <w:tc>
          <w:tcPr>
            <w:tcW w:w="2599" w:type="dxa"/>
            <w:vAlign w:val="center"/>
          </w:tcPr>
          <w:p>
            <w:pPr>
              <w:ind w:right="139" w:rightChars="66"/>
              <w:jc w:val="center"/>
              <w:rPr>
                <w:rFonts w:hint="default" w:ascii="Times New Roman" w:hAnsi="Times New Roman" w:eastAsia="宋体" w:cs="Times New Roman"/>
                <w:b/>
                <w:color w:val="000000" w:themeColor="text1"/>
                <w:kern w:val="0"/>
                <w:sz w:val="21"/>
                <w:szCs w:val="21"/>
                <w14:textFill>
                  <w14:solidFill>
                    <w14:schemeClr w14:val="tx1"/>
                  </w14:solidFill>
                </w14:textFill>
              </w:rPr>
            </w:pPr>
            <w:r>
              <w:rPr>
                <w:rFonts w:hint="default" w:ascii="Times New Roman" w:hAnsi="Times New Roman" w:eastAsia="宋体" w:cs="Times New Roman"/>
                <w:b/>
                <w:color w:val="000000" w:themeColor="text1"/>
                <w:kern w:val="0"/>
                <w:sz w:val="21"/>
                <w:szCs w:val="21"/>
                <w14:textFill>
                  <w14:solidFill>
                    <w14:schemeClr w14:val="tx1"/>
                  </w14:solidFill>
                </w14:textFill>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000000" w:themeColor="text1"/>
                <w:sz w:val="21"/>
                <w:szCs w:val="21"/>
                <w:lang w:val="zh-CN"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磨粉工序排气筒出口</w:t>
            </w:r>
          </w:p>
        </w:tc>
        <w:tc>
          <w:tcPr>
            <w:tcW w:w="1995" w:type="dxa"/>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颗粒物</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造粒工序排气筒进口</w:t>
            </w:r>
          </w:p>
        </w:tc>
        <w:tc>
          <w:tcPr>
            <w:tcW w:w="1995" w:type="dxa"/>
            <w:vAlign w:val="center"/>
          </w:tcPr>
          <w:p>
            <w:pPr>
              <w:ind w:right="139" w:rightChars="66"/>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非甲烷总烃</w:t>
            </w:r>
          </w:p>
        </w:tc>
        <w:tc>
          <w:tcPr>
            <w:tcW w:w="2599" w:type="dxa"/>
            <w:vAlign w:val="center"/>
          </w:tcPr>
          <w:p>
            <w:pPr>
              <w:ind w:right="139" w:rightChars="66"/>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000000" w:themeColor="text1"/>
                <w:spacing w:val="0"/>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lang w:val="en-US" w:eastAsia="zh-CN"/>
                <w14:textFill>
                  <w14:solidFill>
                    <w14:schemeClr w14:val="tx1"/>
                  </w14:solidFill>
                </w14:textFill>
              </w:rPr>
              <w:t>造粒工序排气筒出口</w:t>
            </w:r>
          </w:p>
        </w:tc>
        <w:tc>
          <w:tcPr>
            <w:tcW w:w="1995" w:type="dxa"/>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氯化氢</w:t>
            </w:r>
          </w:p>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氯乙烯</w:t>
            </w:r>
          </w:p>
          <w:p>
            <w:pPr>
              <w:ind w:right="139" w:rightChars="66"/>
              <w:jc w:val="center"/>
              <w:rPr>
                <w:rFonts w:hint="eastAsia"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非甲烷总烃</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Merge w:val="restart"/>
            <w:vAlign w:val="center"/>
          </w:tcPr>
          <w:p>
            <w:pPr>
              <w:ind w:left="-107" w:leftChars="-51" w:right="-107" w:rightChars="-51"/>
              <w:jc w:val="center"/>
              <w:rPr>
                <w:rFonts w:hint="eastAsia" w:ascii="Times New Roman" w:hAnsi="Times New Roman" w:cs="Times New Roman"/>
                <w:color w:val="000000" w:themeColor="text1"/>
                <w:spacing w:val="0"/>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lang w:val="en-US" w:eastAsia="zh-CN"/>
                <w14:textFill>
                  <w14:solidFill>
                    <w14:schemeClr w14:val="tx1"/>
                  </w14:solidFill>
                </w14:textFill>
              </w:rPr>
              <w:t>上风向1个点，下风向3个点</w:t>
            </w:r>
          </w:p>
        </w:tc>
        <w:tc>
          <w:tcPr>
            <w:tcW w:w="1995" w:type="dxa"/>
            <w:vMerge w:val="restart"/>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氯化氢</w:t>
            </w:r>
          </w:p>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氯乙烯</w:t>
            </w:r>
          </w:p>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非甲烷总烃</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w:t>
            </w: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Merge w:val="continue"/>
            <w:vAlign w:val="center"/>
          </w:tcPr>
          <w:p>
            <w:pPr>
              <w:ind w:left="-107" w:leftChars="-51" w:right="-107" w:rightChars="-51"/>
              <w:jc w:val="center"/>
              <w:rPr>
                <w:rFonts w:hint="eastAsia" w:ascii="Times New Roman" w:hAnsi="Times New Roman" w:cs="Times New Roman"/>
                <w:color w:val="000000" w:themeColor="text1"/>
                <w:spacing w:val="0"/>
                <w:sz w:val="21"/>
                <w:szCs w:val="21"/>
                <w:lang w:val="en-US" w:eastAsia="zh-CN"/>
                <w14:textFill>
                  <w14:solidFill>
                    <w14:schemeClr w14:val="tx1"/>
                  </w14:solidFill>
                </w14:textFill>
              </w:rPr>
            </w:pPr>
          </w:p>
        </w:tc>
        <w:tc>
          <w:tcPr>
            <w:tcW w:w="1995" w:type="dxa"/>
            <w:vMerge w:val="continue"/>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w:t>
            </w: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000000" w:themeColor="text1"/>
                <w:spacing w:val="0"/>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lang w:val="en-US" w:eastAsia="zh-CN"/>
                <w14:textFill>
                  <w14:solidFill>
                    <w14:schemeClr w14:val="tx1"/>
                  </w14:solidFill>
                </w14:textFill>
              </w:rPr>
              <w:t>车间点1个</w:t>
            </w:r>
          </w:p>
        </w:tc>
        <w:tc>
          <w:tcPr>
            <w:tcW w:w="1995" w:type="dxa"/>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非甲烷总烃</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w:t>
            </w: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14:textFill>
            <w14:solidFill>
              <w14:schemeClr w14:val="tx1"/>
            </w14:solidFill>
          </w14:textFill>
        </w:rPr>
      </w:pPr>
    </w:p>
    <w:p>
      <w:pPr>
        <w:pStyle w:val="6"/>
        <w:rPr>
          <w:rFonts w:hint="default" w:ascii="Times New Roman" w:hAnsi="Times New Roman" w:eastAsia="宋体" w:cs="Times New Roman"/>
          <w:color w:val="000000" w:themeColor="text1"/>
          <w:sz w:val="24"/>
          <w14:textFill>
            <w14:solidFill>
              <w14:schemeClr w14:val="tx1"/>
            </w14:solidFill>
          </w14:textFill>
        </w:rPr>
      </w:pPr>
    </w:p>
    <w:p>
      <w:pPr>
        <w:pStyle w:val="2"/>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②噪声检测</w:t>
      </w:r>
    </w:p>
    <w:p>
      <w:pPr>
        <w:spacing w:line="400" w:lineRule="atLeast"/>
        <w:ind w:firstLine="482" w:firstLineChars="200"/>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表6-</w:t>
      </w:r>
      <w:r>
        <w:rPr>
          <w:rFonts w:hint="eastAsia" w:ascii="Times New Roman" w:hAnsi="Times New Roman" w:eastAsia="宋体" w:cs="Times New Roman"/>
          <w:b/>
          <w:color w:val="000000" w:themeColor="text1"/>
          <w:sz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14:textFill>
            <w14:solidFill>
              <w14:schemeClr w14:val="tx1"/>
            </w14:solidFill>
          </w14:textFill>
        </w:rPr>
        <w:t>噪声检测点位、项目及频次</w:t>
      </w:r>
    </w:p>
    <w:tbl>
      <w:tblPr>
        <w:tblStyle w:val="21"/>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color w:val="000000" w:themeColor="text1"/>
                <w:kern w:val="0"/>
                <w:szCs w:val="21"/>
                <w14:textFill>
                  <w14:solidFill>
                    <w14:schemeClr w14:val="tx1"/>
                  </w14:solidFill>
                </w14:textFill>
              </w:rPr>
            </w:pPr>
            <w:r>
              <w:rPr>
                <w:rFonts w:hint="default" w:ascii="Times New Roman" w:hAnsi="Times New Roman" w:eastAsia="宋体" w:cs="Times New Roman"/>
                <w:b/>
                <w:color w:val="000000" w:themeColor="text1"/>
                <w:kern w:val="0"/>
                <w:szCs w:val="21"/>
                <w14:textFill>
                  <w14:solidFill>
                    <w14:schemeClr w14:val="tx1"/>
                  </w14:solidFill>
                </w14:textFill>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color w:val="000000" w:themeColor="text1"/>
                <w:kern w:val="0"/>
                <w:szCs w:val="21"/>
                <w14:textFill>
                  <w14:solidFill>
                    <w14:schemeClr w14:val="tx1"/>
                  </w14:solidFill>
                </w14:textFill>
              </w:rPr>
            </w:pPr>
            <w:r>
              <w:rPr>
                <w:rFonts w:hint="default" w:ascii="Times New Roman" w:hAnsi="Times New Roman" w:eastAsia="宋体" w:cs="Times New Roman"/>
                <w:b/>
                <w:color w:val="000000" w:themeColor="text1"/>
                <w:kern w:val="0"/>
                <w:szCs w:val="21"/>
                <w14:textFill>
                  <w14:solidFill>
                    <w14:schemeClr w14:val="tx1"/>
                  </w14:solidFill>
                </w14:textFill>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color w:val="000000" w:themeColor="text1"/>
                <w:kern w:val="0"/>
                <w:szCs w:val="21"/>
                <w14:textFill>
                  <w14:solidFill>
                    <w14:schemeClr w14:val="tx1"/>
                  </w14:solidFill>
                </w14:textFill>
              </w:rPr>
            </w:pPr>
            <w:r>
              <w:rPr>
                <w:rFonts w:hint="default" w:ascii="Times New Roman" w:hAnsi="Times New Roman" w:eastAsia="宋体" w:cs="Times New Roman"/>
                <w:b/>
                <w:color w:val="000000" w:themeColor="text1"/>
                <w:kern w:val="0"/>
                <w:szCs w:val="21"/>
                <w14:textFill>
                  <w14:solidFill>
                    <w14:schemeClr w14:val="tx1"/>
                  </w14:solidFill>
                </w14:textFill>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厂界四周（</w:t>
            </w:r>
            <w:r>
              <w:rPr>
                <w:rFonts w:hint="eastAsia" w:ascii="Times New Roman" w:hAnsi="Times New Roman" w:cs="Times New Roman"/>
                <w:color w:val="000000" w:themeColor="text1"/>
                <w:lang w:val="en-US" w:eastAsia="zh-CN"/>
                <w14:textFill>
                  <w14:solidFill>
                    <w14:schemeClr w14:val="tx1"/>
                  </w14:solidFill>
                </w14:textFill>
              </w:rPr>
              <w:t>4个点位</w:t>
            </w:r>
            <w:r>
              <w:rPr>
                <w:rFonts w:hint="eastAsia" w:ascii="Times New Roman" w:hAnsi="Times New Roman" w:cs="Times New Roman"/>
                <w:color w:val="000000" w:themeColor="text1"/>
                <w:lang w:eastAsia="zh-CN"/>
                <w14:textFill>
                  <w14:solidFill>
                    <w14:schemeClr w14:val="tx1"/>
                  </w14:solidFill>
                </w14:textFill>
              </w:rPr>
              <w:t>）</w:t>
            </w:r>
          </w:p>
        </w:tc>
        <w:tc>
          <w:tcPr>
            <w:tcW w:w="2328" w:type="dxa"/>
            <w:vAlign w:val="center"/>
          </w:tcPr>
          <w:p>
            <w:pPr>
              <w:ind w:right="139" w:rightChars="66"/>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14:textFill>
                  <w14:solidFill>
                    <w14:schemeClr w14:val="tx1"/>
                  </w14:solidFill>
                </w14:textFill>
              </w:rPr>
              <w:t>检测2天，昼</w:t>
            </w:r>
            <w:r>
              <w:rPr>
                <w:rFonts w:hint="eastAsia" w:ascii="Times New Roman" w:hAnsi="Times New Roman" w:cs="Times New Roman"/>
                <w:color w:val="000000" w:themeColor="text1"/>
                <w:kern w:val="0"/>
                <w:szCs w:val="21"/>
                <w:lang w:val="en-US" w:eastAsia="zh-CN"/>
                <w14:textFill>
                  <w14:solidFill>
                    <w14:schemeClr w14:val="tx1"/>
                  </w14:solidFill>
                </w14:textFill>
              </w:rPr>
              <w:t>间</w:t>
            </w:r>
            <w:r>
              <w:rPr>
                <w:rFonts w:hint="default" w:ascii="Times New Roman" w:hAnsi="Times New Roman" w:eastAsia="宋体" w:cs="Times New Roman"/>
                <w:color w:val="000000" w:themeColor="text1"/>
                <w:kern w:val="0"/>
                <w:szCs w:val="21"/>
                <w14:textFill>
                  <w14:solidFill>
                    <w14:schemeClr w14:val="tx1"/>
                  </w14:solidFill>
                </w14:textFill>
              </w:rPr>
              <w:t>检测1次</w:t>
            </w:r>
          </w:p>
        </w:tc>
      </w:tr>
    </w:tbl>
    <w:p>
      <w:pPr>
        <w:pStyle w:val="5"/>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bookmarkStart w:id="230" w:name="_Toc497001483"/>
      <w:bookmarkStart w:id="231" w:name="_Toc17272"/>
      <w:bookmarkStart w:id="232" w:name="_Toc20260"/>
      <w:bookmarkStart w:id="233" w:name="_Toc8755"/>
      <w:bookmarkStart w:id="234" w:name="_Toc26262"/>
      <w:r>
        <w:rPr>
          <w:rFonts w:hint="default" w:ascii="Times New Roman" w:hAnsi="Times New Roman" w:eastAsia="宋体" w:cs="Times New Roman"/>
          <w:color w:val="000000" w:themeColor="text1"/>
          <w14:textFill>
            <w14:solidFill>
              <w14:schemeClr w14:val="tx1"/>
            </w14:solidFill>
          </w14:textFill>
        </w:rPr>
        <w:t>6.2.2检测分析方法</w:t>
      </w:r>
      <w:bookmarkEnd w:id="230"/>
      <w:bookmarkEnd w:id="231"/>
      <w:bookmarkEnd w:id="232"/>
      <w:bookmarkEnd w:id="233"/>
      <w:bookmarkEnd w:id="234"/>
    </w:p>
    <w:p>
      <w:pPr>
        <w:spacing w:line="400" w:lineRule="atLeast"/>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表6-</w:t>
      </w:r>
      <w:r>
        <w:rPr>
          <w:rFonts w:hint="eastAsia" w:ascii="Times New Roman" w:hAnsi="Times New Roman" w:eastAsia="宋体" w:cs="Times New Roman"/>
          <w:b/>
          <w:color w:val="000000" w:themeColor="text1"/>
          <w:sz w:val="24"/>
          <w:lang w:val="en-US" w:eastAsia="zh-CN"/>
          <w14:textFill>
            <w14:solidFill>
              <w14:schemeClr w14:val="tx1"/>
            </w14:solidFill>
          </w14:textFill>
        </w:rPr>
        <w:t>4</w:t>
      </w:r>
      <w:r>
        <w:rPr>
          <w:rFonts w:hint="default" w:ascii="Times New Roman" w:hAnsi="Times New Roman" w:eastAsia="宋体" w:cs="Times New Roman"/>
          <w:b/>
          <w:color w:val="000000" w:themeColor="text1"/>
          <w:sz w:val="24"/>
          <w14:textFill>
            <w14:solidFill>
              <w14:schemeClr w14:val="tx1"/>
            </w14:solidFill>
          </w14:textFill>
        </w:rPr>
        <w:t>废气检测项目分析方法及所用仪器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767"/>
        <w:gridCol w:w="766"/>
        <w:gridCol w:w="2740"/>
        <w:gridCol w:w="293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序号</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检测</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类别</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检测</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项目</w:t>
            </w:r>
          </w:p>
        </w:tc>
        <w:tc>
          <w:tcPr>
            <w:tcW w:w="27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分析方法及国标代号</w:t>
            </w:r>
          </w:p>
        </w:tc>
        <w:tc>
          <w:tcPr>
            <w:tcW w:w="29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both"/>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检测仪器名称及型号</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445"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1</w:t>
            </w:r>
          </w:p>
        </w:tc>
        <w:tc>
          <w:tcPr>
            <w:tcW w:w="767"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有组织</w:t>
            </w:r>
          </w:p>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废气</w:t>
            </w:r>
          </w:p>
        </w:tc>
        <w:tc>
          <w:tcPr>
            <w:tcW w:w="766" w:type="dxa"/>
            <w:vMerge w:val="restart"/>
            <w:tcBorders>
              <w:left w:val="single" w:color="auto" w:sz="4" w:space="0"/>
              <w:right w:val="single" w:color="auto" w:sz="4" w:space="0"/>
            </w:tcBorders>
            <w:shd w:val="clear" w:color="auto" w:fill="auto"/>
            <w:vAlign w:val="center"/>
          </w:tcPr>
          <w:p>
            <w:pPr>
              <w:widowControl/>
              <w:adjustRightInd w:val="0"/>
              <w:snapToGrid w:val="0"/>
              <w:spacing w:after="0"/>
              <w:jc w:val="center"/>
              <w:textAlignment w:val="center"/>
              <w:rPr>
                <w:rFonts w:ascii="Times New Roman" w:hAnsi="Times New Roman" w:eastAsia="宋体" w:cs="Times New Roman"/>
                <w:color w:val="000000" w:themeColor="text1"/>
                <w:kern w:val="2"/>
                <w:sz w:val="21"/>
                <w:szCs w:val="21"/>
                <w14:textFill>
                  <w14:solidFill>
                    <w14:schemeClr w14:val="tx1"/>
                  </w14:solidFill>
                </w14:textFill>
              </w:rPr>
            </w:pPr>
            <w:r>
              <w:rPr>
                <w:rFonts w:ascii="Times New Roman" w:hAnsi="Times New Roman" w:eastAsia="宋体" w:cs="Times New Roman"/>
                <w:color w:val="000000" w:themeColor="text1"/>
                <w:kern w:val="2"/>
                <w:sz w:val="21"/>
                <w:szCs w:val="21"/>
                <w14:textFill>
                  <w14:solidFill>
                    <w14:schemeClr w14:val="tx1"/>
                  </w14:solidFill>
                </w14:textFill>
              </w:rPr>
              <w:t>非甲烷总烃</w:t>
            </w:r>
          </w:p>
        </w:tc>
        <w:tc>
          <w:tcPr>
            <w:tcW w:w="2740"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《固定污染源废气 总烃、甲烷和非甲烷总烃的测定 气相色谱法》</w:t>
            </w: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HJ</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 38</w:t>
            </w: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-2017</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TW-3200D </w:t>
            </w:r>
            <w:r>
              <w:rPr>
                <w:rFonts w:ascii="Times New Roman" w:hAnsi="Times New Roman" w:eastAsia="宋体" w:cs="Times New Roman"/>
                <w:color w:val="000000" w:themeColor="text1"/>
                <w:sz w:val="21"/>
                <w:szCs w:val="21"/>
                <w:lang w:val="en-US" w:eastAsia="zh-CN" w:bidi="ar-SA"/>
                <w14:textFill>
                  <w14:solidFill>
                    <w14:schemeClr w14:val="tx1"/>
                  </w14:solidFill>
                </w14:textFill>
              </w:rPr>
              <w:t>低浓度烟尘（气）测试</w:t>
            </w: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仪</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/X058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非甲烷总烃采样器</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/X074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GC9790 </w:t>
            </w: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气相色谱仪</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/F004</w:t>
            </w:r>
          </w:p>
        </w:tc>
        <w:tc>
          <w:tcPr>
            <w:tcW w:w="850" w:type="dxa"/>
            <w:vMerge w:val="restart"/>
            <w:tcBorders>
              <w:left w:val="single" w:color="auto" w:sz="4" w:space="0"/>
              <w:right w:val="single" w:color="auto" w:sz="4" w:space="0"/>
            </w:tcBorders>
            <w:vAlign w:val="center"/>
          </w:tcPr>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0.07</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445"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2</w:t>
            </w:r>
          </w:p>
        </w:tc>
        <w:tc>
          <w:tcPr>
            <w:tcW w:w="767" w:type="dxa"/>
            <w:vMerge w:val="continue"/>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p>
        </w:tc>
        <w:tc>
          <w:tcPr>
            <w:tcW w:w="766" w:type="dxa"/>
            <w:vMerge w:val="restart"/>
            <w:tcBorders>
              <w:left w:val="single" w:color="auto" w:sz="4" w:space="0"/>
              <w:right w:val="single" w:color="auto" w:sz="4" w:space="0"/>
            </w:tcBorders>
            <w:shd w:val="clear" w:color="auto" w:fill="auto"/>
            <w:vAlign w:val="center"/>
          </w:tcPr>
          <w:p>
            <w:pPr>
              <w:widowControl/>
              <w:adjustRightInd w:val="0"/>
              <w:snapToGrid w:val="0"/>
              <w:spacing w:after="0"/>
              <w:jc w:val="center"/>
              <w:textAlignment w:val="center"/>
              <w:rPr>
                <w:rFonts w:ascii="Times New Roman" w:hAnsi="Times New Roman" w:eastAsia="宋体" w:cs="Times New Roman"/>
                <w:color w:val="000000" w:themeColor="text1"/>
                <w:kern w:val="2"/>
                <w:sz w:val="2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氯化氢</w:t>
            </w:r>
          </w:p>
        </w:tc>
        <w:tc>
          <w:tcPr>
            <w:tcW w:w="2740" w:type="dxa"/>
            <w:vMerge w:val="restart"/>
            <w:tcBorders>
              <w:left w:val="single" w:color="auto" w:sz="4" w:space="0"/>
              <w:right w:val="single" w:color="auto" w:sz="4" w:space="0"/>
            </w:tcBorders>
            <w:shd w:val="clear" w:color="auto" w:fill="auto"/>
            <w:vAlign w:val="center"/>
          </w:tcPr>
          <w:p>
            <w:pPr>
              <w:adjustRightInd w:val="0"/>
              <w:snapToGrid w:val="0"/>
              <w:spacing w:after="0" w:line="300" w:lineRule="exact"/>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《固定污染源废气 氯化氢的测定 硝酸银容量法》HJ548-2016</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W-3200D </w:t>
            </w:r>
            <w:r>
              <w:rPr>
                <w:rFonts w:ascii="Times New Roman" w:hAnsi="Times New Roman" w:eastAsia="宋体" w:cs="Times New Roman"/>
                <w:color w:val="000000" w:themeColor="text1"/>
                <w:sz w:val="21"/>
                <w:szCs w:val="21"/>
                <w:lang w:val="en-US" w:eastAsia="zh-CN" w:bidi="ar-SA"/>
                <w14:textFill>
                  <w14:solidFill>
                    <w14:schemeClr w14:val="tx1"/>
                  </w14:solidFill>
                </w14:textFill>
              </w:rPr>
              <w:t>低浓度烟尘（气）测试</w:t>
            </w: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仪</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/X058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T6 </w:t>
            </w: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紫外可见分光光度计</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/F007</w:t>
            </w:r>
          </w:p>
        </w:tc>
        <w:tc>
          <w:tcPr>
            <w:tcW w:w="850" w:type="dxa"/>
            <w:vMerge w:val="restart"/>
            <w:tcBorders>
              <w:left w:val="single" w:color="auto" w:sz="4" w:space="0"/>
              <w:right w:val="single" w:color="auto" w:sz="4" w:space="0"/>
            </w:tcBorders>
            <w:vAlign w:val="center"/>
          </w:tcPr>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2</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445"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3</w:t>
            </w:r>
          </w:p>
        </w:tc>
        <w:tc>
          <w:tcPr>
            <w:tcW w:w="767" w:type="dxa"/>
            <w:vMerge w:val="continue"/>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p>
        </w:tc>
        <w:tc>
          <w:tcPr>
            <w:tcW w:w="766" w:type="dxa"/>
            <w:vMerge w:val="restart"/>
            <w:tcBorders>
              <w:left w:val="single" w:color="auto" w:sz="4" w:space="0"/>
              <w:right w:val="single" w:color="auto" w:sz="4" w:space="0"/>
            </w:tcBorders>
            <w:shd w:val="clear" w:color="auto" w:fill="auto"/>
            <w:vAlign w:val="center"/>
          </w:tcPr>
          <w:p>
            <w:pPr>
              <w:widowControl/>
              <w:adjustRightInd w:val="0"/>
              <w:snapToGrid w:val="0"/>
              <w:spacing w:after="0"/>
              <w:jc w:val="center"/>
              <w:textAlignment w:val="center"/>
              <w:rPr>
                <w:rFonts w:ascii="Times New Roman" w:hAnsi="Times New Roman" w:eastAsia="宋体" w:cs="Times New Roman"/>
                <w:color w:val="000000" w:themeColor="text1"/>
                <w:kern w:val="2"/>
                <w:sz w:val="2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氯乙烯</w:t>
            </w:r>
          </w:p>
        </w:tc>
        <w:tc>
          <w:tcPr>
            <w:tcW w:w="2740" w:type="dxa"/>
            <w:vMerge w:val="restart"/>
            <w:tcBorders>
              <w:left w:val="single" w:color="auto" w:sz="4" w:space="0"/>
              <w:right w:val="single" w:color="auto" w:sz="4" w:space="0"/>
            </w:tcBorders>
            <w:shd w:val="clear" w:color="auto" w:fill="auto"/>
            <w:vAlign w:val="center"/>
          </w:tcPr>
          <w:p>
            <w:pPr>
              <w:adjustRightInd w:val="0"/>
              <w:snapToGrid w:val="0"/>
              <w:spacing w:after="0" w:line="300" w:lineRule="exact"/>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《固定污染源排气中氯乙烯的测定 气相色谱法》HJ/T34-1999</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JF-3012 </w:t>
            </w:r>
            <w:r>
              <w:rPr>
                <w:rFonts w:ascii="Times New Roman" w:hAnsi="Times New Roman" w:eastAsia="宋体" w:cs="Times New Roman"/>
                <w:color w:val="000000" w:themeColor="text1"/>
                <w:sz w:val="21"/>
                <w:szCs w:val="21"/>
                <w:lang w:val="en-US" w:eastAsia="zh-CN" w:bidi="ar-SA"/>
                <w14:textFill>
                  <w14:solidFill>
                    <w14:schemeClr w14:val="tx1"/>
                  </w14:solidFill>
                </w14:textFill>
              </w:rPr>
              <w:t xml:space="preserve">自动烟尘烟气测试仪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XC-090)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ZR-3260 </w:t>
            </w: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自动烟尘烟气综合测试仪（</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XC-065)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真空采样箱（</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XC-113)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GC9790II </w:t>
            </w: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气相色谱仪（</w:t>
            </w: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SP-001)</w:t>
            </w:r>
          </w:p>
        </w:tc>
        <w:tc>
          <w:tcPr>
            <w:tcW w:w="850" w:type="dxa"/>
            <w:vMerge w:val="restart"/>
            <w:tcBorders>
              <w:left w:val="single" w:color="auto" w:sz="4" w:space="0"/>
              <w:right w:val="single" w:color="auto" w:sz="4" w:space="0"/>
            </w:tcBorders>
            <w:vAlign w:val="center"/>
          </w:tcPr>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0.08</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445"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4</w:t>
            </w:r>
          </w:p>
        </w:tc>
        <w:tc>
          <w:tcPr>
            <w:tcW w:w="767"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无组织</w:t>
            </w:r>
          </w:p>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废气</w:t>
            </w:r>
          </w:p>
        </w:tc>
        <w:tc>
          <w:tcPr>
            <w:tcW w:w="766" w:type="dxa"/>
            <w:vMerge w:val="restart"/>
            <w:tcBorders>
              <w:left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非甲烷总烃</w:t>
            </w:r>
          </w:p>
        </w:tc>
        <w:tc>
          <w:tcPr>
            <w:tcW w:w="2740" w:type="dxa"/>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《环境空气 总烃、甲烷和非甲烷总烃的测定 直接进样-气相色谱法》</w:t>
            </w: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HJ </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60</w:t>
            </w: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4-201</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7</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非甲烷总烃采样器</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/X041 </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GC9790 </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气相色谱仪</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/F004</w:t>
            </w:r>
          </w:p>
        </w:tc>
        <w:tc>
          <w:tcPr>
            <w:tcW w:w="850" w:type="dxa"/>
            <w:vMerge w:val="restart"/>
            <w:tcBorders>
              <w:left w:val="single" w:color="auto" w:sz="4" w:space="0"/>
              <w:right w:val="single" w:color="auto" w:sz="4" w:space="0"/>
            </w:tcBorders>
            <w:vAlign w:val="center"/>
          </w:tcPr>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0.07</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445" w:type="dxa"/>
            <w:vMerge w:val="restart"/>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5</w:t>
            </w:r>
          </w:p>
        </w:tc>
        <w:tc>
          <w:tcPr>
            <w:tcW w:w="767" w:type="dxa"/>
            <w:vMerge w:val="continue"/>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p>
        </w:tc>
        <w:tc>
          <w:tcPr>
            <w:tcW w:w="766" w:type="dxa"/>
            <w:vMerge w:val="restart"/>
            <w:tcBorders>
              <w:left w:val="single" w:color="auto" w:sz="4" w:space="0"/>
              <w:right w:val="single" w:color="auto" w:sz="4" w:space="0"/>
            </w:tcBorders>
            <w:shd w:val="clear" w:color="auto" w:fill="auto"/>
            <w:vAlign w:val="center"/>
          </w:tcPr>
          <w:p>
            <w:pPr>
              <w:widowControl/>
              <w:adjustRightInd w:val="0"/>
              <w:snapToGrid w:val="0"/>
              <w:spacing w:after="0"/>
              <w:jc w:val="center"/>
              <w:textAlignment w:val="center"/>
              <w:rPr>
                <w:rFonts w:ascii="Times New Roman" w:hAnsi="Times New Roman" w:eastAsia="宋体" w:cs="Times New Roman"/>
                <w:color w:val="000000" w:themeColor="text1"/>
                <w:kern w:val="2"/>
                <w:sz w:val="2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氯化氢</w:t>
            </w:r>
          </w:p>
        </w:tc>
        <w:tc>
          <w:tcPr>
            <w:tcW w:w="2740" w:type="dxa"/>
            <w:vMerge w:val="restart"/>
            <w:tcBorders>
              <w:left w:val="single" w:color="auto" w:sz="4" w:space="0"/>
              <w:right w:val="single" w:color="auto" w:sz="4" w:space="0"/>
            </w:tcBorders>
            <w:shd w:val="clear" w:color="auto" w:fill="auto"/>
            <w:vAlign w:val="center"/>
          </w:tcPr>
          <w:p>
            <w:pPr>
              <w:adjustRightInd w:val="0"/>
              <w:snapToGrid w:val="0"/>
              <w:spacing w:after="0" w:line="300" w:lineRule="exact"/>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《环境空气和废气 氯化氢的测定 离子色谱法》HJ549-2016</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JF-2031</w:t>
            </w: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智</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能大气</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颗粒物采样器</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/X061</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X062</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X063</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X064 </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T6 </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紫外可见分光光度计</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/F007</w:t>
            </w:r>
          </w:p>
        </w:tc>
        <w:tc>
          <w:tcPr>
            <w:tcW w:w="850" w:type="dxa"/>
            <w:vMerge w:val="restart"/>
            <w:tcBorders>
              <w:left w:val="single" w:color="auto" w:sz="4" w:space="0"/>
              <w:right w:val="single" w:color="auto" w:sz="4" w:space="0"/>
            </w:tcBorders>
            <w:vAlign w:val="center"/>
          </w:tcPr>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0.02</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45" w:type="dxa"/>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6</w:t>
            </w:r>
          </w:p>
        </w:tc>
        <w:tc>
          <w:tcPr>
            <w:tcW w:w="767" w:type="dxa"/>
            <w:vMerge w:val="continue"/>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p>
        </w:tc>
        <w:tc>
          <w:tcPr>
            <w:tcW w:w="766" w:type="dxa"/>
            <w:tcBorders>
              <w:left w:val="single" w:color="auto" w:sz="4" w:space="0"/>
              <w:right w:val="single" w:color="auto" w:sz="4" w:space="0"/>
            </w:tcBorders>
            <w:shd w:val="clear" w:color="auto" w:fill="auto"/>
            <w:vAlign w:val="center"/>
          </w:tcPr>
          <w:p>
            <w:pPr>
              <w:widowControl/>
              <w:adjustRightInd w:val="0"/>
              <w:snapToGrid w:val="0"/>
              <w:spacing w:after="0"/>
              <w:jc w:val="center"/>
              <w:textAlignment w:val="center"/>
              <w:rPr>
                <w:rFonts w:ascii="Times New Roman" w:hAnsi="Times New Roman" w:eastAsia="宋体" w:cs="Times New Roman"/>
                <w:color w:val="000000" w:themeColor="text1"/>
                <w:kern w:val="2"/>
                <w:sz w:val="2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氯乙烯</w:t>
            </w:r>
          </w:p>
        </w:tc>
        <w:tc>
          <w:tcPr>
            <w:tcW w:w="2740" w:type="dxa"/>
            <w:tcBorders>
              <w:left w:val="single" w:color="auto" w:sz="4" w:space="0"/>
              <w:right w:val="single" w:color="auto" w:sz="4" w:space="0"/>
            </w:tcBorders>
            <w:shd w:val="clear" w:color="auto" w:fill="auto"/>
            <w:vAlign w:val="center"/>
          </w:tcPr>
          <w:p>
            <w:pPr>
              <w:adjustRightInd w:val="0"/>
              <w:snapToGrid w:val="0"/>
              <w:spacing w:after="0" w:line="300" w:lineRule="exact"/>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《固定污染源排气中氯乙烯的测定 气相色谱法》HJ/T34-1999</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真空采样箱（</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XC-113</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XC-114) </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GC9790II </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气相色谱仪（</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SP-001)</w:t>
            </w:r>
          </w:p>
        </w:tc>
        <w:tc>
          <w:tcPr>
            <w:tcW w:w="850" w:type="dxa"/>
            <w:tcBorders>
              <w:left w:val="single" w:color="auto" w:sz="4" w:space="0"/>
              <w:right w:val="single" w:color="auto" w:sz="4" w:space="0"/>
            </w:tcBorders>
            <w:vAlign w:val="center"/>
          </w:tcPr>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0.08</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bl>
    <w:p>
      <w:pPr>
        <w:spacing w:beforeLines="50" w:afterLines="50" w:line="400" w:lineRule="atLeast"/>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表6-</w:t>
      </w:r>
      <w:r>
        <w:rPr>
          <w:rFonts w:hint="eastAsia" w:ascii="Times New Roman" w:hAnsi="Times New Roman" w:eastAsia="宋体" w:cs="Times New Roman"/>
          <w:b/>
          <w:color w:val="000000" w:themeColor="text1"/>
          <w:sz w:val="24"/>
          <w:lang w:val="en-US" w:eastAsia="zh-CN"/>
          <w14:textFill>
            <w14:solidFill>
              <w14:schemeClr w14:val="tx1"/>
            </w14:solidFill>
          </w14:textFill>
        </w:rPr>
        <w:t>5</w:t>
      </w:r>
      <w:r>
        <w:rPr>
          <w:rFonts w:hint="default" w:ascii="Times New Roman" w:hAnsi="Times New Roman" w:eastAsia="宋体" w:cs="Times New Roman"/>
          <w:b/>
          <w:color w:val="000000" w:themeColor="text1"/>
          <w:sz w:val="24"/>
          <w14:textFill>
            <w14:solidFill>
              <w14:schemeClr w14:val="tx1"/>
            </w14:solidFill>
          </w14:textFill>
        </w:rPr>
        <w:tab/>
      </w:r>
      <w:r>
        <w:rPr>
          <w:rFonts w:hint="default" w:ascii="Times New Roman" w:hAnsi="Times New Roman" w:eastAsia="宋体" w:cs="Times New Roman"/>
          <w:b/>
          <w:color w:val="000000" w:themeColor="text1"/>
          <w:sz w:val="24"/>
          <w14:textFill>
            <w14:solidFill>
              <w14:schemeClr w14:val="tx1"/>
            </w14:solidFill>
          </w14:textFill>
        </w:rPr>
        <w:t>厂界噪声检测分析方法及所用仪器</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检测项目</w:t>
            </w:r>
          </w:p>
        </w:tc>
        <w:tc>
          <w:tcPr>
            <w:tcW w:w="2835" w:type="dxa"/>
            <w:tcBorders>
              <w:tl2br w:val="nil"/>
              <w:tr2bl w:val="nil"/>
            </w:tcBorders>
            <w:vAlign w:val="center"/>
          </w:tcPr>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检测方法及方法来源</w:t>
            </w:r>
          </w:p>
        </w:tc>
        <w:tc>
          <w:tcPr>
            <w:tcW w:w="4536" w:type="dxa"/>
            <w:tcBorders>
              <w:tl2br w:val="nil"/>
              <w:tr2bl w:val="nil"/>
            </w:tcBorders>
            <w:vAlign w:val="center"/>
          </w:tcPr>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color w:val="000000" w:themeColor="text1"/>
                <w:spacing w:val="0"/>
                <w:sz w:val="21"/>
                <w:szCs w:val="21"/>
                <w:lang w:eastAsia="zh-CN"/>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厂界噪声</w:t>
            </w:r>
          </w:p>
        </w:tc>
        <w:tc>
          <w:tcPr>
            <w:tcW w:w="2835" w:type="dxa"/>
            <w:tcBorders>
              <w:tl2br w:val="nil"/>
              <w:tr2bl w:val="nil"/>
            </w:tcBorders>
            <w:vAlign w:val="center"/>
          </w:tcPr>
          <w:p>
            <w:pPr>
              <w:snapToGrid w:val="0"/>
              <w:jc w:val="center"/>
              <w:rPr>
                <w:rFonts w:hint="default" w:ascii="Times New Roman" w:hAnsi="Times New Roman" w:eastAsia="宋体" w:cs="Times New Roman"/>
                <w:color w:val="000000" w:themeColor="text1"/>
                <w:spacing w:val="0"/>
                <w:sz w:val="21"/>
                <w:szCs w:val="21"/>
                <w:lang w:eastAsia="zh-CN"/>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《工业企业厂界环境噪声排放标准》（GB12348-2008）</w:t>
            </w:r>
          </w:p>
        </w:tc>
        <w:tc>
          <w:tcPr>
            <w:tcW w:w="4536" w:type="dxa"/>
            <w:tcBorders>
              <w:tl2br w:val="nil"/>
              <w:tr2bl w:val="nil"/>
            </w:tcBorders>
            <w:vAlign w:val="center"/>
          </w:tcPr>
          <w:p>
            <w:pPr>
              <w:widowControl/>
              <w:adjustRightInd w:val="0"/>
              <w:snapToGrid w:val="0"/>
              <w:spacing w:after="0"/>
              <w:jc w:val="center"/>
              <w:textAlignment w:val="cente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t xml:space="preserve">AWA5688 多功能声级/X014 </w:t>
            </w:r>
          </w:p>
          <w:p>
            <w:pPr>
              <w:widowControl/>
              <w:adjustRightInd w:val="0"/>
              <w:snapToGrid w:val="0"/>
              <w:spacing w:after="0"/>
              <w:jc w:val="center"/>
              <w:textAlignment w:val="cente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t>AWA6021A 型声校准/X015</w:t>
            </w:r>
          </w:p>
        </w:tc>
      </w:tr>
    </w:tbl>
    <w:p>
      <w:pPr>
        <w:pStyle w:val="5"/>
        <w:spacing w:beforeLines="50" w:afterLines="50"/>
        <w:rPr>
          <w:rFonts w:hint="default" w:ascii="Times New Roman" w:hAnsi="Times New Roman" w:eastAsia="宋体" w:cs="Times New Roman"/>
          <w:color w:val="000000" w:themeColor="text1"/>
          <w14:textFill>
            <w14:solidFill>
              <w14:schemeClr w14:val="tx1"/>
            </w14:solidFill>
          </w14:textFill>
        </w:rPr>
      </w:pPr>
      <w:bookmarkStart w:id="235" w:name="_Toc19386"/>
      <w:bookmarkStart w:id="236" w:name="_Toc12330"/>
      <w:bookmarkStart w:id="237" w:name="_Toc28512"/>
      <w:bookmarkStart w:id="238" w:name="_Toc29080"/>
      <w:r>
        <w:rPr>
          <w:rFonts w:hint="default" w:ascii="Times New Roman" w:hAnsi="Times New Roman" w:eastAsia="宋体" w:cs="Times New Roman"/>
          <w:color w:val="000000" w:themeColor="text1"/>
          <w14:textFill>
            <w14:solidFill>
              <w14:schemeClr w14:val="tx1"/>
            </w14:solidFill>
          </w14:textFill>
        </w:rPr>
        <w:t>6.2.3检测点位示意图</w:t>
      </w:r>
      <w:bookmarkEnd w:id="235"/>
      <w:bookmarkEnd w:id="236"/>
      <w:bookmarkEnd w:id="237"/>
      <w:bookmarkEnd w:id="238"/>
    </w:p>
    <w:p>
      <w:pPr>
        <w:pStyle w:val="3"/>
        <w:spacing w:line="440" w:lineRule="atLeast"/>
        <w:rPr>
          <w:rFonts w:hint="default" w:ascii="Times New Roman" w:hAnsi="Times New Roman" w:eastAsia="宋体" w:cs="Times New Roman"/>
          <w:color w:val="000000" w:themeColor="text1"/>
          <w14:textFill>
            <w14:solidFill>
              <w14:schemeClr w14:val="tx1"/>
            </w14:solidFill>
          </w14:textFill>
        </w:rPr>
      </w:pPr>
      <w:bookmarkStart w:id="239" w:name="_Toc4189"/>
      <w:r>
        <w:rPr>
          <w:rFonts w:hint="default" w:ascii="Times New Roman" w:hAnsi="Times New Roman" w:eastAsia="宋体" w:cs="Times New Roman"/>
          <w:color w:val="000000" w:themeColor="text1"/>
          <w14:textFill>
            <w14:solidFill>
              <w14:schemeClr w14:val="tx1"/>
            </w14:solidFill>
          </w14:textFill>
        </w:rPr>
        <w:drawing>
          <wp:inline distT="0" distB="0" distL="114300" distR="114300">
            <wp:extent cx="5272405" cy="3943985"/>
            <wp:effectExtent l="0" t="0" r="4445" b="1841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3"/>
                    <a:stretch>
                      <a:fillRect/>
                    </a:stretch>
                  </pic:blipFill>
                  <pic:spPr>
                    <a:xfrm>
                      <a:off x="0" y="0"/>
                      <a:ext cx="5272405" cy="3943985"/>
                    </a:xfrm>
                    <a:prstGeom prst="rect">
                      <a:avLst/>
                    </a:prstGeom>
                    <a:noFill/>
                    <a:ln>
                      <a:noFill/>
                    </a:ln>
                  </pic:spPr>
                </pic:pic>
              </a:graphicData>
            </a:graphic>
          </wp:inline>
        </w:drawing>
      </w:r>
      <w:r>
        <w:rPr>
          <w:rFonts w:hint="default" w:ascii="Times New Roman" w:hAnsi="Times New Roman" w:eastAsia="宋体" w:cs="Times New Roman"/>
          <w:color w:val="000000" w:themeColor="text1"/>
          <w14:textFill>
            <w14:solidFill>
              <w14:schemeClr w14:val="tx1"/>
            </w14:solidFill>
          </w14:textFill>
        </w:rPr>
        <w:drawing>
          <wp:inline distT="0" distB="0" distL="114300" distR="114300">
            <wp:extent cx="5268595" cy="4026535"/>
            <wp:effectExtent l="0" t="0" r="8255" b="1206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5268595" cy="4026535"/>
                    </a:xfrm>
                    <a:prstGeom prst="rect">
                      <a:avLst/>
                    </a:prstGeom>
                    <a:noFill/>
                    <a:ln>
                      <a:noFill/>
                    </a:ln>
                  </pic:spPr>
                </pic:pic>
              </a:graphicData>
            </a:graphic>
          </wp:inline>
        </w:drawing>
      </w:r>
      <w:r>
        <w:rPr>
          <w:rFonts w:hint="default" w:ascii="Times New Roman" w:hAnsi="Times New Roman" w:eastAsia="宋体" w:cs="Times New Roman"/>
          <w:color w:val="000000" w:themeColor="text1"/>
          <w14:textFill>
            <w14:solidFill>
              <w14:schemeClr w14:val="tx1"/>
            </w14:solidFill>
          </w14:textFill>
        </w:rPr>
        <w:drawing>
          <wp:inline distT="0" distB="0" distL="114300" distR="114300">
            <wp:extent cx="5271135" cy="3756660"/>
            <wp:effectExtent l="0" t="0" r="5715" b="1524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5"/>
                    <a:stretch>
                      <a:fillRect/>
                    </a:stretch>
                  </pic:blipFill>
                  <pic:spPr>
                    <a:xfrm>
                      <a:off x="0" y="0"/>
                      <a:ext cx="5271135" cy="3756660"/>
                    </a:xfrm>
                    <a:prstGeom prst="rect">
                      <a:avLst/>
                    </a:prstGeom>
                    <a:noFill/>
                    <a:ln>
                      <a:noFill/>
                    </a:ln>
                  </pic:spPr>
                </pic:pic>
              </a:graphicData>
            </a:graphic>
          </wp:inline>
        </w:drawing>
      </w:r>
      <w:r>
        <w:rPr>
          <w:rFonts w:hint="default" w:ascii="Times New Roman" w:hAnsi="Times New Roman" w:eastAsia="宋体" w:cs="Times New Roman"/>
          <w:color w:val="000000" w:themeColor="text1"/>
          <w14:textFill>
            <w14:solidFill>
              <w14:schemeClr w14:val="tx1"/>
            </w14:solidFill>
          </w14:textFill>
        </w:rPr>
        <w:br w:type="page"/>
      </w:r>
    </w:p>
    <w:p>
      <w:pPr>
        <w:pStyle w:val="3"/>
        <w:spacing w:line="440" w:lineRule="atLeast"/>
        <w:rPr>
          <w:rFonts w:hint="default" w:ascii="Times New Roman" w:hAnsi="Times New Roman" w:eastAsia="宋体" w:cs="Times New Roman"/>
          <w:color w:val="000000" w:themeColor="text1"/>
          <w14:textFill>
            <w14:solidFill>
              <w14:schemeClr w14:val="tx1"/>
            </w14:solidFill>
          </w14:textFill>
        </w:rPr>
      </w:pPr>
      <w:bookmarkStart w:id="240" w:name="_Toc22345"/>
      <w:bookmarkStart w:id="241" w:name="_Toc19136"/>
      <w:bookmarkStart w:id="242" w:name="_Toc2862"/>
      <w:r>
        <w:rPr>
          <w:rFonts w:hint="default" w:ascii="Times New Roman" w:hAnsi="Times New Roman" w:eastAsia="宋体" w:cs="Times New Roman"/>
          <w:color w:val="000000" w:themeColor="text1"/>
          <w14:textFill>
            <w14:solidFill>
              <w14:schemeClr w14:val="tx1"/>
            </w14:solidFill>
          </w14:textFill>
        </w:rPr>
        <w:t>7验收检测结果及分析</w:t>
      </w:r>
      <w:bookmarkEnd w:id="239"/>
      <w:bookmarkEnd w:id="240"/>
      <w:bookmarkEnd w:id="241"/>
      <w:bookmarkEnd w:id="242"/>
    </w:p>
    <w:p>
      <w:pPr>
        <w:pStyle w:val="4"/>
        <w:spacing w:line="440" w:lineRule="atLeast"/>
        <w:rPr>
          <w:rFonts w:hint="default" w:ascii="Times New Roman" w:hAnsi="Times New Roman" w:eastAsia="宋体" w:cs="Times New Roman"/>
          <w:color w:val="000000" w:themeColor="text1"/>
          <w14:textFill>
            <w14:solidFill>
              <w14:schemeClr w14:val="tx1"/>
            </w14:solidFill>
          </w14:textFill>
        </w:rPr>
      </w:pPr>
      <w:bookmarkStart w:id="243" w:name="_Toc20500"/>
      <w:bookmarkStart w:id="244" w:name="_Toc10665"/>
      <w:bookmarkStart w:id="245" w:name="_Toc11364"/>
      <w:bookmarkStart w:id="246" w:name="_Toc32720"/>
      <w:r>
        <w:rPr>
          <w:rFonts w:hint="default" w:ascii="Times New Roman" w:hAnsi="Times New Roman" w:eastAsia="宋体" w:cs="Times New Roman"/>
          <w:color w:val="000000" w:themeColor="text1"/>
          <w14:textFill>
            <w14:solidFill>
              <w14:schemeClr w14:val="tx1"/>
            </w14:solidFill>
          </w14:textFill>
        </w:rPr>
        <w:t>7.1检测结果</w:t>
      </w:r>
      <w:bookmarkEnd w:id="243"/>
      <w:bookmarkEnd w:id="244"/>
      <w:bookmarkEnd w:id="245"/>
      <w:bookmarkEnd w:id="246"/>
    </w:p>
    <w:p>
      <w:pPr>
        <w:pStyle w:val="5"/>
        <w:rPr>
          <w:rFonts w:hint="default" w:ascii="Times New Roman" w:hAnsi="Times New Roman" w:eastAsia="宋体" w:cs="Times New Roman"/>
          <w:color w:val="000000" w:themeColor="text1"/>
          <w14:textFill>
            <w14:solidFill>
              <w14:schemeClr w14:val="tx1"/>
            </w14:solidFill>
          </w14:textFill>
        </w:rPr>
      </w:pPr>
      <w:bookmarkStart w:id="247" w:name="_Toc32125"/>
      <w:bookmarkStart w:id="248" w:name="_Toc19935"/>
      <w:bookmarkStart w:id="249" w:name="_Toc497001488"/>
      <w:bookmarkStart w:id="250" w:name="_Toc6032"/>
      <w:bookmarkStart w:id="251" w:name="_Toc3464"/>
      <w:r>
        <w:rPr>
          <w:rFonts w:hint="default" w:ascii="Times New Roman" w:hAnsi="Times New Roman" w:eastAsia="宋体" w:cs="Times New Roman"/>
          <w:color w:val="000000" w:themeColor="text1"/>
          <w14:textFill>
            <w14:solidFill>
              <w14:schemeClr w14:val="tx1"/>
            </w14:solidFill>
          </w14:textFill>
        </w:rPr>
        <w:t>7.1.1废气检测结果</w:t>
      </w:r>
      <w:bookmarkEnd w:id="247"/>
      <w:bookmarkEnd w:id="248"/>
      <w:bookmarkEnd w:id="249"/>
      <w:bookmarkEnd w:id="250"/>
      <w:bookmarkEnd w:id="251"/>
    </w:p>
    <w:p>
      <w:pPr>
        <w:pStyle w:val="6"/>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表7-</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宋体" w:cs="Times New Roman"/>
          <w:b/>
          <w:color w:val="000000" w:themeColor="text1"/>
          <w:sz w:val="24"/>
          <w:szCs w:val="24"/>
          <w:lang w:eastAsia="zh-CN"/>
          <w14:textFill>
            <w14:solidFill>
              <w14:schemeClr w14:val="tx1"/>
            </w14:solidFill>
          </w14:textFill>
        </w:rPr>
        <w:t>有组织</w:t>
      </w:r>
      <w:r>
        <w:rPr>
          <w:rFonts w:hint="default" w:ascii="Times New Roman" w:hAnsi="Times New Roman" w:eastAsia="宋体" w:cs="Times New Roman"/>
          <w:b/>
          <w:color w:val="000000" w:themeColor="text1"/>
          <w:sz w:val="24"/>
          <w:szCs w:val="24"/>
          <w:lang w:eastAsia="zh-CN"/>
          <w14:textFill>
            <w14:solidFill>
              <w14:schemeClr w14:val="tx1"/>
            </w14:solidFill>
          </w14:textFill>
        </w:rPr>
        <w:t>废气</w:t>
      </w:r>
      <w:r>
        <w:rPr>
          <w:rFonts w:hint="eastAsia" w:ascii="Times New Roman" w:hAnsi="Times New Roman" w:eastAsia="宋体" w:cs="Times New Roman"/>
          <w:b/>
          <w:color w:val="000000" w:themeColor="text1"/>
          <w:sz w:val="24"/>
          <w:szCs w:val="24"/>
          <w:lang w:eastAsia="zh-CN"/>
          <w14:textFill>
            <w14:solidFill>
              <w14:schemeClr w14:val="tx1"/>
            </w14:solidFill>
          </w14:textFill>
        </w:rPr>
        <w:t>检</w:t>
      </w:r>
      <w:r>
        <w:rPr>
          <w:rFonts w:hint="default" w:ascii="Times New Roman" w:hAnsi="Times New Roman" w:eastAsia="宋体" w:cs="Times New Roman"/>
          <w:b/>
          <w:color w:val="000000" w:themeColor="text1"/>
          <w:sz w:val="24"/>
          <w:szCs w:val="24"/>
          <w14:textFill>
            <w14:solidFill>
              <w14:schemeClr w14:val="tx1"/>
            </w14:solidFill>
          </w14:textFill>
        </w:rPr>
        <w:t>测结果</w:t>
      </w:r>
    </w:p>
    <w:p>
      <w:pPr>
        <w:pStyle w:val="6"/>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drawing>
          <wp:inline distT="0" distB="0" distL="114300" distR="114300">
            <wp:extent cx="5268595" cy="6671310"/>
            <wp:effectExtent l="0" t="0" r="8255" b="1524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6"/>
                    <a:stretch>
                      <a:fillRect/>
                    </a:stretch>
                  </pic:blipFill>
                  <pic:spPr>
                    <a:xfrm>
                      <a:off x="0" y="0"/>
                      <a:ext cx="5268595" cy="6671310"/>
                    </a:xfrm>
                    <a:prstGeom prst="rect">
                      <a:avLst/>
                    </a:prstGeom>
                    <a:noFill/>
                    <a:ln>
                      <a:noFill/>
                    </a:ln>
                  </pic:spPr>
                </pic:pic>
              </a:graphicData>
            </a:graphic>
          </wp:inline>
        </w:drawing>
      </w:r>
      <w:r>
        <w:rPr>
          <w:rFonts w:hint="default" w:ascii="Times New Roman" w:hAnsi="Times New Roman" w:eastAsia="宋体" w:cs="Times New Roman"/>
          <w:b/>
          <w:color w:val="000000" w:themeColor="text1"/>
          <w:sz w:val="24"/>
          <w:szCs w:val="24"/>
          <w14:textFill>
            <w14:solidFill>
              <w14:schemeClr w14:val="tx1"/>
            </w14:solidFill>
          </w14:textFill>
        </w:rPr>
        <w:drawing>
          <wp:inline distT="0" distB="0" distL="114300" distR="114300">
            <wp:extent cx="5268595" cy="5599430"/>
            <wp:effectExtent l="0" t="0" r="8255" b="127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7"/>
                    <a:stretch>
                      <a:fillRect/>
                    </a:stretch>
                  </pic:blipFill>
                  <pic:spPr>
                    <a:xfrm>
                      <a:off x="0" y="0"/>
                      <a:ext cx="5268595" cy="5599430"/>
                    </a:xfrm>
                    <a:prstGeom prst="rect">
                      <a:avLst/>
                    </a:prstGeom>
                    <a:noFill/>
                    <a:ln>
                      <a:noFill/>
                    </a:ln>
                  </pic:spPr>
                </pic:pic>
              </a:graphicData>
            </a:graphic>
          </wp:inline>
        </w:drawing>
      </w:r>
    </w:p>
    <w:p>
      <w:pP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表7-</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color w:val="000000" w:themeColor="text1"/>
          <w:sz w:val="24"/>
          <w:szCs w:val="24"/>
          <w:lang w:eastAsia="zh-CN"/>
          <w14:textFill>
            <w14:solidFill>
              <w14:schemeClr w14:val="tx1"/>
            </w14:solidFill>
          </w14:textFill>
        </w:rPr>
        <w:t>厂界无组织废气</w:t>
      </w:r>
      <w:r>
        <w:rPr>
          <w:rFonts w:hint="default" w:ascii="Times New Roman" w:hAnsi="Times New Roman" w:eastAsia="宋体" w:cs="Times New Roman"/>
          <w:b/>
          <w:color w:val="000000" w:themeColor="text1"/>
          <w:sz w:val="24"/>
          <w:szCs w:val="24"/>
          <w14:textFill>
            <w14:solidFill>
              <w14:schemeClr w14:val="tx1"/>
            </w14:solidFill>
          </w14:textFill>
        </w:rPr>
        <w:t>检测结果</w:t>
      </w:r>
      <w:r>
        <w:rPr>
          <w:rFonts w:hint="eastAsia" w:ascii="Times New Roman" w:hAnsi="Times New Roman" w:eastAsia="宋体" w:cs="Times New Roman"/>
          <w:b/>
          <w:color w:val="000000" w:themeColor="text1"/>
          <w:sz w:val="24"/>
          <w:szCs w:val="24"/>
          <w:lang w:eastAsia="zh-CN"/>
          <w14:textFill>
            <w14:solidFill>
              <w14:schemeClr w14:val="tx1"/>
            </w14:solidFill>
          </w14:textFill>
        </w:rPr>
        <w:t>（</w:t>
      </w:r>
      <w:r>
        <w:rPr>
          <w:rFonts w:hint="default" w:ascii="Times New Roman" w:hAnsi="Times New Roman" w:eastAsia="宋体" w:cs="Times New Roman"/>
          <w:b/>
          <w:color w:val="000000" w:themeColor="text1"/>
          <w:sz w:val="21"/>
          <w:szCs w:val="21"/>
          <w14:textFill>
            <w14:solidFill>
              <w14:schemeClr w14:val="tx1"/>
            </w14:solidFill>
          </w14:textFill>
        </w:rPr>
        <w:t>单位</w:t>
      </w:r>
      <w:r>
        <w:rPr>
          <w:rFonts w:hint="eastAsia" w:ascii="Times New Roman" w:hAnsi="Times New Roman" w:eastAsia="宋体" w:cs="Times New Roman"/>
          <w:b/>
          <w:color w:val="000000" w:themeColor="text1"/>
          <w:sz w:val="21"/>
          <w:szCs w:val="21"/>
          <w:lang w:eastAsia="zh-CN"/>
          <w14:textFill>
            <w14:solidFill>
              <w14:schemeClr w14:val="tx1"/>
            </w14:solidFill>
          </w14:textFill>
        </w:rPr>
        <w:t>：</w:t>
      </w:r>
      <w:r>
        <w:rPr>
          <w:rFonts w:hint="default" w:ascii="Times New Roman" w:hAnsi="Times New Roman" w:eastAsia="宋体" w:cs="Times New Roman"/>
          <w:b/>
          <w:bCs/>
          <w:color w:val="000000" w:themeColor="text1"/>
          <w:sz w:val="21"/>
          <w:szCs w:val="21"/>
          <w14:textFill>
            <w14:solidFill>
              <w14:schemeClr w14:val="tx1"/>
            </w14:solidFill>
          </w14:textFill>
        </w:rPr>
        <w:t>mg/m</w:t>
      </w:r>
      <w:r>
        <w:rPr>
          <w:rFonts w:hint="default" w:ascii="Times New Roman" w:hAnsi="Times New Roman" w:eastAsia="宋体" w:cs="Times New Roman"/>
          <w:b/>
          <w:bCs/>
          <w:color w:val="000000" w:themeColor="text1"/>
          <w:sz w:val="21"/>
          <w:szCs w:val="21"/>
          <w:vertAlign w:val="superscript"/>
          <w14:textFill>
            <w14:solidFill>
              <w14:schemeClr w14:val="tx1"/>
            </w14:solidFill>
          </w14:textFill>
        </w:rPr>
        <w:t>3</w:t>
      </w:r>
      <w:r>
        <w:rPr>
          <w:rFonts w:hint="eastAsia" w:ascii="Times New Roman" w:hAnsi="Times New Roman" w:eastAsia="宋体" w:cs="Times New Roman"/>
          <w:b/>
          <w:color w:val="000000" w:themeColor="text1"/>
          <w:sz w:val="24"/>
          <w:szCs w:val="24"/>
          <w:lang w:eastAsia="zh-CN"/>
          <w14:textFill>
            <w14:solidFill>
              <w14:schemeClr w14:val="tx1"/>
            </w14:solidFill>
          </w14:textFill>
        </w:rPr>
        <w:t>）</w:t>
      </w:r>
      <w:bookmarkStart w:id="252" w:name="_Toc6567"/>
      <w:bookmarkStart w:id="253" w:name="_Toc8796"/>
      <w:bookmarkStart w:id="254" w:name="_Toc7541"/>
      <w:bookmarkStart w:id="255" w:name="_Toc497001489"/>
      <w:bookmarkStart w:id="256" w:name="_Toc3240"/>
      <w:r>
        <w:rPr>
          <w:rFonts w:hint="eastAsia" w:ascii="Times New Roman" w:hAnsi="Times New Roman" w:eastAsia="宋体" w:cs="Times New Roman"/>
          <w:b/>
          <w:color w:val="000000" w:themeColor="text1"/>
          <w:sz w:val="24"/>
          <w:szCs w:val="24"/>
          <w:lang w:eastAsia="zh-CN"/>
          <w14:textFill>
            <w14:solidFill>
              <w14:schemeClr w14:val="tx1"/>
            </w14:solidFill>
          </w14:textFill>
        </w:rPr>
        <w:drawing>
          <wp:inline distT="0" distB="0" distL="114300" distR="114300">
            <wp:extent cx="5271770" cy="6361430"/>
            <wp:effectExtent l="0" t="0" r="5080" b="127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8"/>
                    <a:stretch>
                      <a:fillRect/>
                    </a:stretch>
                  </pic:blipFill>
                  <pic:spPr>
                    <a:xfrm>
                      <a:off x="0" y="0"/>
                      <a:ext cx="5271770" cy="6361430"/>
                    </a:xfrm>
                    <a:prstGeom prst="rect">
                      <a:avLst/>
                    </a:prstGeom>
                    <a:noFill/>
                    <a:ln>
                      <a:noFill/>
                    </a:ln>
                  </pic:spPr>
                </pic:pic>
              </a:graphicData>
            </a:graphic>
          </wp:inline>
        </w:drawing>
      </w:r>
      <w:r>
        <w:rPr>
          <w:rFonts w:hint="eastAsia" w:ascii="Times New Roman" w:hAnsi="Times New Roman" w:eastAsia="宋体" w:cs="Times New Roman"/>
          <w:b/>
          <w:color w:val="000000" w:themeColor="text1"/>
          <w:sz w:val="24"/>
          <w:szCs w:val="24"/>
          <w:lang w:eastAsia="zh-CN"/>
          <w14:textFill>
            <w14:solidFill>
              <w14:schemeClr w14:val="tx1"/>
            </w14:solidFill>
          </w14:textFill>
        </w:rPr>
        <w:drawing>
          <wp:inline distT="0" distB="0" distL="114300" distR="114300">
            <wp:extent cx="5273040" cy="6449695"/>
            <wp:effectExtent l="0" t="0" r="3810" b="8255"/>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9"/>
                    <a:stretch>
                      <a:fillRect/>
                    </a:stretch>
                  </pic:blipFill>
                  <pic:spPr>
                    <a:xfrm>
                      <a:off x="0" y="0"/>
                      <a:ext cx="5273040" cy="6449695"/>
                    </a:xfrm>
                    <a:prstGeom prst="rect">
                      <a:avLst/>
                    </a:prstGeom>
                    <a:noFill/>
                    <a:ln>
                      <a:noFill/>
                    </a:ln>
                  </pic:spPr>
                </pic:pic>
              </a:graphicData>
            </a:graphic>
          </wp:inline>
        </w:drawing>
      </w:r>
    </w:p>
    <w:p>
      <w:pPr>
        <w:pStyle w:val="5"/>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7.1.2噪声检测结果</w:t>
      </w:r>
      <w:bookmarkEnd w:id="252"/>
      <w:bookmarkEnd w:id="253"/>
      <w:bookmarkEnd w:id="254"/>
      <w:bookmarkEnd w:id="255"/>
      <w:bookmarkEnd w:id="256"/>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color w:val="000000" w:themeColor="text1"/>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表7-</w:t>
      </w:r>
      <w:r>
        <w:rPr>
          <w:rFonts w:hint="eastAsia" w:ascii="Times New Roman" w:hAnsi="Times New Roman"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szCs w:val="24"/>
          <w14:textFill>
            <w14:solidFill>
              <w14:schemeClr w14:val="tx1"/>
            </w14:solidFill>
          </w14:textFill>
        </w:rPr>
        <w:t>厂界噪声检测结果</w:t>
      </w:r>
      <w:bookmarkStart w:id="257" w:name="_Toc5560"/>
      <w:bookmarkStart w:id="258" w:name="_Toc5375"/>
      <w:bookmarkStart w:id="259" w:name="_Toc26119"/>
      <w:bookmarkStart w:id="260" w:name="_Toc21685"/>
      <w:r>
        <w:rPr>
          <w:rFonts w:hint="eastAsia" w:ascii="Times New Roman" w:hAnsi="Times New Roman" w:cs="Times New Roman"/>
          <w:b/>
          <w:color w:val="000000" w:themeColor="text1"/>
          <w:sz w:val="24"/>
          <w:szCs w:val="24"/>
          <w:lang w:val="en-US" w:eastAsia="zh-CN"/>
          <w14:textFill>
            <w14:solidFill>
              <w14:schemeClr w14:val="tx1"/>
            </w14:solidFill>
          </w14:textFill>
        </w:rPr>
        <w:t>单位：dB（A）</w:t>
      </w:r>
      <w:r>
        <w:rPr>
          <w:rFonts w:hint="eastAsia" w:ascii="Times New Roman" w:hAnsi="Times New Roman" w:cs="Times New Roman"/>
          <w:b/>
          <w:color w:val="000000" w:themeColor="text1"/>
          <w:sz w:val="24"/>
          <w:szCs w:val="24"/>
          <w:lang w:val="en-US" w:eastAsia="zh-CN"/>
          <w14:textFill>
            <w14:solidFill>
              <w14:schemeClr w14:val="tx1"/>
            </w14:solidFill>
          </w14:textFill>
        </w:rPr>
        <w:drawing>
          <wp:inline distT="0" distB="0" distL="114300" distR="114300">
            <wp:extent cx="5270500" cy="3298190"/>
            <wp:effectExtent l="0" t="0" r="6350" b="1651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20"/>
                    <a:stretch>
                      <a:fillRect/>
                    </a:stretch>
                  </pic:blipFill>
                  <pic:spPr>
                    <a:xfrm>
                      <a:off x="0" y="0"/>
                      <a:ext cx="5270500" cy="3298190"/>
                    </a:xfrm>
                    <a:prstGeom prst="rect">
                      <a:avLst/>
                    </a:prstGeom>
                    <a:noFill/>
                    <a:ln>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7.2检测结果分析</w:t>
      </w:r>
      <w:bookmarkEnd w:id="257"/>
      <w:bookmarkEnd w:id="258"/>
      <w:bookmarkEnd w:id="259"/>
      <w:bookmarkEnd w:id="260"/>
    </w:p>
    <w:p>
      <w:pPr>
        <w:pStyle w:val="5"/>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color w:val="000000" w:themeColor="text1"/>
          <w14:textFill>
            <w14:solidFill>
              <w14:schemeClr w14:val="tx1"/>
            </w14:solidFill>
          </w14:textFill>
        </w:rPr>
      </w:pPr>
      <w:bookmarkStart w:id="261" w:name="_Toc3228"/>
      <w:bookmarkStart w:id="262" w:name="_Toc31512"/>
      <w:bookmarkStart w:id="263" w:name="_Toc497001493"/>
      <w:bookmarkStart w:id="264" w:name="_Toc9795"/>
      <w:bookmarkStart w:id="265" w:name="_Toc30843"/>
      <w:r>
        <w:rPr>
          <w:rFonts w:hint="default" w:ascii="Times New Roman" w:hAnsi="Times New Roman" w:eastAsia="宋体" w:cs="Times New Roman"/>
          <w:color w:val="000000" w:themeColor="text1"/>
          <w14:textFill>
            <w14:solidFill>
              <w14:schemeClr w14:val="tx1"/>
            </w14:solidFill>
          </w14:textFill>
        </w:rPr>
        <w:t>7.2.1废气检测结果</w:t>
      </w:r>
      <w:bookmarkEnd w:id="261"/>
      <w:bookmarkEnd w:id="262"/>
      <w:bookmarkEnd w:id="263"/>
      <w:bookmarkEnd w:id="264"/>
      <w:bookmarkEnd w:id="265"/>
    </w:p>
    <w:p>
      <w:pPr>
        <w:keepNext w:val="0"/>
        <w:keepLines w:val="0"/>
        <w:pageBreakBefore w:val="0"/>
        <w:widowControl/>
        <w:numPr>
          <w:ilvl w:val="0"/>
          <w:numId w:val="0"/>
        </w:numPr>
        <w:shd w:val="clear" w:color="auto" w:fill="auto"/>
        <w:suppressAutoHyphens w:val="0"/>
        <w:kinsoku/>
        <w:overflowPunct/>
        <w:autoSpaceDE/>
        <w:bidi w:val="0"/>
        <w:snapToGrid w:val="0"/>
        <w:spacing w:before="0" w:after="0" w:line="380" w:lineRule="exact"/>
        <w:ind w:left="0" w:right="0" w:firstLine="420"/>
        <w:jc w:val="both"/>
        <w:textAlignment w:val="auto"/>
        <w:rPr>
          <w:rFonts w:hint="default" w:ascii="Times New Roman" w:hAnsi="Times New Roman" w:eastAsia="宋体" w:cs="Times New Roman"/>
          <w:color w:val="auto"/>
          <w:kern w:val="0"/>
          <w:sz w:val="24"/>
          <w:szCs w:val="24"/>
          <w:lang w:val="en-US" w:eastAsia="zh-CN"/>
        </w:rPr>
      </w:pPr>
      <w:bookmarkStart w:id="266" w:name="_Toc4679"/>
      <w:bookmarkStart w:id="267" w:name="_Toc19340"/>
      <w:bookmarkStart w:id="268" w:name="_Toc503884785"/>
      <w:bookmarkStart w:id="269" w:name="_Toc3266"/>
      <w:r>
        <w:rPr>
          <w:rFonts w:hint="default" w:ascii="Times New Roman" w:hAnsi="Times New Roman" w:eastAsia="宋体" w:cs="Times New Roman"/>
          <w:color w:val="auto"/>
          <w:kern w:val="0"/>
          <w:sz w:val="24"/>
          <w:szCs w:val="24"/>
          <w:lang w:val="en-US" w:eastAsia="zh-CN"/>
        </w:rPr>
        <w:t>造粒工序排气筒出口中非甲烷总烃最大平均浓度为3.28mg/m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，氯化氢最大平均浓度为1.2mg/m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烧碱、聚氯乙烯工业污染物排放标准》（GB15581-2016）中表4大气污染物特别排放限值要求；造粒工序排气筒出口中非甲烷总烃最低去除效率83%，不满足《工业企业挥发性有机物排放控制标准》（DB13/2322-2016）表1有机化工业排放标准要求；磨粉工序排气筒出口颗粒物最大平均浓度为2.3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，满足《烧碱、聚氯乙烯工业污染物排放标准》（GB15581-2016）中表4大气污染物特别排放限值要求。造粒工序排气筒出口废气中氯乙烯排放浓度满足《烧碱、聚氯乙烯工业污染物排放标准》（GB 15581-2016）表4大气污染物特别排放浓度限值要求。</w:t>
      </w:r>
    </w:p>
    <w:p>
      <w:pPr>
        <w:keepNext w:val="0"/>
        <w:keepLines w:val="0"/>
        <w:pageBreakBefore w:val="0"/>
        <w:widowControl/>
        <w:numPr>
          <w:ilvl w:val="0"/>
          <w:numId w:val="0"/>
        </w:numPr>
        <w:shd w:val="clear" w:color="auto" w:fill="auto"/>
        <w:suppressAutoHyphens w:val="0"/>
        <w:kinsoku/>
        <w:overflowPunct/>
        <w:autoSpaceDE/>
        <w:bidi w:val="0"/>
        <w:snapToGrid w:val="0"/>
        <w:spacing w:before="0" w:after="0" w:line="380" w:lineRule="exact"/>
        <w:ind w:left="0" w:right="0" w:firstLine="42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车间口非甲烷总烃排放浓度最大值为1.28mg/m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，满足河北省地方标准《工业企业挥发性有机物排放控制标准》（DB13/2322-2016）表3生产车间或生产设备边界大气污染物浓度限值要求及《挥发性有机物无组织排放控制标准》（GB37822-2019）表A.1中特别排放限值。</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color w:val="auto"/>
          <w:kern w:val="0"/>
          <w:sz w:val="24"/>
          <w:szCs w:val="24"/>
          <w:lang w:val="en-US" w:eastAsia="zh-CN"/>
        </w:rPr>
        <w:t>厂界无组织非甲烷总烃排放浓度最大值为0.94mg/m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，满足《工业企业挥发性有机物排放控制标准》（DB13/2322-2016）表2其他企业边界大气污染物浓度限值要求；厂界无组织氯化氢排放浓度最大值为0.12mg/m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，均满足《烧碱、聚氯乙烯工业污染物排放标准》（GB15581-2016）中表5企业边界大气污染物排放限值；厂界无组织总悬浮颗粒物排放浓度最大值为0.375mg/m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，满足《大气污染物综合排放标准》（GB16297-1996）表2中无组织排放限值。厂界无组织废气中氯乙烯最大检测浓度满足《烧碱、聚氯乙烯工业污染物排放标准》（GB 15581-2016）表5企业边界大气污染物浓度限值要求</w:t>
      </w:r>
      <w:r>
        <w:rPr>
          <w:rFonts w:hint="eastAsia" w:ascii="Times New Roman" w:hAnsi="Times New Roman" w:eastAsia="宋体" w:cs="Times New Roman"/>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000000" w:themeColor="text1"/>
          <w:spacing w:val="0"/>
          <w:sz w:val="24"/>
          <w:szCs w:val="24"/>
          <w:lang w:val="en-US" w:eastAsia="zh-CN"/>
          <w14:textFill>
            <w14:solidFill>
              <w14:schemeClr w14:val="tx1"/>
            </w14:solidFill>
          </w14:textFill>
        </w:rPr>
      </w:pPr>
      <w:r>
        <w:rPr>
          <w:rFonts w:hint="eastAsia" w:ascii="Times New Roman" w:hAnsi="Times New Roman" w:cs="Times New Roman"/>
          <w:color w:val="000000" w:themeColor="text1"/>
          <w:spacing w:val="0"/>
          <w:sz w:val="24"/>
          <w:szCs w:val="24"/>
          <w:lang w:val="en-US" w:eastAsia="zh-CN"/>
          <w14:textFill>
            <w14:solidFill>
              <w14:schemeClr w14:val="tx1"/>
            </w14:solidFill>
          </w14:textFill>
        </w:rPr>
        <w:t>7.2.2噪声检测结果</w:t>
      </w:r>
    </w:p>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both"/>
        <w:textAlignment w:val="auto"/>
        <w:rPr>
          <w:rFonts w:ascii="Times New Roman" w:hAnsi="Times New Roman" w:eastAsia="宋体"/>
          <w:bCs/>
          <w:color w:val="000000" w:themeColor="text1"/>
          <w:sz w:val="24"/>
          <w14:textFill>
            <w14:solidFill>
              <w14:schemeClr w14:val="tx1"/>
            </w14:solidFill>
          </w14:textFill>
        </w:rPr>
      </w:pPr>
      <w:r>
        <w:rPr>
          <w:rFonts w:hint="default" w:ascii="Times New Roman" w:hAnsi="宋体" w:eastAsia="宋体" w:cs="Times New Roman"/>
          <w:sz w:val="24"/>
          <w:szCs w:val="24"/>
          <w:lang w:val="en-US" w:eastAsia="zh-CN" w:bidi="ar-SA"/>
        </w:rPr>
        <w:t>厂界昼间噪声最大值为55dB（A），夜间噪声最大值为47dB（A），均满足《工业企业厂界环境噪声排放标准》(GB 12348-2008)表1中2类标准限值</w:t>
      </w:r>
      <w:r>
        <w:rPr>
          <w:rFonts w:hint="eastAsia" w:ascii="Times New Roman" w:hAnsi="宋体" w:eastAsia="宋体" w:cs="Times New Roman"/>
          <w:sz w:val="24"/>
          <w:szCs w:val="24"/>
          <w:lang w:val="en-US" w:eastAsia="zh-CN" w:bidi="ar-SA"/>
        </w:rPr>
        <w:t>，符合《工业企业厂界环境噪声排放标准》（GB 12348-2008）表1中2类标准要求（昼间：≤60dB(A)，夜间：≤50dB(A)）。</w:t>
      </w:r>
    </w:p>
    <w:p>
      <w:pPr>
        <w:pStyle w:val="4"/>
        <w:rPr>
          <w:rFonts w:hint="default" w:ascii="Times New Roman" w:hAnsi="Times New Roman" w:eastAsia="宋体" w:cs="Times New Roman"/>
          <w:color w:val="000000" w:themeColor="text1"/>
          <w14:textFill>
            <w14:solidFill>
              <w14:schemeClr w14:val="tx1"/>
            </w14:solidFill>
          </w14:textFill>
        </w:rPr>
      </w:pPr>
      <w:bookmarkStart w:id="270" w:name="_Toc2782"/>
      <w:r>
        <w:rPr>
          <w:rFonts w:hint="default" w:ascii="Times New Roman" w:hAnsi="Times New Roman" w:eastAsia="宋体" w:cs="Times New Roman"/>
          <w:color w:val="000000" w:themeColor="text1"/>
          <w14:textFill>
            <w14:solidFill>
              <w14:schemeClr w14:val="tx1"/>
            </w14:solidFill>
          </w14:textFill>
        </w:rPr>
        <w:t>7.3总量控制要求</w:t>
      </w:r>
      <w:bookmarkEnd w:id="266"/>
      <w:bookmarkEnd w:id="267"/>
      <w:bookmarkEnd w:id="268"/>
      <w:bookmarkEnd w:id="27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本项目不涉及COD、氨氮、氮氧化物、SO</w:t>
      </w:r>
      <w:r>
        <w:rPr>
          <w:rFonts w:hint="eastAsia" w:ascii="Times New Roman" w:hAnsi="Times New Roman" w:eastAsia="宋体" w:cs="Times New Roman"/>
          <w:color w:val="000000" w:themeColor="text1"/>
          <w:sz w:val="24"/>
          <w:szCs w:val="24"/>
          <w:highlight w:val="none"/>
          <w:vertAlign w:val="subscript"/>
          <w:lang w:val="en-US" w:eastAsia="zh-CN"/>
          <w14:textFill>
            <w14:solidFill>
              <w14:schemeClr w14:val="tx1"/>
            </w14:solidFill>
          </w14:textFill>
        </w:rPr>
        <w:t>2</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的排放。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000000" w:themeColor="text1"/>
          <w:kern w:val="0"/>
          <w:sz w:val="24"/>
          <w:szCs w:val="21"/>
          <w:lang w:eastAsia="zh-CN"/>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271" w:name="_Toc20214"/>
      <w:bookmarkStart w:id="272" w:name="_Toc5202"/>
      <w:bookmarkStart w:id="273" w:name="_Toc3191"/>
      <w:r>
        <w:rPr>
          <w:rFonts w:hint="default" w:ascii="Times New Roman" w:hAnsi="Times New Roman" w:eastAsia="宋体" w:cs="Times New Roman"/>
          <w:color w:val="000000" w:themeColor="text1"/>
          <w14:textFill>
            <w14:solidFill>
              <w14:schemeClr w14:val="tx1"/>
            </w14:solidFill>
          </w14:textFill>
        </w:rPr>
        <w:t>8环境管理检查</w:t>
      </w:r>
      <w:bookmarkEnd w:id="269"/>
      <w:bookmarkEnd w:id="271"/>
      <w:bookmarkEnd w:id="272"/>
      <w:bookmarkEnd w:id="273"/>
    </w:p>
    <w:p>
      <w:pPr>
        <w:pStyle w:val="4"/>
        <w:rPr>
          <w:rFonts w:hint="default" w:ascii="Times New Roman" w:hAnsi="Times New Roman" w:eastAsia="宋体" w:cs="Times New Roman"/>
          <w:color w:val="000000" w:themeColor="text1"/>
          <w14:textFill>
            <w14:solidFill>
              <w14:schemeClr w14:val="tx1"/>
            </w14:solidFill>
          </w14:textFill>
        </w:rPr>
      </w:pPr>
      <w:bookmarkStart w:id="274" w:name="_Toc23769"/>
      <w:bookmarkStart w:id="275" w:name="_Toc17414"/>
      <w:bookmarkStart w:id="276" w:name="_Toc32093"/>
      <w:bookmarkStart w:id="277" w:name="_Toc5972"/>
      <w:r>
        <w:rPr>
          <w:rFonts w:hint="default" w:ascii="Times New Roman" w:hAnsi="Times New Roman" w:eastAsia="宋体" w:cs="Times New Roman"/>
          <w:color w:val="000000" w:themeColor="text1"/>
          <w14:textFill>
            <w14:solidFill>
              <w14:schemeClr w14:val="tx1"/>
            </w14:solidFill>
          </w14:textFill>
        </w:rPr>
        <w:t>8.1环保管理机构</w:t>
      </w:r>
      <w:bookmarkEnd w:id="274"/>
      <w:bookmarkEnd w:id="275"/>
      <w:bookmarkEnd w:id="276"/>
      <w:bookmarkEnd w:id="277"/>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沧州东合塑业有限公司</w:t>
      </w:r>
      <w:r>
        <w:rPr>
          <w:rFonts w:hint="default" w:ascii="Times New Roman" w:hAnsi="Times New Roman" w:eastAsia="宋体" w:cs="Times New Roman"/>
          <w:color w:val="000000" w:themeColor="text1"/>
          <w:sz w:val="24"/>
          <w:szCs w:val="24"/>
          <w14:textFill>
            <w14:solidFill>
              <w14:schemeClr w14:val="tx1"/>
            </w14:solidFill>
          </w14:textFill>
        </w:rPr>
        <w:t>环境管理由公司</w:t>
      </w:r>
      <w:r>
        <w:rPr>
          <w:rFonts w:hint="eastAsia" w:ascii="Times New Roman" w:hAnsi="Times New Roman" w:eastAsia="宋体" w:cs="Times New Roman"/>
          <w:color w:val="000000" w:themeColor="text1"/>
          <w:sz w:val="24"/>
          <w:szCs w:val="24"/>
          <w:lang w:eastAsia="zh-CN"/>
          <w14:textFill>
            <w14:solidFill>
              <w14:schemeClr w14:val="tx1"/>
            </w14:solidFill>
          </w14:textFill>
        </w:rPr>
        <w:t>专人</w:t>
      </w:r>
      <w:r>
        <w:rPr>
          <w:rFonts w:hint="default" w:ascii="Times New Roman" w:hAnsi="Times New Roman" w:eastAsia="宋体" w:cs="Times New Roman"/>
          <w:color w:val="000000" w:themeColor="text1"/>
          <w:sz w:val="24"/>
          <w:szCs w:val="24"/>
          <w14:textFill>
            <w14:solidFill>
              <w14:schemeClr w14:val="tx1"/>
            </w14:solidFill>
          </w14:textFill>
        </w:rPr>
        <w:t>负责监督，负责工程环境管理工作，定期进行巡检环境影响情况，及时处理环境问题，并进行有关环境保护法规宣传工作。</w:t>
      </w:r>
    </w:p>
    <w:p>
      <w:pPr>
        <w:pStyle w:val="4"/>
        <w:rPr>
          <w:rFonts w:hint="default" w:ascii="Times New Roman" w:hAnsi="Times New Roman" w:eastAsia="宋体" w:cs="Times New Roman"/>
          <w:color w:val="000000" w:themeColor="text1"/>
          <w:szCs w:val="22"/>
          <w14:textFill>
            <w14:solidFill>
              <w14:schemeClr w14:val="tx1"/>
            </w14:solidFill>
          </w14:textFill>
        </w:rPr>
      </w:pPr>
      <w:bookmarkStart w:id="278" w:name="_Toc18585"/>
      <w:bookmarkStart w:id="279" w:name="_Toc412705194"/>
      <w:bookmarkStart w:id="280" w:name="_Toc25742"/>
      <w:bookmarkStart w:id="281" w:name="_Toc294178076"/>
      <w:bookmarkStart w:id="282" w:name="_Toc14656"/>
      <w:bookmarkStart w:id="283" w:name="_Toc29686"/>
      <w:r>
        <w:rPr>
          <w:rFonts w:hint="default" w:ascii="Times New Roman" w:hAnsi="Times New Roman" w:eastAsia="宋体" w:cs="Times New Roman"/>
          <w:color w:val="000000" w:themeColor="text1"/>
          <w:szCs w:val="22"/>
          <w14:textFill>
            <w14:solidFill>
              <w14:schemeClr w14:val="tx1"/>
            </w14:solidFill>
          </w14:textFill>
        </w:rPr>
        <w:t>8.2施工期环境管理</w:t>
      </w:r>
      <w:bookmarkEnd w:id="278"/>
      <w:bookmarkEnd w:id="279"/>
      <w:bookmarkEnd w:id="280"/>
      <w:bookmarkEnd w:id="281"/>
      <w:bookmarkEnd w:id="282"/>
      <w:bookmarkEnd w:id="283"/>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bookmarkStart w:id="284" w:name="_Toc294178077"/>
      <w:bookmarkStart w:id="285" w:name="_Toc412705195"/>
      <w:r>
        <w:rPr>
          <w:rFonts w:hint="default" w:ascii="Times New Roman" w:hAnsi="Times New Roman" w:eastAsia="宋体" w:cs="Times New Roman"/>
          <w:color w:val="000000" w:themeColor="text1"/>
          <w:sz w:val="24"/>
          <w:szCs w:val="24"/>
          <w14:textFill>
            <w14:solidFill>
              <w14:schemeClr w14:val="tx1"/>
            </w14:solidFill>
          </w14:textFill>
        </w:rPr>
        <w:t>本工程在施工</w:t>
      </w:r>
      <w:r>
        <w:rPr>
          <w:rFonts w:hint="default" w:ascii="Times New Roman" w:hAnsi="Times New Roman" w:eastAsia="宋体" w:cs="Times New Roman"/>
          <w:color w:val="000000" w:themeColor="text1"/>
          <w:sz w:val="24"/>
          <w:szCs w:val="24"/>
          <w:lang w:eastAsia="zh-CN"/>
          <w14:textFill>
            <w14:solidFill>
              <w14:schemeClr w14:val="tx1"/>
            </w14:solidFill>
          </w14:textFill>
        </w:rPr>
        <w:t>过程</w:t>
      </w:r>
      <w:r>
        <w:rPr>
          <w:rFonts w:hint="default" w:ascii="Times New Roman" w:hAnsi="Times New Roman" w:eastAsia="宋体" w:cs="Times New Roman"/>
          <w:color w:val="000000" w:themeColor="text1"/>
          <w:sz w:val="24"/>
          <w:szCs w:val="24"/>
          <w14:textFill>
            <w14:solidFill>
              <w14:schemeClr w14:val="tx1"/>
            </w14:solidFill>
          </w14:textFill>
        </w:rPr>
        <w:t>中严格按设计文件施工，特别是按环保设计要求和</w:t>
      </w:r>
      <w:r>
        <w:rPr>
          <w:rFonts w:hint="default" w:ascii="Times New Roman" w:hAnsi="Times New Roman" w:eastAsia="宋体" w:cs="Times New Roman"/>
          <w:color w:val="000000" w:themeColor="text1"/>
          <w:sz w:val="24"/>
          <w:szCs w:val="24"/>
          <w:lang w:eastAsia="zh-CN"/>
          <w14:textFill>
            <w14:solidFill>
              <w14:schemeClr w14:val="tx1"/>
            </w14:solidFill>
          </w14:textFill>
        </w:rPr>
        <w:t>环评文件</w:t>
      </w:r>
      <w:r>
        <w:rPr>
          <w:rFonts w:hint="default" w:ascii="Times New Roman" w:hAnsi="Times New Roman" w:eastAsia="宋体" w:cs="Times New Roman"/>
          <w:color w:val="000000" w:themeColor="text1"/>
          <w:sz w:val="24"/>
          <w:szCs w:val="24"/>
          <w14:textFill>
            <w14:solidFill>
              <w14:schemeClr w14:val="tx1"/>
            </w14:solidFill>
          </w14:textFill>
        </w:rPr>
        <w:t>提出的措施要求进行施工。</w:t>
      </w:r>
      <w:r>
        <w:rPr>
          <w:rFonts w:hint="default" w:ascii="Times New Roman" w:hAnsi="Times New Roman" w:eastAsia="宋体" w:cs="Times New Roman"/>
          <w:bCs/>
          <w:color w:val="000000" w:themeColor="text1"/>
          <w:sz w:val="24"/>
          <w14:textFill>
            <w14:solidFill>
              <w14:schemeClr w14:val="tx1"/>
            </w14:solidFill>
          </w14:textFill>
        </w:rPr>
        <w:t>切实落实工程环保实施方案，并且做到“三同时”</w:t>
      </w:r>
      <w:r>
        <w:rPr>
          <w:rFonts w:hint="default" w:ascii="Times New Roman" w:hAnsi="Times New Roman" w:eastAsia="宋体" w:cs="Times New Roman"/>
          <w:bCs/>
          <w:color w:val="000000" w:themeColor="text1"/>
          <w:sz w:val="24"/>
          <w:lang w:eastAsia="zh-CN"/>
          <w14:textFill>
            <w14:solidFill>
              <w14:schemeClr w14:val="tx1"/>
            </w14:solidFill>
          </w14:textFill>
        </w:rPr>
        <w:t>。</w:t>
      </w:r>
    </w:p>
    <w:p>
      <w:pPr>
        <w:pStyle w:val="4"/>
        <w:rPr>
          <w:rFonts w:hint="default" w:ascii="Times New Roman" w:hAnsi="Times New Roman" w:eastAsia="宋体" w:cs="Times New Roman"/>
          <w:color w:val="000000" w:themeColor="text1"/>
          <w14:textFill>
            <w14:solidFill>
              <w14:schemeClr w14:val="tx1"/>
            </w14:solidFill>
          </w14:textFill>
        </w:rPr>
      </w:pPr>
      <w:bookmarkStart w:id="286" w:name="_Toc463"/>
      <w:bookmarkStart w:id="287" w:name="_Toc30001"/>
      <w:bookmarkStart w:id="288" w:name="_Toc20253"/>
      <w:bookmarkStart w:id="289" w:name="_Toc7664"/>
      <w:r>
        <w:rPr>
          <w:rFonts w:hint="default" w:ascii="Times New Roman" w:hAnsi="Times New Roman" w:eastAsia="宋体" w:cs="Times New Roman"/>
          <w:color w:val="000000" w:themeColor="text1"/>
          <w14:textFill>
            <w14:solidFill>
              <w14:schemeClr w14:val="tx1"/>
            </w14:solidFill>
          </w14:textFill>
        </w:rPr>
        <w:t>8.3运行期环境管理</w:t>
      </w:r>
      <w:bookmarkEnd w:id="284"/>
      <w:bookmarkEnd w:id="285"/>
      <w:bookmarkEnd w:id="286"/>
      <w:bookmarkEnd w:id="287"/>
      <w:bookmarkEnd w:id="288"/>
      <w:bookmarkEnd w:id="289"/>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bookmarkStart w:id="290" w:name="_Toc294178078"/>
      <w:r>
        <w:rPr>
          <w:rFonts w:hint="eastAsia" w:ascii="Times New Roman" w:hAnsi="Times New Roman" w:cs="Times New Roman"/>
          <w:color w:val="000000" w:themeColor="text1"/>
          <w:sz w:val="24"/>
          <w:szCs w:val="24"/>
          <w:lang w:eastAsia="zh-CN"/>
          <w14:textFill>
            <w14:solidFill>
              <w14:schemeClr w14:val="tx1"/>
            </w14:solidFill>
          </w14:textFill>
        </w:rPr>
        <w:t>沧州东合塑业有限公司</w:t>
      </w:r>
      <w:r>
        <w:rPr>
          <w:rFonts w:hint="default" w:ascii="Times New Roman" w:hAnsi="Times New Roman" w:eastAsia="宋体" w:cs="Times New Roman"/>
          <w:color w:val="000000" w:themeColor="text1"/>
          <w:sz w:val="24"/>
          <w:szCs w:val="24"/>
          <w14:textFill>
            <w14:solidFill>
              <w14:schemeClr w14:val="tx1"/>
            </w14:solidFill>
          </w14:textFill>
        </w:rPr>
        <w:t>设立专门的环境管理部门，配备相应专业的管理人员，负责监督国家法规、条例的贯彻执行情况，制订和贯彻环保管理制度，监控本工程的主要污染，对各部门、操作岗位进行环境保护监督和考核。</w:t>
      </w:r>
      <w:bookmarkEnd w:id="290"/>
      <w:bookmarkStart w:id="291" w:name="_Toc414220604"/>
      <w:bookmarkStart w:id="292" w:name="_Toc412705199"/>
    </w:p>
    <w:p>
      <w:pPr>
        <w:pStyle w:val="4"/>
        <w:spacing w:line="440" w:lineRule="atLeast"/>
        <w:rPr>
          <w:rFonts w:hint="default" w:ascii="Times New Roman" w:hAnsi="Times New Roman" w:eastAsia="宋体" w:cs="Times New Roman"/>
          <w:color w:val="000000" w:themeColor="text1"/>
          <w14:textFill>
            <w14:solidFill>
              <w14:schemeClr w14:val="tx1"/>
            </w14:solidFill>
          </w14:textFill>
        </w:rPr>
      </w:pPr>
      <w:bookmarkStart w:id="293" w:name="_Toc412705196"/>
      <w:bookmarkStart w:id="294" w:name="_Toc28702"/>
      <w:bookmarkStart w:id="295" w:name="_Toc8826"/>
      <w:bookmarkStart w:id="296" w:name="_Toc5087"/>
      <w:bookmarkStart w:id="297" w:name="_Toc414220602"/>
      <w:bookmarkStart w:id="298" w:name="_Toc76"/>
      <w:r>
        <w:rPr>
          <w:rFonts w:hint="default" w:ascii="Times New Roman" w:hAnsi="Times New Roman" w:eastAsia="宋体" w:cs="Times New Roman"/>
          <w:color w:val="000000" w:themeColor="text1"/>
          <w14:textFill>
            <w14:solidFill>
              <w14:schemeClr w14:val="tx1"/>
            </w14:solidFill>
          </w14:textFill>
        </w:rPr>
        <w:t>8.4社会环境影响情况调查</w:t>
      </w:r>
      <w:bookmarkEnd w:id="293"/>
      <w:bookmarkEnd w:id="294"/>
      <w:bookmarkEnd w:id="295"/>
      <w:bookmarkEnd w:id="296"/>
      <w:bookmarkEnd w:id="297"/>
      <w:bookmarkEnd w:id="298"/>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经咨询当地环保主管部门，项目建设及试运行期间未发生扰民和公众投诉意见。</w:t>
      </w:r>
    </w:p>
    <w:p>
      <w:pPr>
        <w:pStyle w:val="4"/>
        <w:rPr>
          <w:rFonts w:hint="default" w:ascii="Times New Roman" w:hAnsi="Times New Roman" w:eastAsia="宋体" w:cs="Times New Roman"/>
          <w:color w:val="000000" w:themeColor="text1"/>
          <w14:textFill>
            <w14:solidFill>
              <w14:schemeClr w14:val="tx1"/>
            </w14:solidFill>
          </w14:textFill>
        </w:rPr>
      </w:pPr>
      <w:bookmarkStart w:id="299" w:name="_Toc15866"/>
      <w:bookmarkStart w:id="300" w:name="_Toc7270"/>
      <w:bookmarkStart w:id="301" w:name="_Toc9083"/>
      <w:bookmarkStart w:id="302" w:name="_Toc26985"/>
      <w:r>
        <w:rPr>
          <w:rFonts w:hint="default" w:ascii="Times New Roman" w:hAnsi="Times New Roman" w:eastAsia="宋体" w:cs="Times New Roman"/>
          <w:color w:val="000000" w:themeColor="text1"/>
          <w14:textFill>
            <w14:solidFill>
              <w14:schemeClr w14:val="tx1"/>
            </w14:solidFill>
          </w14:textFill>
        </w:rPr>
        <w:t>8.5环境管理情况分析</w:t>
      </w:r>
      <w:bookmarkEnd w:id="291"/>
      <w:bookmarkEnd w:id="292"/>
      <w:bookmarkEnd w:id="299"/>
      <w:bookmarkEnd w:id="300"/>
      <w:bookmarkEnd w:id="301"/>
      <w:bookmarkEnd w:id="302"/>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建设单位设置了相应的环境管理机构，并且正常履行了运行期的环境职责，运行初期的检测工作也已经完成，后续检测计划按周期正常进行。</w:t>
      </w:r>
    </w:p>
    <w:p>
      <w:pPr>
        <w:pStyle w:val="3"/>
        <w:rPr>
          <w:rFonts w:hint="default" w:ascii="Times New Roman" w:hAnsi="Times New Roman" w:eastAsia="宋体" w:cs="Times New Roman"/>
          <w:color w:val="000000" w:themeColor="text1"/>
          <w14:textFill>
            <w14:solidFill>
              <w14:schemeClr w14:val="tx1"/>
            </w14:solidFill>
          </w14:textFill>
        </w:rPr>
      </w:pPr>
      <w:bookmarkStart w:id="303" w:name="_Toc27984"/>
      <w:r>
        <w:rPr>
          <w:rFonts w:hint="default" w:ascii="Times New Roman" w:hAnsi="Times New Roman" w:eastAsia="宋体" w:cs="Times New Roman"/>
          <w:color w:val="000000" w:themeColor="text1"/>
          <w14:textFill>
            <w14:solidFill>
              <w14:schemeClr w14:val="tx1"/>
            </w14:solidFill>
          </w14:textFill>
        </w:rPr>
        <w:br w:type="page"/>
      </w:r>
    </w:p>
    <w:p>
      <w:pPr>
        <w:pStyle w:val="3"/>
        <w:rPr>
          <w:rFonts w:hint="default" w:ascii="Times New Roman" w:hAnsi="Times New Roman" w:eastAsia="宋体" w:cs="Times New Roman"/>
          <w:color w:val="000000" w:themeColor="text1"/>
          <w14:textFill>
            <w14:solidFill>
              <w14:schemeClr w14:val="tx1"/>
            </w14:solidFill>
          </w14:textFill>
        </w:rPr>
      </w:pPr>
      <w:bookmarkStart w:id="304" w:name="_Toc12811"/>
      <w:bookmarkStart w:id="305" w:name="_Toc11667"/>
      <w:bookmarkStart w:id="306" w:name="_Toc18158"/>
      <w:r>
        <w:rPr>
          <w:rFonts w:hint="default" w:ascii="Times New Roman" w:hAnsi="Times New Roman" w:eastAsia="宋体" w:cs="Times New Roman"/>
          <w:color w:val="000000" w:themeColor="text1"/>
          <w14:textFill>
            <w14:solidFill>
              <w14:schemeClr w14:val="tx1"/>
            </w14:solidFill>
          </w14:textFill>
        </w:rPr>
        <w:t>9结论和建议</w:t>
      </w:r>
      <w:bookmarkEnd w:id="303"/>
      <w:bookmarkEnd w:id="304"/>
      <w:bookmarkEnd w:id="305"/>
      <w:bookmarkEnd w:id="306"/>
    </w:p>
    <w:p>
      <w:pPr>
        <w:pStyle w:val="4"/>
        <w:rPr>
          <w:rFonts w:hint="default" w:ascii="Times New Roman" w:hAnsi="Times New Roman" w:eastAsia="宋体" w:cs="Times New Roman"/>
          <w:color w:val="000000" w:themeColor="text1"/>
          <w14:textFill>
            <w14:solidFill>
              <w14:schemeClr w14:val="tx1"/>
            </w14:solidFill>
          </w14:textFill>
        </w:rPr>
      </w:pPr>
      <w:bookmarkStart w:id="307" w:name="_Toc25092"/>
      <w:bookmarkStart w:id="308" w:name="_Toc3234"/>
      <w:bookmarkStart w:id="309" w:name="_Toc6888"/>
      <w:bookmarkStart w:id="310" w:name="_Toc8760"/>
      <w:r>
        <w:rPr>
          <w:rFonts w:hint="default" w:ascii="Times New Roman" w:hAnsi="Times New Roman" w:eastAsia="宋体" w:cs="Times New Roman"/>
          <w:color w:val="000000" w:themeColor="text1"/>
          <w14:textFill>
            <w14:solidFill>
              <w14:schemeClr w14:val="tx1"/>
            </w14:solidFill>
          </w14:textFill>
        </w:rPr>
        <w:t>9.1验收主要结论</w:t>
      </w:r>
      <w:bookmarkEnd w:id="307"/>
      <w:bookmarkEnd w:id="308"/>
      <w:bookmarkEnd w:id="309"/>
      <w:bookmarkEnd w:id="310"/>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bookmarkStart w:id="311" w:name="_Hlk496998889"/>
      <w:r>
        <w:rPr>
          <w:rFonts w:hint="default" w:ascii="Times New Roman" w:hAnsi="Times New Roman" w:eastAsia="宋体" w:cs="Times New Roman"/>
          <w:color w:val="000000" w:themeColor="text1"/>
          <w:sz w:val="24"/>
          <w:szCs w:val="24"/>
          <w14:textFill>
            <w14:solidFill>
              <w14:schemeClr w14:val="tx1"/>
            </w14:solidFill>
          </w14:textFill>
        </w:rPr>
        <w:t>（1）废气</w:t>
      </w:r>
    </w:p>
    <w:bookmarkEnd w:id="311"/>
    <w:p>
      <w:pPr>
        <w:keepNext w:val="0"/>
        <w:keepLines w:val="0"/>
        <w:pageBreakBefore w:val="0"/>
        <w:widowControl/>
        <w:numPr>
          <w:ilvl w:val="0"/>
          <w:numId w:val="0"/>
        </w:numPr>
        <w:shd w:val="clear" w:color="auto" w:fill="auto"/>
        <w:suppressAutoHyphens w:val="0"/>
        <w:kinsoku/>
        <w:overflowPunct/>
        <w:autoSpaceDE/>
        <w:bidi w:val="0"/>
        <w:snapToGrid w:val="0"/>
        <w:spacing w:before="0" w:after="0" w:line="380" w:lineRule="exact"/>
        <w:ind w:left="0" w:right="0" w:firstLine="42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造粒工序排气筒出口中非甲烷总烃最大平均浓度为3.28mg/m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，氯化氢最大平均浓度为1.2mg/m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烧碱、聚氯乙烯工业污染物排放标准》（GB15581-2016）中表4大气污染物特别排放限值要求；造粒工序排气筒出口中非甲烷总烃最低去除效率83%，不满足《工业企业挥发性有机物排放控制标准》（DB13/2322-2016）表1有机化工业排放标准要求；磨粉工序排气筒出口颗粒物最大平均浓度为2.3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，满足《烧碱、聚氯乙烯工业污染物排放标准》（GB15581-2016）中表4大气污染物特别排放限值要求。造粒工序排气筒出口废气中氯乙烯排放浓度满足《烧碱、聚氯乙烯工业污染物排放标准》（GB 15581-2016）表4大气污染物特别排放浓度限值要求。</w:t>
      </w:r>
    </w:p>
    <w:p>
      <w:pPr>
        <w:keepNext w:val="0"/>
        <w:keepLines w:val="0"/>
        <w:pageBreakBefore w:val="0"/>
        <w:widowControl/>
        <w:numPr>
          <w:ilvl w:val="0"/>
          <w:numId w:val="0"/>
        </w:numPr>
        <w:shd w:val="clear" w:color="auto" w:fill="auto"/>
        <w:suppressAutoHyphens w:val="0"/>
        <w:kinsoku/>
        <w:overflowPunct/>
        <w:autoSpaceDE/>
        <w:bidi w:val="0"/>
        <w:snapToGrid w:val="0"/>
        <w:spacing w:before="0" w:after="0" w:line="380" w:lineRule="exact"/>
        <w:ind w:left="0" w:right="0" w:firstLine="42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车间口非甲烷总烃排放浓度最大值为1.28mg/m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，满足河北省地方标准《工业企业挥发性有机物排放控制标准》（DB13/2322-2016）表3生产车间或生产设备边界大气污染物浓度限值要求及《挥发性有机物无组织排放控制标准》（GB37822-2019）表A.1中特别排放限值。</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pPr>
      <w:r>
        <w:rPr>
          <w:rFonts w:hint="default" w:ascii="Times New Roman" w:hAnsi="Times New Roman" w:eastAsia="宋体" w:cs="Times New Roman"/>
          <w:color w:val="auto"/>
          <w:kern w:val="0"/>
          <w:sz w:val="24"/>
          <w:szCs w:val="24"/>
          <w:lang w:val="en-US" w:eastAsia="zh-CN"/>
        </w:rPr>
        <w:t>厂界无组织非甲烷总烃排放浓度最大值为0.94mg/m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，满足《工业企业挥发性有机物排放控制标准》（DB13/2322-2016）表2其他企业边界大气污染物浓度限值要求；厂界无组织氯化氢排放浓度最大值为0.12mg/m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，均满足《烧碱、聚氯乙烯工业污染物排放标准》（GB15581-2016）中表5企业边界大气污染物排放限值；厂界无组织总悬浮颗粒物排放浓度最大值为0.375mg/m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，满足《大气污染物综合排放标准》（GB16297-1996）表2中无组织排放限值。厂界无组织废气中氯乙烯最大检测浓度满足《烧碱、聚氯乙烯工业污染物排放标准》（GB 15581-2016）表5企业边界大气污染物浓度限值要求</w:t>
      </w:r>
      <w:r>
        <w:rPr>
          <w:rFonts w:hint="eastAsia" w:ascii="Times New Roman" w:hAnsi="Times New Roman" w:eastAsia="宋体" w:cs="Times New Roman"/>
          <w:color w:val="auto"/>
          <w:kern w:val="0"/>
          <w:sz w:val="24"/>
          <w:szCs w:val="24"/>
          <w:lang w:val="en-US" w:eastAsia="zh-CN"/>
        </w:rPr>
        <w:t>。</w:t>
      </w:r>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（2）噪声</w:t>
      </w:r>
    </w:p>
    <w:p>
      <w:pPr>
        <w:keepNext w:val="0"/>
        <w:keepLines w:val="0"/>
        <w:pageBreakBefore w:val="0"/>
        <w:widowControl w:val="0"/>
        <w:numPr>
          <w:ilvl w:val="0"/>
          <w:numId w:val="0"/>
        </w:numPr>
        <w:kinsoku/>
        <w:wordWrap/>
        <w:overflowPunct/>
        <w:topLinePunct w:val="0"/>
        <w:autoSpaceDE/>
        <w:autoSpaceDN/>
        <w:bidi w:val="0"/>
        <w:adjustRightInd w:val="0"/>
        <w:snapToGrid/>
        <w:spacing w:line="480" w:lineRule="atLeast"/>
        <w:ind w:firstLine="480" w:firstLineChars="200"/>
        <w:textAlignment w:val="auto"/>
        <w:rPr>
          <w:rFonts w:ascii="Times New Roman" w:hAnsi="宋体" w:eastAsia="宋体" w:cs="Times New Roman"/>
          <w:sz w:val="24"/>
          <w:szCs w:val="24"/>
          <w:lang w:val="en-US" w:eastAsia="zh-CN" w:bidi="ar-SA"/>
        </w:rPr>
      </w:pPr>
      <w:bookmarkStart w:id="312" w:name="_Hlk496998963"/>
      <w:r>
        <w:rPr>
          <w:rFonts w:hint="default" w:ascii="Times New Roman" w:hAnsi="宋体" w:eastAsia="宋体" w:cs="Times New Roman"/>
          <w:sz w:val="24"/>
          <w:szCs w:val="24"/>
          <w:lang w:val="en-US" w:eastAsia="zh-CN" w:bidi="ar-SA"/>
        </w:rPr>
        <w:t>厂界昼间噪声最大值为55dB（A），夜间噪声最大值为47dB（A），均满足《工业企业厂界环境噪声排放标准》(GB 12348-2008)表1中2类标准限值</w:t>
      </w:r>
      <w:r>
        <w:rPr>
          <w:rFonts w:hint="eastAsia" w:ascii="Times New Roman" w:hAnsi="宋体" w:eastAsia="宋体" w:cs="Times New Roman"/>
          <w:sz w:val="24"/>
          <w:szCs w:val="24"/>
          <w:lang w:val="en-US" w:eastAsia="zh-CN" w:bidi="ar-SA"/>
        </w:rPr>
        <w:t>，符合《工业企业厂界环境噪声排放标准》（GB 12348-2008）表1中2类标准要求（昼间：≤60dB(A)，夜间：≤50dB(A)）。</w:t>
      </w:r>
    </w:p>
    <w:p>
      <w:pPr>
        <w:keepNext w:val="0"/>
        <w:keepLines w:val="0"/>
        <w:pageBreakBefore w:val="0"/>
        <w:widowControl w:val="0"/>
        <w:numPr>
          <w:ilvl w:val="0"/>
          <w:numId w:val="0"/>
        </w:numPr>
        <w:kinsoku/>
        <w:wordWrap/>
        <w:overflowPunct/>
        <w:topLinePunct w:val="0"/>
        <w:autoSpaceDE/>
        <w:autoSpaceDN/>
        <w:bidi w:val="0"/>
        <w:adjustRightInd w:val="0"/>
        <w:snapToGrid/>
        <w:spacing w:line="480" w:lineRule="atLeast"/>
        <w:ind w:firstLine="480" w:firstLineChars="200"/>
        <w:textAlignment w:val="auto"/>
        <w:rPr>
          <w:rFonts w:ascii="Times New Roman" w:hAnsi="宋体" w:eastAsia="宋体" w:cs="Times New Roman"/>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tLeast"/>
        <w:ind w:firstLine="480" w:firstLineChars="200"/>
        <w:textAlignment w:val="auto"/>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eastAsia" w:ascii="Times New Roman" w:hAnsi="Times New Roman" w:cs="Times New Roman"/>
          <w:color w:val="000000" w:themeColor="text1"/>
          <w:sz w:val="24"/>
          <w:szCs w:val="24"/>
          <w:highlight w:val="none"/>
          <w:lang w:eastAsia="zh-CN"/>
          <w14:textFill>
            <w14:solidFill>
              <w14:schemeClr w14:val="tx1"/>
            </w14:solidFill>
          </w14:textFill>
        </w:rPr>
        <w:t>（</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14:textFill>
            <w14:solidFill>
              <w14:schemeClr w14:val="tx1"/>
            </w14:solidFill>
          </w14:textFill>
        </w:rPr>
        <w:t>废水</w:t>
      </w:r>
    </w:p>
    <w:bookmarkEnd w:id="312"/>
    <w:p>
      <w:pPr>
        <w:pStyle w:val="5"/>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000000" w:themeColor="text1"/>
          <w:sz w:val="24"/>
          <w:szCs w:val="24"/>
          <w:lang w:eastAsia="zh-CN"/>
          <w14:textFill>
            <w14:solidFill>
              <w14:schemeClr w14:val="tx1"/>
            </w14:solidFill>
          </w14:textFill>
        </w:rPr>
      </w:pPr>
      <w:bookmarkStart w:id="313" w:name="_Toc4537"/>
      <w:bookmarkStart w:id="314" w:name="_Toc6926"/>
      <w:bookmarkStart w:id="322" w:name="_GoBack"/>
      <w:r>
        <w:rPr>
          <w:rFonts w:hint="eastAsia" w:ascii="Times New Roman" w:hAnsi="Times New Roman" w:eastAsia="宋体" w:cs="Times New Roman"/>
          <w:color w:val="000000" w:themeColor="text1"/>
          <w:sz w:val="24"/>
          <w:szCs w:val="24"/>
          <w:lang w:val="en-US" w:eastAsia="zh-CN"/>
          <w14:textFill>
            <w14:solidFill>
              <w14:schemeClr w14:val="tx1"/>
            </w14:solidFill>
          </w14:textFill>
        </w:rPr>
        <w:t>无生产废水产生，生活污水泼洒厂区抑尘，厂区设防渗旱厕，定期清掏，不外排。</w:t>
      </w:r>
      <w:bookmarkEnd w:id="322"/>
    </w:p>
    <w:p>
      <w:pPr>
        <w:spacing w:line="480" w:lineRule="atLeast"/>
        <w:ind w:firstLine="480" w:firstLineChars="200"/>
        <w:rPr>
          <w:rFonts w:hint="default" w:ascii="Times New Roman" w:hAnsi="Times New Roman" w:eastAsia="宋体" w:cs="Times New Roman"/>
          <w:color w:val="000000" w:themeColor="text1"/>
          <w:kern w:val="0"/>
          <w:sz w:val="24"/>
          <w:szCs w:val="21"/>
          <w:lang w:eastAsia="zh-CN"/>
          <w14:textFill>
            <w14:solidFill>
              <w14:schemeClr w14:val="tx1"/>
            </w14:solidFill>
          </w14:textFill>
        </w:rPr>
      </w:pPr>
      <w:r>
        <w:rPr>
          <w:rFonts w:hint="default" w:ascii="Times New Roman" w:hAnsi="Times New Roman" w:eastAsia="宋体" w:cs="Times New Roman"/>
          <w:color w:val="000000" w:themeColor="text1"/>
          <w:kern w:val="0"/>
          <w:sz w:val="24"/>
          <w:szCs w:val="21"/>
          <w:lang w:eastAsia="zh-CN"/>
          <w14:textFill>
            <w14:solidFill>
              <w14:schemeClr w14:val="tx1"/>
            </w14:solidFill>
          </w14:textFill>
        </w:rPr>
        <w:t>（4）固体废弃物</w:t>
      </w:r>
      <w:bookmarkEnd w:id="313"/>
      <w:bookmarkEnd w:id="314"/>
    </w:p>
    <w:p>
      <w:pPr>
        <w:pStyle w:val="5"/>
        <w:ind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bookmarkStart w:id="315" w:name="_Toc6395"/>
      <w:bookmarkStart w:id="316" w:name="_Toc24650"/>
      <w:bookmarkStart w:id="317" w:name="_Hlk496999304"/>
      <w:r>
        <w:rPr>
          <w:rFonts w:hint="eastAsia" w:ascii="Times New Roman" w:hAnsi="Times New Roman" w:eastAsia="宋体"/>
          <w:color w:val="000000" w:themeColor="text1"/>
          <w:sz w:val="24"/>
          <w:szCs w:val="24"/>
          <w:lang w:val="en-US" w:eastAsia="zh-CN"/>
          <w14:textFill>
            <w14:solidFill>
              <w14:schemeClr w14:val="tx1"/>
            </w14:solidFill>
          </w14:textFill>
        </w:rPr>
        <w:t>生产过程产生的不合格品回收利用；布袋除尘器收集的粉尘回用于生产，活性炭吸附装置产生的废活性炭，利用带有标志的专用容器收集、封口密闭后贮存于危废暂存间，设危废暂存间1间（建筑面积15m</w:t>
      </w:r>
      <w:r>
        <w:rPr>
          <w:rFonts w:hint="eastAsia" w:ascii="Times New Roman" w:hAnsi="Times New Roman" w:eastAsia="宋体"/>
          <w:color w:val="000000" w:themeColor="text1"/>
          <w:sz w:val="24"/>
          <w:szCs w:val="24"/>
          <w:vertAlign w:val="superscript"/>
          <w:lang w:val="en-US" w:eastAsia="zh-CN"/>
          <w14:textFill>
            <w14:solidFill>
              <w14:schemeClr w14:val="tx1"/>
            </w14:solidFill>
          </w14:textFill>
        </w:rPr>
        <w:t>2</w:t>
      </w:r>
      <w:r>
        <w:rPr>
          <w:rFonts w:hint="eastAsia" w:ascii="Times New Roman" w:hAnsi="Times New Roman" w:eastAsia="宋体"/>
          <w:color w:val="000000" w:themeColor="text1"/>
          <w:sz w:val="24"/>
          <w:szCs w:val="24"/>
          <w:lang w:val="en-US" w:eastAsia="zh-CN"/>
          <w14:textFill>
            <w14:solidFill>
              <w14:schemeClr w14:val="tx1"/>
            </w14:solidFill>
          </w14:textFill>
        </w:rPr>
        <w:t>），危险废物委托有资质的单位处理；职工生活垃圾收集后由环卫部门统一处理</w:t>
      </w:r>
      <w:r>
        <w:rPr>
          <w:rFonts w:hint="eastAsia" w:ascii="Times New Roman" w:hAnsi="Times New Roman"/>
          <w:color w:val="000000" w:themeColor="text1"/>
          <w:sz w:val="24"/>
          <w:szCs w:val="24"/>
          <w:lang w:val="en-US" w:eastAsia="zh-CN"/>
          <w14:textFill>
            <w14:solidFill>
              <w14:schemeClr w14:val="tx1"/>
            </w14:solidFill>
          </w14:textFill>
        </w:rPr>
        <w:t>。</w:t>
      </w:r>
    </w:p>
    <w:p>
      <w:pPr>
        <w:pStyle w:val="5"/>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lang w:eastAsia="zh-CN"/>
          <w14:textFill>
            <w14:solidFill>
              <w14:schemeClr w14:val="tx1"/>
            </w14:solidFill>
          </w14:textFill>
        </w:rPr>
        <w:t>）结论</w:t>
      </w:r>
      <w:bookmarkEnd w:id="315"/>
      <w:bookmarkEnd w:id="316"/>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综上分析，项目已按环评及批复要求进行了环境保护设施建设，根据监测结果可满足相关环境排放标准要求。</w:t>
      </w:r>
    </w:p>
    <w:bookmarkEnd w:id="317"/>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318" w:name="_Toc30691"/>
      <w:bookmarkStart w:id="319" w:name="_Toc21981"/>
      <w:bookmarkStart w:id="320" w:name="_Toc10340"/>
      <w:bookmarkStart w:id="321" w:name="_Toc18401"/>
      <w:r>
        <w:rPr>
          <w:rFonts w:hint="default" w:ascii="Times New Roman" w:hAnsi="Times New Roman" w:eastAsia="宋体" w:cs="Times New Roman"/>
          <w:color w:val="000000" w:themeColor="text1"/>
          <w14:textFill>
            <w14:solidFill>
              <w14:schemeClr w14:val="tx1"/>
            </w14:solidFill>
          </w14:textFill>
        </w:rPr>
        <w:t>9.2建议</w:t>
      </w:r>
      <w:bookmarkEnd w:id="318"/>
      <w:bookmarkEnd w:id="319"/>
      <w:bookmarkEnd w:id="320"/>
      <w:bookmarkEnd w:id="321"/>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lang w:eastAsia="zh-CN"/>
          <w14:textFill>
            <w14:solidFill>
              <w14:schemeClr w14:val="tx1"/>
            </w14:solidFill>
          </w14:textFill>
        </w:rPr>
        <w:t>企业定期对设备设施进行维护、检修；定期对员工进行培训，提高员工安全环保意识。</w:t>
      </w:r>
      <w:r>
        <w:rPr>
          <w:rFonts w:hint="eastAsia" w:ascii="Times New Roman" w:hAnsi="Times New Roman" w:eastAsia="宋体" w:cs="Times New Roman"/>
          <w:color w:val="000000" w:themeColor="text1"/>
          <w:sz w:val="24"/>
          <w:szCs w:val="24"/>
          <w:lang w:eastAsia="zh-CN"/>
          <w14:textFill>
            <w14:solidFill>
              <w14:schemeClr w14:val="tx1"/>
            </w14:solidFill>
          </w14:textFill>
        </w:rPr>
        <w:t>确保</w:t>
      </w:r>
      <w:r>
        <w:rPr>
          <w:rFonts w:hint="default" w:ascii="Times New Roman" w:hAnsi="Times New Roman" w:eastAsia="宋体" w:cs="Times New Roman"/>
          <w:color w:val="000000" w:themeColor="text1"/>
          <w:sz w:val="24"/>
          <w:szCs w:val="24"/>
          <w14:textFill>
            <w14:solidFill>
              <w14:schemeClr w14:val="tx1"/>
            </w14:solidFill>
          </w14:textFill>
        </w:rPr>
        <w:t>各项环保</w:t>
      </w:r>
      <w:r>
        <w:rPr>
          <w:rFonts w:hint="eastAsia" w:ascii="Times New Roman" w:hAnsi="Times New Roman" w:eastAsia="宋体" w:cs="Times New Roman"/>
          <w:color w:val="000000" w:themeColor="text1"/>
          <w:sz w:val="24"/>
          <w:szCs w:val="24"/>
          <w:lang w:eastAsia="zh-CN"/>
          <w14:textFill>
            <w14:solidFill>
              <w14:schemeClr w14:val="tx1"/>
            </w14:solidFill>
          </w14:textFill>
        </w:rPr>
        <w:t>设施正常运行</w:t>
      </w:r>
      <w:r>
        <w:rPr>
          <w:rFonts w:hint="default" w:ascii="Times New Roman" w:hAnsi="Times New Roman" w:eastAsia="宋体" w:cs="Times New Roman"/>
          <w:color w:val="000000" w:themeColor="text1"/>
          <w:sz w:val="24"/>
          <w:szCs w:val="24"/>
          <w14:textFill>
            <w14:solidFill>
              <w14:schemeClr w14:val="tx1"/>
            </w14:solidFill>
          </w14:textFill>
        </w:rPr>
        <w:t>，确保污染物达标排放。应加强环保管理，</w:t>
      </w:r>
      <w:r>
        <w:rPr>
          <w:rFonts w:hint="eastAsia" w:ascii="Times New Roman" w:hAnsi="Times New Roman" w:eastAsia="宋体" w:cs="Times New Roman"/>
          <w:color w:val="000000" w:themeColor="text1"/>
          <w:sz w:val="24"/>
          <w:szCs w:val="24"/>
          <w:lang w:eastAsia="zh-CN"/>
          <w14:textFill>
            <w14:solidFill>
              <w14:schemeClr w14:val="tx1"/>
            </w14:solidFill>
          </w14:textFill>
        </w:rPr>
        <w:t>加强巡检力度，</w:t>
      </w:r>
      <w:r>
        <w:rPr>
          <w:rFonts w:hint="default" w:ascii="Times New Roman" w:hAnsi="Times New Roman" w:eastAsia="宋体" w:cs="Times New Roman"/>
          <w:color w:val="000000" w:themeColor="text1"/>
          <w:sz w:val="24"/>
          <w:szCs w:val="24"/>
          <w14:textFill>
            <w14:solidFill>
              <w14:schemeClr w14:val="tx1"/>
            </w14:solidFill>
          </w14:textFill>
        </w:rPr>
        <w:t>发现问题及时处理。</w:t>
      </w:r>
    </w:p>
    <w:p>
      <w:pPr>
        <w:widowControl/>
        <w:spacing w:line="480" w:lineRule="atLeast"/>
        <w:ind w:firstLine="480" w:firstLineChars="200"/>
        <w:jc w:val="both"/>
        <w:rPr>
          <w:rFonts w:hint="default" w:ascii="Times New Roman" w:hAnsi="Times New Roman" w:eastAsia="宋体" w:cs="Times New Roman"/>
          <w:color w:val="000000" w:themeColor="text1"/>
          <w:sz w:val="24"/>
          <w:szCs w:val="24"/>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建设项目工程竣工环境保护“三同时”验收登记表</w:t>
      </w:r>
    </w:p>
    <w:p>
      <w:pPr>
        <w:ind w:firstLine="210" w:firstLineChars="1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填表单位（盖章）：</w:t>
      </w:r>
      <w:r>
        <w:rPr>
          <w:rFonts w:hint="eastAsia" w:ascii="Times New Roman" w:hAnsi="Times New Roman" w:cs="Times New Roman"/>
          <w:color w:val="000000" w:themeColor="text1"/>
          <w:lang w:eastAsia="zh-CN"/>
          <w14:textFill>
            <w14:solidFill>
              <w14:schemeClr w14:val="tx1"/>
            </w14:solidFill>
          </w14:textFill>
        </w:rPr>
        <w:t>沧州东合塑业有限公司</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填表人（签字）：</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项目经办人（签字）：</w:t>
      </w:r>
    </w:p>
    <w:tbl>
      <w:tblPr>
        <w:tblStyle w:val="21"/>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172"/>
        <w:gridCol w:w="994"/>
        <w:gridCol w:w="1719"/>
        <w:gridCol w:w="1028"/>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color w:val="000000" w:themeColor="text1"/>
                <w:sz w:val="15"/>
                <w:szCs w:val="15"/>
                <w14:textFill>
                  <w14:solidFill>
                    <w14:schemeClr w14:val="tx1"/>
                  </w14:solidFill>
                </w14:textFill>
              </w:rPr>
            </w:pPr>
            <w:r>
              <w:rPr>
                <w:rFonts w:hint="eastAsia" w:ascii="Times New Roman" w:hAnsi="Times New Roman"/>
                <w:b w:val="0"/>
                <w:bCs/>
                <w:color w:val="000000" w:themeColor="text1"/>
                <w:sz w:val="15"/>
                <w:szCs w:val="15"/>
                <w:lang w:eastAsia="zh-CN"/>
                <w14:textFill>
                  <w14:solidFill>
                    <w14:schemeClr w14:val="tx1"/>
                  </w14:solidFill>
                </w14:textFill>
              </w:rPr>
              <w:t>沧州东合塑业有限公司</w:t>
            </w:r>
            <w:r>
              <w:rPr>
                <w:rFonts w:hint="eastAsia" w:ascii="Times New Roman" w:hAnsi="Times New Roman"/>
                <w:b w:val="0"/>
                <w:bCs/>
                <w:color w:val="000000" w:themeColor="text1"/>
                <w:sz w:val="15"/>
                <w:szCs w:val="15"/>
                <w:lang w:val="en-US" w:eastAsia="zh-CN"/>
                <w14:textFill>
                  <w14:solidFill>
                    <w14:schemeClr w14:val="tx1"/>
                  </w14:solidFill>
                </w14:textFill>
              </w:rPr>
              <w:t>塑料制品生产线技术改造项目</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项目代码</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color w:val="000000" w:themeColor="text1"/>
                <w:sz w:val="15"/>
                <w:szCs w:val="15"/>
                <w:lang w:eastAsia="zh-CN"/>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河北省沧州市沧县风华店乡曹庄子村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行业分类(分类管理名录)</w:t>
            </w:r>
          </w:p>
        </w:tc>
        <w:tc>
          <w:tcPr>
            <w:tcW w:w="4750" w:type="dxa"/>
            <w:gridSpan w:val="7"/>
            <w:tcMar>
              <w:left w:w="6" w:type="dxa"/>
              <w:right w:w="6" w:type="dxa"/>
            </w:tcMar>
          </w:tcPr>
          <w:p>
            <w:pPr>
              <w:spacing w:line="260" w:lineRule="exact"/>
              <w:rPr>
                <w:rFonts w:hint="default" w:ascii="Times New Roman" w:hAnsi="Times New Roman" w:eastAsia="宋体" w:cs="黑体"/>
                <w:b w:val="0"/>
                <w:bCs/>
                <w:color w:val="000000" w:themeColor="text1"/>
                <w:sz w:val="15"/>
                <w:szCs w:val="15"/>
                <w:lang w:val="en-US"/>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塑料制品业 C2929</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建设性质</w:t>
            </w:r>
          </w:p>
        </w:tc>
        <w:tc>
          <w:tcPr>
            <w:tcW w:w="7030" w:type="dxa"/>
            <w:gridSpan w:val="9"/>
            <w:tcMar>
              <w:left w:w="6" w:type="dxa"/>
              <w:right w:w="6" w:type="dxa"/>
            </w:tcMar>
          </w:tcPr>
          <w:p>
            <w:pPr>
              <w:spacing w:line="260" w:lineRule="exact"/>
              <w:ind w:firstLine="210" w:firstLineChars="100"/>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41275</wp:posOffset>
                      </wp:positionH>
                      <wp:positionV relativeFrom="page">
                        <wp:posOffset>70485</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3.25pt;margin-top:5.55pt;height:5.6pt;width:5.25pt;mso-position-vertical-relative:page;z-index:251660288;v-text-anchor:middle;mso-width-relative:page;mso-height-relative:page;" fillcolor="#FFFFFF" filled="t" stroked="t" coordsize="21600,21600" o:gfxdata="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nYLh3TAAAABgEAAA8AAAAAAAAAAQAgAAAAIgAAAGRycy9kb3du&#10;cmV2LnhtbFBLAQIUABQAAAAIAIdO4kBSwdZpBAIAACoEAAAOAAAAAAAAAAEAIAAAACIBAABkcnMv&#10;ZTJvRG9jLnhtbFBLBQYAAAAABgAGAFkBAACYBQAAAAA=&#10;">
                      <v:fill on="t" focussize="0,0"/>
                      <v:stroke weight="1pt" color="#000000" joinstyle="miter"/>
                      <v:imagedata o:title=""/>
                      <o:lock v:ext="edit" aspectratio="f"/>
                    </v:rect>
                  </w:pict>
                </mc:Fallback>
              </mc:AlternateContent>
            </w:r>
            <w:r>
              <w:rPr>
                <w:rFonts w:hint="default" w:ascii="Times New Roman" w:hAnsi="Times New Roman" w:eastAsia="宋体" w:cs="Times New Roman"/>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334645</wp:posOffset>
                      </wp:positionH>
                      <wp:positionV relativeFrom="page">
                        <wp:posOffset>73025</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26.35pt;margin-top:5.75pt;height:5.6pt;width:5.25pt;mso-position-vertical-relative:page;z-index:251661312;v-text-anchor:middle;mso-width-relative:page;mso-height-relative:page;" fillcolor="#000000" filled="t" stroked="t" coordsize="21600,21600" o:gfxdata="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6UNYAAAAHAQAADwAAAAAAAAABACAAAAAiAAAAZHJzL2Rvd25yZXYu&#10;eG1sUEsBAhQAFAAAAAgAh07iQNUp42b9AQAAKgQAAA4AAAAAAAAAAQAgAAAAJQEAAGRycy9lMm9E&#10;b2MueG1sUEsFBgAAAAAGAAYAWQEAAJQFAAAAAA==&#10;">
                      <v:fill on="t" focussize="0,0"/>
                      <v:stroke weight="1pt" color="#000000" joinstyle="miter"/>
                      <v:imagedata o:title=""/>
                      <o:lock v:ext="edit" aspectratio="f"/>
                    </v:rect>
                  </w:pict>
                </mc:Fallback>
              </mc:AlternateContent>
            </w:r>
            <w:r>
              <w:rPr>
                <w:rFonts w:hint="default" w:ascii="Times New Roman" w:hAnsi="Times New Roman" w:eastAsia="宋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color w:val="000000" w:themeColor="text1"/>
                <w:sz w:val="15"/>
                <w:szCs w:val="15"/>
                <w14:textFill>
                  <w14:solidFill>
                    <w14:schemeClr w14:val="tx1"/>
                  </w14:solidFill>
                </w14:textFill>
              </w:rPr>
              <w:t>新建</w:t>
            </w:r>
            <w:r>
              <w:rPr>
                <w:rFonts w:hint="eastAsia" w:ascii="Times New Roman" w:hAnsi="Times New Roman" w:cs="Times New Roman"/>
                <w:color w:val="000000" w:themeColor="text1"/>
                <w:sz w:val="15"/>
                <w:szCs w:val="15"/>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15"/>
                <w:szCs w:val="15"/>
                <w14:textFill>
                  <w14:solidFill>
                    <w14:schemeClr w14:val="tx1"/>
                  </w14:solidFill>
                </w14:textFill>
              </w:rPr>
              <w:t>改扩建</w:t>
            </w:r>
            <w:r>
              <w:rPr>
                <w:rFonts w:hint="eastAsia" w:ascii="Times New Roman" w:hAnsi="Times New Roman" w:cs="Times New Roman"/>
                <w:color w:val="000000" w:themeColor="text1"/>
                <w:sz w:val="15"/>
                <w:szCs w:val="15"/>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15"/>
                <w:szCs w:val="15"/>
                <w14:textFill>
                  <w14:solidFill>
                    <w14:schemeClr w14:val="tx1"/>
                  </w14:solidFill>
                </w14:textFill>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color w:val="000000" w:themeColor="text1"/>
                <w:sz w:val="15"/>
                <w:szCs w:val="15"/>
                <w:lang w:val="en-US"/>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年产 1000 吨塑料制品</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实际生产能力</w:t>
            </w:r>
          </w:p>
        </w:tc>
        <w:tc>
          <w:tcPr>
            <w:tcW w:w="2713" w:type="dxa"/>
            <w:gridSpan w:val="2"/>
            <w:tcMar>
              <w:left w:w="6" w:type="dxa"/>
              <w:right w:w="6" w:type="dxa"/>
            </w:tcMar>
          </w:tcPr>
          <w:p>
            <w:pPr>
              <w:spacing w:line="260" w:lineRule="exact"/>
              <w:rPr>
                <w:rFonts w:hint="eastAsia"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年产 1000 吨塑料制品</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14:textFill>
                  <w14:solidFill>
                    <w14:schemeClr w14:val="tx1"/>
                  </w14:solidFill>
                </w14:textFill>
              </w:rPr>
            </w:pPr>
            <w:r>
              <w:rPr>
                <w:rFonts w:hint="default" w:ascii="Times New Roman" w:hAnsi="Times New Roman" w:eastAsia="宋体" w:cs="Times New Roman"/>
                <w:b w:val="0"/>
                <w:bCs/>
                <w:color w:val="000000" w:themeColor="text1"/>
                <w:sz w:val="15"/>
                <w:szCs w:val="15"/>
                <w14:textFill>
                  <w14:solidFill>
                    <w14:schemeClr w14:val="tx1"/>
                  </w14:solidFill>
                </w14:textFill>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eastAsia" w:ascii="Times New Roman" w:hAnsi="Times New Roman"/>
                <w:b w:val="0"/>
                <w:bCs/>
                <w:color w:val="000000" w:themeColor="text1"/>
                <w:sz w:val="15"/>
                <w:szCs w:val="15"/>
                <w:lang w:val="en-US" w:eastAsia="zh-CN"/>
                <w14:textFill>
                  <w14:solidFill>
                    <w14:schemeClr w14:val="tx1"/>
                  </w14:solidFill>
                </w14:textFill>
              </w:rPr>
              <w:t>河北尚锐环保科技有限公司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14:textFill>
                  <w14:solidFill>
                    <w14:schemeClr w14:val="tx1"/>
                  </w14:solidFill>
                </w14:textFill>
              </w:rPr>
            </w:pPr>
            <w:r>
              <w:rPr>
                <w:rFonts w:hint="eastAsia" w:ascii="Times New Roman" w:hAnsi="Times New Roman"/>
                <w:b w:val="0"/>
                <w:bCs/>
                <w:color w:val="000000" w:themeColor="text1"/>
                <w:sz w:val="15"/>
                <w:szCs w:val="15"/>
                <w:lang w:val="en-US" w:eastAsia="zh-CN"/>
                <w14:textFill>
                  <w14:solidFill>
                    <w14:schemeClr w14:val="tx1"/>
                  </w14:solidFill>
                </w14:textFill>
              </w:rPr>
              <w:t>沧县行政审批局</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审批文号</w:t>
            </w:r>
          </w:p>
        </w:tc>
        <w:tc>
          <w:tcPr>
            <w:tcW w:w="2713" w:type="dxa"/>
            <w:gridSpan w:val="2"/>
            <w:tcMar>
              <w:left w:w="6" w:type="dxa"/>
              <w:right w:w="6" w:type="dxa"/>
            </w:tcMar>
          </w:tcPr>
          <w:p>
            <w:pPr>
              <w:spacing w:line="260" w:lineRule="exact"/>
              <w:jc w:val="center"/>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eastAsia" w:ascii="Times New Roman" w:hAnsi="Times New Roman"/>
                <w:b w:val="0"/>
                <w:bCs/>
                <w:color w:val="000000" w:themeColor="text1"/>
                <w:sz w:val="15"/>
                <w:szCs w:val="15"/>
                <w:lang w:val="en-US" w:eastAsia="zh-CN"/>
                <w14:textFill>
                  <w14:solidFill>
                    <w14:schemeClr w14:val="tx1"/>
                  </w14:solidFill>
                </w14:textFill>
              </w:rPr>
              <w:t>沧县行审（环）扩字【2021】076号</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14:textFill>
                  <w14:solidFill>
                    <w14:schemeClr w14:val="tx1"/>
                  </w14:solidFill>
                </w14:textFill>
              </w:rPr>
            </w:pPr>
            <w:r>
              <w:rPr>
                <w:rFonts w:hint="default" w:ascii="Times New Roman" w:hAnsi="Times New Roman" w:eastAsia="宋体" w:cs="Times New Roman"/>
                <w:b w:val="0"/>
                <w:bCs/>
                <w:color w:val="000000" w:themeColor="text1"/>
                <w:sz w:val="15"/>
                <w:szCs w:val="15"/>
                <w14:textFill>
                  <w14:solidFill>
                    <w14:schemeClr w14:val="tx1"/>
                  </w14:solidFill>
                </w14:textFill>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竣工日期</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环保设施施工单位</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环保设施监测单位</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20</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环保投资总概算(万元)</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20</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实际环保投资(万元)</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废水治理（万元）</w:t>
            </w:r>
          </w:p>
        </w:tc>
        <w:tc>
          <w:tcPr>
            <w:tcW w:w="781"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276"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废气治理（万元）</w:t>
            </w:r>
          </w:p>
        </w:tc>
        <w:tc>
          <w:tcPr>
            <w:tcW w:w="850" w:type="dxa"/>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276"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噪声治理(万元)</w:t>
            </w:r>
          </w:p>
        </w:tc>
        <w:tc>
          <w:tcPr>
            <w:tcW w:w="567" w:type="dxa"/>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固体废物治理（万元）</w:t>
            </w:r>
          </w:p>
        </w:tc>
        <w:tc>
          <w:tcPr>
            <w:tcW w:w="2713" w:type="dxa"/>
            <w:gridSpan w:val="2"/>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66"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其他（万元）</w:t>
            </w:r>
          </w:p>
        </w:tc>
        <w:tc>
          <w:tcPr>
            <w:tcW w:w="850"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新增废气处理设施能力</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2400</w:t>
            </w:r>
            <w:r>
              <w:rPr>
                <w:rFonts w:hint="eastAsia" w:ascii="Times New Roman" w:hAnsi="Times New Roman" w:eastAsia="宋体" w:cs="Times New Roman"/>
                <w:color w:val="000000" w:themeColor="text1"/>
                <w:sz w:val="15"/>
                <w:szCs w:val="15"/>
                <w:lang w:val="en-US" w:eastAsia="zh-CN"/>
                <w14:textFill>
                  <w14:solidFill>
                    <w14:schemeClr w14:val="tx1"/>
                  </w14:solidFill>
                </w14:textFill>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color w:val="000000" w:themeColor="text1"/>
                <w:sz w:val="15"/>
                <w:szCs w:val="15"/>
                <w:lang w:eastAsia="zh-CN"/>
                <w14:textFill>
                  <w14:solidFill>
                    <w14:schemeClr w14:val="tx1"/>
                  </w14:solidFill>
                </w14:textFill>
              </w:rPr>
            </w:pPr>
            <w:r>
              <w:rPr>
                <w:rFonts w:hint="eastAsia" w:ascii="Times New Roman" w:hAnsi="Times New Roman"/>
                <w:b w:val="0"/>
                <w:bCs/>
                <w:color w:val="000000" w:themeColor="text1"/>
                <w:sz w:val="15"/>
                <w:szCs w:val="15"/>
                <w:lang w:eastAsia="zh-CN"/>
                <w14:textFill>
                  <w14:solidFill>
                    <w14:schemeClr w14:val="tx1"/>
                  </w14:solidFill>
                </w14:textFill>
              </w:rPr>
              <w:t>沧州东合塑业有限公司</w:t>
            </w:r>
          </w:p>
        </w:tc>
        <w:tc>
          <w:tcPr>
            <w:tcW w:w="3300" w:type="dxa"/>
            <w:gridSpan w:val="4"/>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运营单位社会统一信用代码(或组织机构代码)</w:t>
            </w: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default" w:ascii="Times New Roman" w:hAnsi="Times New Roman" w:eastAsia="微软雅黑" w:cs="Times New Roman"/>
                <w:i w:val="0"/>
                <w:caps w:val="0"/>
                <w:color w:val="000000" w:themeColor="text1"/>
                <w:spacing w:val="0"/>
                <w:sz w:val="15"/>
                <w:szCs w:val="15"/>
                <w:shd w:val="clear" w:fill="FFFFFF"/>
                <w14:textFill>
                  <w14:solidFill>
                    <w14:schemeClr w14:val="tx1"/>
                  </w14:solidFill>
                </w14:textFill>
              </w:rPr>
              <w:t>91130921MA07Q5009H</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原有排放量(1)</w:t>
            </w:r>
          </w:p>
        </w:tc>
        <w:tc>
          <w:tcPr>
            <w:tcW w:w="113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本期工程自身削减量(5)</w:t>
            </w:r>
          </w:p>
        </w:tc>
        <w:tc>
          <w:tcPr>
            <w:tcW w:w="1172"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本期工程实际排放量(6)</w:t>
            </w: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本期工程核定排放总量(7)</w:t>
            </w: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本期工程“以新带老”削减量(8)</w:t>
            </w: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废水</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72" w:type="dxa"/>
            <w:tcMar>
              <w:left w:w="6" w:type="dxa"/>
              <w:right w:w="6" w:type="dxa"/>
            </w:tcMar>
            <w:vAlign w:val="top"/>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化学需氧量</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72"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氨氮</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废气</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b w:val="0"/>
                <w:bCs w:val="0"/>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1172" w:type="dxa"/>
            <w:tcMar>
              <w:left w:w="6" w:type="dxa"/>
              <w:right w:w="6" w:type="dxa"/>
            </w:tcMar>
            <w:vAlign w:val="top"/>
          </w:tcPr>
          <w:p>
            <w:pPr>
              <w:spacing w:line="260" w:lineRule="exact"/>
              <w:jc w:val="center"/>
              <w:rPr>
                <w:rFonts w:hint="eastAsia" w:ascii="Times New Roman" w:hAnsi="Times New Roman" w:eastAsia="宋体" w:cs="Times New Roman"/>
                <w:b w:val="0"/>
                <w:bCs w:val="0"/>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二氧化硫</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烟尘</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工业粉尘</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0.040</w:t>
            </w: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氮氧化物</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工业固体废物</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color w:val="000000" w:themeColor="text1"/>
                <w:spacing w:val="-20"/>
                <w:sz w:val="15"/>
                <w:szCs w:val="15"/>
                <w14:textFill>
                  <w14:solidFill>
                    <w14:schemeClr w14:val="tx1"/>
                  </w14:solidFill>
                </w14:textFill>
              </w:rPr>
            </w:pPr>
            <w:r>
              <w:rPr>
                <w:rFonts w:hint="eastAsia" w:ascii="Times New Roman" w:hAnsi="Times New Roman" w:eastAsia="宋体"/>
                <w:b w:val="0"/>
                <w:bCs/>
                <w:color w:val="000000" w:themeColor="text1"/>
                <w:sz w:val="15"/>
                <w:szCs w:val="15"/>
                <w14:textFill>
                  <w14:solidFill>
                    <w14:schemeClr w14:val="tx1"/>
                  </w14:solidFill>
                </w14:textFill>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lang w:val="en-US" w:eastAsia="zh-CN"/>
                <w14:textFill>
                  <w14:solidFill>
                    <w14:schemeClr w14:val="tx1"/>
                  </w14:solidFill>
                </w14:textFill>
              </w:rPr>
            </w:pPr>
            <w:r>
              <w:rPr>
                <w:rFonts w:hint="eastAsia" w:ascii="Times New Roman" w:hAnsi="Times New Roman" w:cs="Times New Roman"/>
                <w:b w:val="0"/>
                <w:bCs w:val="0"/>
                <w:color w:val="000000" w:themeColor="text1"/>
                <w:sz w:val="15"/>
                <w:szCs w:val="15"/>
                <w:lang w:val="en-US" w:eastAsia="zh-CN"/>
                <w14:textFill>
                  <w14:solidFill>
                    <w14:schemeClr w14:val="tx1"/>
                  </w14:solidFill>
                </w14:textFill>
              </w:rPr>
              <w:t>0.055</w:t>
            </w: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117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758"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13" w:type="dxa"/>
            <w:tcMar>
              <w:left w:w="6" w:type="dxa"/>
              <w:right w:w="6" w:type="dxa"/>
            </w:tcMar>
            <w:vAlign w:val="center"/>
          </w:tcPr>
          <w:p>
            <w:pPr>
              <w:spacing w:line="280" w:lineRule="atLeast"/>
              <w:jc w:val="center"/>
              <w:rPr>
                <w:rFonts w:hint="default" w:ascii="Times New Roman" w:hAnsi="Times New Roman" w:eastAsia="宋体" w:cs="Times New Roman"/>
                <w:b w:val="0"/>
                <w:bCs/>
                <w:color w:val="000000" w:themeColor="text1"/>
                <w:spacing w:val="-20"/>
                <w:sz w:val="15"/>
                <w:szCs w:val="15"/>
                <w14:textFill>
                  <w14:solidFill>
                    <w14:schemeClr w14:val="tx1"/>
                  </w14:solidFill>
                </w14:textFill>
              </w:rPr>
            </w:pPr>
            <w:r>
              <w:rPr>
                <w:rFonts w:hint="eastAsia" w:ascii="Times New Roman" w:hAnsi="Times New Roman" w:eastAsia="宋体"/>
                <w:b w:val="0"/>
                <w:bCs/>
                <w:color w:val="000000" w:themeColor="text1"/>
                <w:sz w:val="15"/>
                <w:szCs w:val="15"/>
                <w14:textFill>
                  <w14:solidFill>
                    <w14:schemeClr w14:val="tx1"/>
                  </w14:solidFill>
                </w14:textFill>
              </w:rPr>
              <w:t>氯化氢</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0.021</w:t>
            </w: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left"/>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758"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13"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氯乙烯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0.078</w:t>
            </w: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bl>
    <w:p>
      <w:pPr>
        <w:ind w:firstLine="750" w:firstLineChars="500"/>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s="Times New Roman"/>
          <w:color w:val="000000" w:themeColor="text1"/>
          <w:sz w:val="15"/>
          <w14:textFill>
            <w14:solidFill>
              <w14:schemeClr w14:val="tx1"/>
            </w14:solidFill>
          </w14:textFill>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 Ligh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沧州东合塑业有限公司塑料制品生产线技术改造项目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CA69D4"/>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4E3FF0"/>
    <w:rsid w:val="1A593FED"/>
    <w:rsid w:val="1A7E60A3"/>
    <w:rsid w:val="1B354331"/>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8510B0"/>
    <w:rsid w:val="2C914E3F"/>
    <w:rsid w:val="2CA22636"/>
    <w:rsid w:val="2CE73E1C"/>
    <w:rsid w:val="2DEB55D6"/>
    <w:rsid w:val="2DFA3B87"/>
    <w:rsid w:val="2E082A95"/>
    <w:rsid w:val="2EF23990"/>
    <w:rsid w:val="2F2473F1"/>
    <w:rsid w:val="2F3A716E"/>
    <w:rsid w:val="2FD14B32"/>
    <w:rsid w:val="30895A8A"/>
    <w:rsid w:val="30AB7CA3"/>
    <w:rsid w:val="31210606"/>
    <w:rsid w:val="3225051F"/>
    <w:rsid w:val="322B6C9D"/>
    <w:rsid w:val="32755F0F"/>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3F154676"/>
    <w:rsid w:val="4111649F"/>
    <w:rsid w:val="421B5153"/>
    <w:rsid w:val="421E388B"/>
    <w:rsid w:val="422C5F7B"/>
    <w:rsid w:val="4347397F"/>
    <w:rsid w:val="445F75CD"/>
    <w:rsid w:val="447A310C"/>
    <w:rsid w:val="458A0BC7"/>
    <w:rsid w:val="45D31AC8"/>
    <w:rsid w:val="45EE63E9"/>
    <w:rsid w:val="485A65CB"/>
    <w:rsid w:val="4A283569"/>
    <w:rsid w:val="4A8D49E3"/>
    <w:rsid w:val="4AAA6ED1"/>
    <w:rsid w:val="4AAB7C45"/>
    <w:rsid w:val="4B0D2D46"/>
    <w:rsid w:val="4B7E5B15"/>
    <w:rsid w:val="4C1E03F9"/>
    <w:rsid w:val="4C72320F"/>
    <w:rsid w:val="4C902FFF"/>
    <w:rsid w:val="4DC537AE"/>
    <w:rsid w:val="4EAC0405"/>
    <w:rsid w:val="4F1713C5"/>
    <w:rsid w:val="4F3C6A41"/>
    <w:rsid w:val="4F9D54C9"/>
    <w:rsid w:val="4FE6264D"/>
    <w:rsid w:val="50173FCB"/>
    <w:rsid w:val="512E7FBA"/>
    <w:rsid w:val="51806F8B"/>
    <w:rsid w:val="53365CEE"/>
    <w:rsid w:val="53B33B1C"/>
    <w:rsid w:val="54482B82"/>
    <w:rsid w:val="54511922"/>
    <w:rsid w:val="54626FB4"/>
    <w:rsid w:val="54713309"/>
    <w:rsid w:val="557A527E"/>
    <w:rsid w:val="5702376B"/>
    <w:rsid w:val="57723443"/>
    <w:rsid w:val="586F124F"/>
    <w:rsid w:val="59EB0033"/>
    <w:rsid w:val="5B916452"/>
    <w:rsid w:val="5B982079"/>
    <w:rsid w:val="5BA01B74"/>
    <w:rsid w:val="5BA85FF5"/>
    <w:rsid w:val="5DF16C64"/>
    <w:rsid w:val="5DFF2C8C"/>
    <w:rsid w:val="5E115ABF"/>
    <w:rsid w:val="5EFA4D6F"/>
    <w:rsid w:val="5F0C1043"/>
    <w:rsid w:val="5FC7299C"/>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427D70"/>
    <w:rsid w:val="6957122A"/>
    <w:rsid w:val="69FC3B4D"/>
    <w:rsid w:val="6A0B0A00"/>
    <w:rsid w:val="6AF23142"/>
    <w:rsid w:val="6B184FC4"/>
    <w:rsid w:val="6B1B3C01"/>
    <w:rsid w:val="6C6C4418"/>
    <w:rsid w:val="6CE06728"/>
    <w:rsid w:val="6D27087A"/>
    <w:rsid w:val="6DC30E5B"/>
    <w:rsid w:val="6F4B669E"/>
    <w:rsid w:val="6F6C06CA"/>
    <w:rsid w:val="702B2008"/>
    <w:rsid w:val="70FC22C7"/>
    <w:rsid w:val="71C6608B"/>
    <w:rsid w:val="72D179BF"/>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3">
    <w:name w:val="heading 1"/>
    <w:basedOn w:val="1"/>
    <w:next w:val="1"/>
    <w:qFormat/>
    <w:uiPriority w:val="0"/>
    <w:pPr>
      <w:spacing w:line="480" w:lineRule="atLeast"/>
      <w:outlineLvl w:val="0"/>
    </w:pPr>
    <w:rPr>
      <w:rFonts w:ascii="宋体" w:hAnsi="宋体"/>
      <w:b/>
      <w:sz w:val="30"/>
      <w:szCs w:val="30"/>
    </w:rPr>
  </w:style>
  <w:style w:type="paragraph" w:styleId="4">
    <w:name w:val="heading 2"/>
    <w:basedOn w:val="3"/>
    <w:next w:val="1"/>
    <w:semiHidden/>
    <w:unhideWhenUsed/>
    <w:qFormat/>
    <w:uiPriority w:val="0"/>
    <w:pPr>
      <w:outlineLvl w:val="1"/>
    </w:pPr>
    <w:rPr>
      <w:sz w:val="28"/>
    </w:rPr>
  </w:style>
  <w:style w:type="paragraph" w:styleId="5">
    <w:name w:val="heading 3"/>
    <w:basedOn w:val="1"/>
    <w:next w:val="1"/>
    <w:unhideWhenUsed/>
    <w:qFormat/>
    <w:uiPriority w:val="0"/>
    <w:pPr>
      <w:spacing w:line="480" w:lineRule="atLeast"/>
      <w:outlineLvl w:val="2"/>
    </w:pPr>
    <w:rPr>
      <w:rFonts w:ascii="宋体" w:hAnsi="宋体"/>
      <w:sz w:val="24"/>
      <w:szCs w:val="24"/>
    </w:rPr>
  </w:style>
  <w:style w:type="paragraph" w:styleId="2">
    <w:name w:val="heading 4"/>
    <w:basedOn w:val="1"/>
    <w:next w:val="1"/>
    <w:qFormat/>
    <w:uiPriority w:val="9"/>
    <w:pPr>
      <w:keepNext/>
      <w:keepLines/>
      <w:widowControl/>
      <w:spacing w:before="280" w:after="290" w:line="376" w:lineRule="auto"/>
      <w:ind w:left="864" w:hanging="864"/>
      <w:jc w:val="left"/>
      <w:outlineLvl w:val="3"/>
    </w:pPr>
    <w:rPr>
      <w:rFonts w:ascii="Calibri Light" w:hAnsi="Calibri Light"/>
      <w:b/>
      <w:bCs/>
      <w:kern w:val="0"/>
      <w:sz w:val="28"/>
      <w:szCs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6">
    <w:name w:val="Normal Indent"/>
    <w:basedOn w:val="1"/>
    <w:next w:val="2"/>
    <w:qFormat/>
    <w:uiPriority w:val="0"/>
    <w:pPr>
      <w:ind w:firstLine="420" w:firstLineChars="200"/>
    </w:pPr>
    <w:rPr>
      <w:szCs w:val="24"/>
    </w:rPr>
  </w:style>
  <w:style w:type="paragraph" w:styleId="7">
    <w:name w:val="Body Text"/>
    <w:basedOn w:val="1"/>
    <w:next w:val="8"/>
    <w:qFormat/>
    <w:uiPriority w:val="0"/>
    <w:pPr>
      <w:spacing w:after="120"/>
    </w:pPr>
  </w:style>
  <w:style w:type="paragraph" w:customStyle="1" w:styleId="8">
    <w:name w:val="style4"/>
    <w:next w:val="9"/>
    <w:unhideWhenUsed/>
    <w:qFormat/>
    <w:uiPriority w:val="0"/>
    <w:pPr>
      <w:widowControl w:val="0"/>
      <w:spacing w:before="280" w:beforeLines="0" w:after="280" w:afterLines="0"/>
      <w:jc w:val="both"/>
    </w:pPr>
    <w:rPr>
      <w:rFonts w:hint="eastAsia" w:ascii="宋体" w:hAnsi="Times New Roman" w:eastAsia="宋体" w:cs="Times New Roman"/>
      <w:kern w:val="2"/>
      <w:sz w:val="18"/>
      <w:szCs w:val="24"/>
      <w:lang w:val="en-US" w:eastAsia="zh-CN" w:bidi="ar-SA"/>
    </w:rPr>
  </w:style>
  <w:style w:type="paragraph" w:customStyle="1" w:styleId="9">
    <w:name w:val="2"/>
    <w:next w:val="1"/>
    <w:unhideWhenUsed/>
    <w:qFormat/>
    <w:uiPriority w:val="0"/>
    <w:pPr>
      <w:widowControl w:val="0"/>
      <w:jc w:val="both"/>
    </w:pPr>
    <w:rPr>
      <w:rFonts w:ascii="Calibri" w:hAnsi="Calibri" w:eastAsia="宋体" w:cs="Times New Roman"/>
      <w:sz w:val="21"/>
      <w:szCs w:val="22"/>
      <w:lang w:val="en-US" w:eastAsia="zh-CN" w:bidi="ar-SA"/>
    </w:rPr>
  </w:style>
  <w:style w:type="paragraph" w:styleId="10">
    <w:name w:val="Body Text Indent"/>
    <w:basedOn w:val="1"/>
    <w:qFormat/>
    <w:uiPriority w:val="0"/>
    <w:pPr>
      <w:spacing w:after="120" w:afterLines="0" w:afterAutospacing="0"/>
      <w:ind w:left="420" w:leftChars="200"/>
    </w:pPr>
  </w:style>
  <w:style w:type="paragraph" w:styleId="11">
    <w:name w:val="toc 3"/>
    <w:basedOn w:val="1"/>
    <w:next w:val="1"/>
    <w:qFormat/>
    <w:uiPriority w:val="0"/>
    <w:pPr>
      <w:widowControl/>
      <w:spacing w:after="100" w:line="259" w:lineRule="auto"/>
      <w:ind w:left="440"/>
      <w:jc w:val="left"/>
    </w:pPr>
    <w:rPr>
      <w:kern w:val="0"/>
      <w:sz w:val="22"/>
    </w:rPr>
  </w:style>
  <w:style w:type="paragraph" w:styleId="12">
    <w:name w:val="Plain Text"/>
    <w:basedOn w:val="1"/>
    <w:qFormat/>
    <w:uiPriority w:val="0"/>
    <w:rPr>
      <w:rFonts w:ascii="宋体" w:hAnsi="Courier New" w:cs="Courier New"/>
      <w:szCs w:val="21"/>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6">
    <w:name w:val="List"/>
    <w:basedOn w:val="1"/>
    <w:qFormat/>
    <w:uiPriority w:val="0"/>
    <w:pPr>
      <w:spacing w:line="360" w:lineRule="exact"/>
      <w:ind w:firstLine="38" w:firstLineChars="18"/>
      <w:jc w:val="left"/>
    </w:pPr>
    <w:rPr>
      <w:rFonts w:ascii="宋体" w:hAnsi="Times New Roman"/>
      <w:szCs w:val="21"/>
    </w:rPr>
  </w:style>
  <w:style w:type="paragraph" w:styleId="17">
    <w:name w:val="toc 2"/>
    <w:basedOn w:val="1"/>
    <w:next w:val="1"/>
    <w:qFormat/>
    <w:uiPriority w:val="0"/>
    <w:pPr>
      <w:ind w:left="420" w:leftChars="200"/>
    </w:pPr>
  </w:style>
  <w:style w:type="paragraph" w:styleId="18">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9">
    <w:name w:val="Body Text First Indent"/>
    <w:basedOn w:val="7"/>
    <w:qFormat/>
    <w:uiPriority w:val="0"/>
    <w:pPr>
      <w:ind w:firstLine="420" w:firstLineChars="100"/>
    </w:pPr>
    <w:rPr>
      <w:szCs w:val="24"/>
    </w:rPr>
  </w:style>
  <w:style w:type="paragraph" w:styleId="20">
    <w:name w:val="Body Text First Indent 2"/>
    <w:basedOn w:val="10"/>
    <w:next w:val="1"/>
    <w:qFormat/>
    <w:uiPriority w:val="0"/>
    <w:pPr>
      <w:ind w:firstLine="420" w:firstLineChars="200"/>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
    <w:name w:val="样式 正文文本 + 首行缩进:  2 字符"/>
    <w:basedOn w:val="7"/>
    <w:next w:val="1"/>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customStyle="1" w:styleId="25">
    <w:name w:val="样式 样式 样式 四号 左侧:  1.53 厘米 + 首行缩进:  2 字符 + 居中 左侧:  2 字符 首行缩进:  2..."/>
    <w:basedOn w:val="26"/>
    <w:qFormat/>
    <w:uiPriority w:val="0"/>
    <w:pPr>
      <w:ind w:firstLine="0" w:firstLineChars="0"/>
      <w:jc w:val="center"/>
    </w:pPr>
  </w:style>
  <w:style w:type="paragraph" w:customStyle="1" w:styleId="26">
    <w:name w:val="样式 样式 四号 左侧:  1.53 厘米 + 首行缩进:  2 字符"/>
    <w:basedOn w:val="27"/>
    <w:qFormat/>
    <w:uiPriority w:val="0"/>
    <w:pPr>
      <w:ind w:left="200" w:leftChars="200"/>
    </w:pPr>
    <w:rPr>
      <w:szCs w:val="20"/>
    </w:rPr>
  </w:style>
  <w:style w:type="paragraph" w:customStyle="1" w:styleId="27">
    <w:name w:val="样式 四号 左侧:  1.53 厘米"/>
    <w:basedOn w:val="1"/>
    <w:qFormat/>
    <w:uiPriority w:val="0"/>
    <w:pPr>
      <w:adjustRightInd w:val="0"/>
    </w:pPr>
    <w:rPr>
      <w:w w:val="90"/>
      <w:sz w:val="28"/>
      <w:szCs w:val="28"/>
    </w:rPr>
  </w:style>
  <w:style w:type="paragraph" w:customStyle="1" w:styleId="28">
    <w:name w:val="TOC Heading1"/>
    <w:basedOn w:val="3"/>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9">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30">
    <w:name w:val="列出段落1"/>
    <w:basedOn w:val="1"/>
    <w:qFormat/>
    <w:uiPriority w:val="99"/>
    <w:pPr>
      <w:ind w:firstLine="420" w:firstLineChars="200"/>
    </w:pPr>
  </w:style>
  <w:style w:type="table" w:customStyle="1" w:styleId="31">
    <w:name w:val="TableGrid"/>
    <w:qFormat/>
    <w:uiPriority w:val="0"/>
    <w:tblPr>
      <w:tblCellMar>
        <w:top w:w="0" w:type="dxa"/>
        <w:left w:w="0" w:type="dxa"/>
        <w:bottom w:w="0" w:type="dxa"/>
        <w:right w:w="0" w:type="dxa"/>
      </w:tblCellMar>
    </w:tblPr>
  </w:style>
  <w:style w:type="paragraph" w:customStyle="1" w:styleId="32">
    <w:name w:val="(1)"/>
    <w:basedOn w:val="1"/>
    <w:qFormat/>
    <w:uiPriority w:val="0"/>
    <w:rPr>
      <w:sz w:val="24"/>
    </w:rPr>
  </w:style>
  <w:style w:type="paragraph" w:customStyle="1" w:styleId="33">
    <w:name w:val="1"/>
    <w:basedOn w:val="1"/>
    <w:next w:val="12"/>
    <w:qFormat/>
    <w:uiPriority w:val="0"/>
    <w:rPr>
      <w:rFonts w:ascii="宋体" w:hAnsi="Courier New"/>
      <w:color w:val="000000"/>
      <w:kern w:val="44"/>
      <w:sz w:val="24"/>
      <w:szCs w:val="20"/>
    </w:rPr>
  </w:style>
  <w:style w:type="paragraph" w:customStyle="1" w:styleId="34">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5">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6">
    <w:name w:val="A-表格文字"/>
    <w:basedOn w:val="1"/>
    <w:next w:val="37"/>
    <w:qFormat/>
    <w:uiPriority w:val="0"/>
    <w:pPr>
      <w:autoSpaceDE w:val="0"/>
      <w:autoSpaceDN w:val="0"/>
      <w:adjustRightInd w:val="0"/>
      <w:jc w:val="center"/>
      <w:textAlignment w:val="center"/>
    </w:pPr>
    <w:rPr>
      <w:szCs w:val="21"/>
    </w:rPr>
  </w:style>
  <w:style w:type="paragraph" w:customStyle="1" w:styleId="37">
    <w:name w:val="A-z正文"/>
    <w:qFormat/>
    <w:uiPriority w:val="0"/>
    <w:pPr>
      <w:widowControl w:val="0"/>
      <w:spacing w:line="360" w:lineRule="auto"/>
      <w:ind w:firstLine="200" w:firstLineChars="200"/>
      <w:jc w:val="both"/>
    </w:pPr>
    <w:rPr>
      <w:rFonts w:ascii="Times New Roman" w:hAnsi="Times New Roman" w:eastAsia="宋体" w:cs="Times New Roman"/>
      <w:kern w:val="0"/>
      <w:sz w:val="24"/>
      <w:szCs w:val="24"/>
      <w:lang w:val="en-US" w:eastAsia="zh-CN" w:bidi="ar-SA"/>
    </w:rPr>
  </w:style>
  <w:style w:type="paragraph" w:customStyle="1" w:styleId="38">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9">
    <w:name w:val="表格_正文"/>
    <w:qFormat/>
    <w:uiPriority w:val="0"/>
    <w:pPr>
      <w:widowControl w:val="0"/>
      <w:adjustRightInd w:val="0"/>
      <w:snapToGrid w:val="0"/>
      <w:spacing w:line="440" w:lineRule="atLeast"/>
      <w:jc w:val="center"/>
    </w:pPr>
    <w:rPr>
      <w:rFonts w:ascii="宋体" w:hAnsi="宋体" w:eastAsia="楷体_GB2312" w:cs="Times New Roman"/>
      <w:bCs/>
      <w:spacing w:val="4"/>
      <w:kern w:val="2"/>
      <w:sz w:val="21"/>
      <w:szCs w:val="28"/>
      <w:lang w:val="en-US" w:eastAsia="zh-CN" w:bidi="ar-SA"/>
    </w:rPr>
  </w:style>
  <w:style w:type="paragraph" w:customStyle="1" w:styleId="40">
    <w:name w:val="Default"/>
    <w:next w:val="1"/>
    <w:qFormat/>
    <w:uiPriority w:val="0"/>
    <w:pPr>
      <w:widowControl w:val="0"/>
      <w:autoSpaceDE w:val="0"/>
      <w:autoSpaceDN w:val="0"/>
      <w:adjustRightInd w:val="0"/>
      <w:spacing w:line="240" w:lineRule="auto"/>
      <w:ind w:firstLine="0"/>
      <w:jc w:val="both"/>
      <w:textAlignment w:val="baseline"/>
    </w:pPr>
    <w:rPr>
      <w:rFonts w:ascii="仿宋_GB2312" w:hAnsi="Calibri" w:eastAsia="仿宋_GB2312" w:cs="仿宋_GB2312"/>
      <w:color w:val="000000"/>
      <w:kern w:val="2"/>
      <w:sz w:val="24"/>
      <w:szCs w:val="24"/>
      <w:lang w:val="en-US" w:eastAsia="zh-CN" w:bidi="ar-SA"/>
    </w:rPr>
  </w:style>
  <w:style w:type="paragraph" w:customStyle="1" w:styleId="41">
    <w:name w:val="纯文本1"/>
    <w:qFormat/>
    <w:uiPriority w:val="0"/>
    <w:pPr>
      <w:widowControl w:val="0"/>
      <w:adjustRightInd w:val="0"/>
      <w:spacing w:line="240" w:lineRule="auto"/>
      <w:ind w:firstLine="0"/>
      <w:jc w:val="both"/>
      <w:textAlignment w:val="baseline"/>
    </w:pPr>
    <w:rPr>
      <w:rFonts w:ascii="宋体" w:hAnsi="Courier New"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呵呵哒</cp:lastModifiedBy>
  <cp:lastPrinted>2020-05-12T08:15:00Z</cp:lastPrinted>
  <dcterms:modified xsi:type="dcterms:W3CDTF">2022-01-18T07:57:54Z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44A190305FD34BCDA25AEBB12F4BA131</vt:lpwstr>
  </property>
</Properties>
</file>